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bCs/>
          <w:iCs/>
          <w:color w:val="000000"/>
          <w:sz w:val="24"/>
        </w:rPr>
      </w:pPr>
      <w:bookmarkStart w:id="0" w:name="_Toc515462335"/>
      <w:r>
        <w:rPr>
          <w:rFonts w:hint="eastAsia" w:ascii="宋体" w:hAnsi="宋体"/>
          <w:bCs/>
          <w:iCs/>
          <w:color w:val="000000"/>
          <w:sz w:val="24"/>
        </w:rPr>
        <w:t xml:space="preserve">证券代码：600392  </w:t>
      </w:r>
      <w:r>
        <w:rPr>
          <w:rFonts w:ascii="宋体" w:hAnsi="宋体"/>
          <w:bCs/>
          <w:iCs/>
          <w:color w:val="000000"/>
          <w:sz w:val="24"/>
        </w:rPr>
        <w:t xml:space="preserve">         </w:t>
      </w:r>
      <w:r>
        <w:rPr>
          <w:rFonts w:hint="eastAsia" w:ascii="宋体" w:hAnsi="宋体"/>
          <w:bCs/>
          <w:iCs/>
          <w:color w:val="000000"/>
          <w:sz w:val="24"/>
        </w:rPr>
        <w:t xml:space="preserve">           证券简称：盛和资源</w:t>
      </w:r>
    </w:p>
    <w:p>
      <w:pPr>
        <w:widowControl/>
        <w:jc w:val="center"/>
        <w:rPr>
          <w:rFonts w:hint="eastAsia" w:ascii="宋体" w:hAnsi="宋体"/>
          <w:bCs/>
          <w:iCs/>
          <w:color w:val="000000"/>
          <w:sz w:val="24"/>
        </w:rPr>
      </w:pPr>
    </w:p>
    <w:p>
      <w:pPr>
        <w:widowControl/>
        <w:spacing w:before="312" w:beforeLines="100"/>
        <w:jc w:val="center"/>
        <w:rPr>
          <w:rFonts w:hint="eastAsia" w:ascii="宋体" w:hAnsi="宋体"/>
          <w:bCs/>
          <w:iCs/>
          <w:color w:val="000000"/>
          <w:sz w:val="36"/>
          <w:szCs w:val="36"/>
        </w:rPr>
      </w:pPr>
      <w:r>
        <w:rPr>
          <w:rFonts w:hint="eastAsia" w:ascii="宋体" w:hAnsi="宋体"/>
          <w:bCs/>
          <w:iCs/>
          <w:color w:val="000000"/>
          <w:sz w:val="36"/>
          <w:szCs w:val="36"/>
        </w:rPr>
        <w:t>盛和资源控股股份有限公司</w:t>
      </w:r>
    </w:p>
    <w:p>
      <w:pPr>
        <w:widowControl/>
        <w:spacing w:after="312" w:afterLines="100"/>
        <w:jc w:val="center"/>
        <w:rPr>
          <w:rFonts w:hint="eastAsia" w:ascii="宋体" w:hAnsi="宋体"/>
          <w:color w:val="000000"/>
          <w:sz w:val="36"/>
          <w:szCs w:val="36"/>
        </w:rPr>
      </w:pPr>
      <w:r>
        <w:rPr>
          <w:rFonts w:hint="eastAsia" w:ascii="宋体" w:hAnsi="宋体"/>
          <w:bCs/>
          <w:iCs/>
          <w:color w:val="000000"/>
          <w:sz w:val="36"/>
          <w:szCs w:val="36"/>
        </w:rPr>
        <w:t>投资者关系活动记录表</w:t>
      </w:r>
    </w:p>
    <w:p>
      <w:pPr>
        <w:spacing w:line="360" w:lineRule="auto"/>
        <w:rPr>
          <w:rFonts w:hint="eastAsia" w:ascii="宋体" w:hAnsi="宋体"/>
          <w:bCs/>
          <w:iCs/>
          <w:color w:val="000000"/>
          <w:szCs w:val="21"/>
        </w:rPr>
      </w:pPr>
      <w:r>
        <w:rPr>
          <w:rFonts w:ascii="宋体" w:hAnsi="宋体"/>
          <w:bCs/>
          <w:iCs/>
          <w:color w:val="000000"/>
          <w:szCs w:val="21"/>
        </w:rPr>
        <w:t xml:space="preserve">                                                     </w:t>
      </w:r>
      <w:r>
        <w:rPr>
          <w:rFonts w:hint="eastAsia" w:ascii="宋体" w:hAnsi="宋体"/>
          <w:bCs/>
          <w:iCs/>
          <w:color w:val="000000"/>
          <w:szCs w:val="21"/>
        </w:rPr>
        <w:t xml:space="preserve">            </w:t>
      </w:r>
      <w:r>
        <w:rPr>
          <w:rFonts w:ascii="宋体" w:hAnsi="宋体"/>
          <w:bCs/>
          <w:iCs/>
          <w:color w:val="000000"/>
          <w:szCs w:val="21"/>
        </w:rPr>
        <w:t>编号：</w:t>
      </w:r>
      <w:r>
        <w:rPr>
          <w:rFonts w:hint="eastAsia" w:ascii="宋体" w:hAnsi="宋体"/>
          <w:bCs/>
          <w:iCs/>
          <w:color w:val="000000"/>
          <w:szCs w:val="21"/>
        </w:rPr>
        <w:t>2</w:t>
      </w:r>
      <w:r>
        <w:rPr>
          <w:rFonts w:ascii="宋体" w:hAnsi="宋体"/>
          <w:bCs/>
          <w:iCs/>
          <w:color w:val="000000"/>
          <w:szCs w:val="21"/>
        </w:rPr>
        <w:t>024-0</w:t>
      </w:r>
      <w:r>
        <w:rPr>
          <w:rFonts w:hint="eastAsia" w:ascii="宋体" w:hAnsi="宋体"/>
          <w:bCs/>
          <w:iCs/>
          <w:color w:val="000000"/>
          <w:szCs w:val="21"/>
        </w:rPr>
        <w:t>5</w:t>
      </w:r>
    </w:p>
    <w:tbl>
      <w:tblPr>
        <w:tblStyle w:val="10"/>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rPr>
                <w:rFonts w:hint="eastAsia" w:ascii="宋体" w:hAnsi="宋体"/>
                <w:b/>
                <w:bCs/>
                <w:iCs/>
                <w:color w:val="000000"/>
                <w:szCs w:val="21"/>
              </w:rPr>
            </w:pPr>
            <w:r>
              <w:rPr>
                <w:rFonts w:ascii="宋体" w:hAnsi="宋体"/>
                <w:b/>
                <w:bCs/>
                <w:iCs/>
                <w:color w:val="000000"/>
                <w:szCs w:val="21"/>
              </w:rPr>
              <w:t>投资者关系活动类别</w:t>
            </w:r>
            <w:r>
              <w:rPr>
                <w:rFonts w:hint="eastAsia" w:ascii="宋体" w:hAnsi="宋体"/>
                <w:b/>
                <w:bCs/>
                <w:iCs/>
                <w:color w:val="000000"/>
                <w:szCs w:val="21"/>
              </w:rPr>
              <w:t>“选中项请打√”</w:t>
            </w:r>
          </w:p>
        </w:tc>
        <w:tc>
          <w:tcPr>
            <w:tcW w:w="7088" w:type="dxa"/>
          </w:tcPr>
          <w:p>
            <w:pPr>
              <w:spacing w:line="360" w:lineRule="auto"/>
              <w:jc w:val="left"/>
              <w:rPr>
                <w:rFonts w:hint="eastAsia" w:ascii="宋体" w:hAnsi="宋体"/>
                <w:bCs/>
                <w:iCs/>
                <w:color w:val="000000"/>
                <w:szCs w:val="21"/>
              </w:rPr>
            </w:pPr>
            <w:r>
              <w:rPr>
                <w:rFonts w:ascii="宋体" w:hAnsi="宋体"/>
                <w:bCs/>
                <w:iCs/>
                <w:color w:val="000000"/>
                <w:szCs w:val="21"/>
              </w:rPr>
              <w:sym w:font="Wingdings 2" w:char="0052"/>
            </w:r>
            <w:r>
              <w:rPr>
                <w:rFonts w:ascii="宋体" w:hAnsi="宋体"/>
                <w:color w:val="000000"/>
                <w:szCs w:val="21"/>
              </w:rPr>
              <w:t xml:space="preserve">特定对象调研   </w:t>
            </w:r>
            <w:r>
              <w:rPr>
                <w:rFonts w:ascii="宋体" w:hAnsi="宋体"/>
                <w:bCs/>
                <w:iCs/>
                <w:color w:val="000000"/>
                <w:szCs w:val="21"/>
              </w:rPr>
              <w:sym w:font="Wingdings 2" w:char="00A3"/>
            </w:r>
            <w:r>
              <w:rPr>
                <w:rFonts w:ascii="宋体" w:hAnsi="宋体"/>
                <w:color w:val="000000"/>
                <w:szCs w:val="21"/>
              </w:rPr>
              <w:t>分析师会议</w:t>
            </w:r>
            <w:r>
              <w:rPr>
                <w:rFonts w:hint="eastAsia" w:ascii="宋体" w:hAnsi="宋体"/>
                <w:bCs/>
                <w:iCs/>
                <w:color w:val="000000"/>
                <w:szCs w:val="21"/>
              </w:rPr>
              <w:t xml:space="preserve">    </w:t>
            </w:r>
            <w:bookmarkStart w:id="1" w:name="OLE_LINK1"/>
            <w:r>
              <w:rPr>
                <w:rFonts w:ascii="宋体" w:hAnsi="宋体"/>
                <w:bCs/>
                <w:iCs/>
                <w:color w:val="000000"/>
                <w:szCs w:val="21"/>
              </w:rPr>
              <w:t>□</w:t>
            </w:r>
            <w:bookmarkEnd w:id="1"/>
            <w:r>
              <w:rPr>
                <w:rFonts w:ascii="宋体" w:hAnsi="宋体"/>
                <w:color w:val="000000"/>
                <w:szCs w:val="21"/>
              </w:rPr>
              <w:t xml:space="preserve">媒体采访   </w:t>
            </w:r>
            <w:r>
              <w:rPr>
                <w:rFonts w:hint="eastAsia" w:ascii="宋体" w:hAnsi="宋体"/>
                <w:color w:val="000000"/>
                <w:szCs w:val="21"/>
              </w:rPr>
              <w:t xml:space="preserve"> □</w:t>
            </w:r>
            <w:r>
              <w:rPr>
                <w:rFonts w:ascii="宋体" w:hAnsi="宋体"/>
                <w:color w:val="000000"/>
                <w:szCs w:val="21"/>
              </w:rPr>
              <w:t>业绩说明会</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 xml:space="preserve">新闻发布会     </w:t>
            </w:r>
            <w:r>
              <w:rPr>
                <w:rFonts w:ascii="宋体" w:hAnsi="宋体"/>
                <w:bCs/>
                <w:iCs/>
                <w:color w:val="000000"/>
                <w:szCs w:val="21"/>
              </w:rPr>
              <w:t>□</w:t>
            </w:r>
            <w:r>
              <w:rPr>
                <w:rFonts w:ascii="宋体" w:hAnsi="宋体"/>
                <w:color w:val="000000"/>
                <w:szCs w:val="21"/>
              </w:rPr>
              <w:t>路演活动</w:t>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现场参观</w:t>
            </w:r>
            <w:r>
              <w:rPr>
                <w:rFonts w:ascii="宋体" w:hAnsi="宋体"/>
                <w:bCs/>
                <w:iCs/>
                <w:color w:val="000000"/>
                <w:szCs w:val="21"/>
              </w:rPr>
              <w:tab/>
            </w:r>
            <w:r>
              <w:rPr>
                <w:rFonts w:hint="eastAsia" w:ascii="宋体" w:hAnsi="宋体"/>
                <w:bCs/>
                <w:iCs/>
                <w:color w:val="000000"/>
                <w:szCs w:val="21"/>
              </w:rPr>
              <w:t xml:space="preserve">   </w:t>
            </w:r>
            <w:r>
              <w:rPr>
                <w:rFonts w:ascii="宋体" w:hAnsi="宋体"/>
                <w:bCs/>
                <w:iCs/>
                <w:color w:val="000000"/>
                <w:szCs w:val="21"/>
              </w:rPr>
              <w:t>□</w:t>
            </w:r>
            <w:r>
              <w:rPr>
                <w:rFonts w:ascii="宋体" w:hAnsi="宋体"/>
                <w:color w:val="000000"/>
                <w:szCs w:val="21"/>
              </w:rPr>
              <w:t>其他</w:t>
            </w:r>
            <w:r>
              <w:rPr>
                <w:rFonts w:hint="eastAsia" w:ascii="宋体" w:hAnsi="宋体"/>
                <w:color w:val="000000"/>
                <w:szCs w:val="21"/>
              </w:rPr>
              <w:t>（电话</w:t>
            </w:r>
            <w:r>
              <w:rPr>
                <w:rFonts w:ascii="宋体" w:hAnsi="宋体"/>
                <w:color w:val="000000"/>
                <w:szCs w:val="21"/>
              </w:rPr>
              <w:t>会议</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参与单位名称</w:t>
            </w:r>
          </w:p>
        </w:tc>
        <w:tc>
          <w:tcPr>
            <w:tcW w:w="7088" w:type="dxa"/>
            <w:vAlign w:val="center"/>
          </w:tcPr>
          <w:p>
            <w:pPr>
              <w:spacing w:before="156" w:beforeLines="50"/>
              <w:rPr>
                <w:rFonts w:hint="eastAsia" w:ascii="等线" w:hAnsi="等线" w:eastAsia="等线"/>
                <w:color w:val="000000"/>
                <w:kern w:val="0"/>
                <w:sz w:val="22"/>
                <w:szCs w:val="22"/>
              </w:rPr>
            </w:pPr>
            <w:r>
              <w:rPr>
                <w:rFonts w:hint="eastAsia" w:ascii="宋体" w:hAnsi="宋体"/>
              </w:rPr>
              <w:t>太平基金、东方财富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时间</w:t>
            </w:r>
          </w:p>
        </w:tc>
        <w:tc>
          <w:tcPr>
            <w:tcW w:w="7088" w:type="dxa"/>
            <w:vAlign w:val="center"/>
          </w:tcPr>
          <w:p>
            <w:pPr>
              <w:spacing w:line="276" w:lineRule="auto"/>
              <w:rPr>
                <w:rFonts w:hint="eastAsia" w:ascii="宋体" w:hAnsi="宋体"/>
                <w:bCs/>
                <w:iCs/>
                <w:color w:val="000000"/>
                <w:szCs w:val="21"/>
              </w:rPr>
            </w:pPr>
            <w:r>
              <w:rPr>
                <w:rFonts w:ascii="宋体" w:hAnsi="宋体"/>
                <w:bCs/>
                <w:iCs/>
                <w:color w:val="000000"/>
                <w:szCs w:val="21"/>
              </w:rPr>
              <w:t>2024</w:t>
            </w:r>
            <w:r>
              <w:rPr>
                <w:rFonts w:hint="eastAsia" w:ascii="宋体" w:hAnsi="宋体"/>
                <w:bCs/>
                <w:iCs/>
                <w:color w:val="000000"/>
                <w:szCs w:val="21"/>
              </w:rPr>
              <w:t>年12月12日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hint="eastAsia" w:ascii="宋体" w:hAnsi="宋体"/>
                <w:b/>
                <w:bCs/>
                <w:iCs/>
                <w:color w:val="000000"/>
                <w:szCs w:val="21"/>
              </w:rPr>
              <w:t>地点</w:t>
            </w:r>
          </w:p>
        </w:tc>
        <w:tc>
          <w:tcPr>
            <w:tcW w:w="7088" w:type="dxa"/>
            <w:vAlign w:val="center"/>
          </w:tcPr>
          <w:p>
            <w:pPr>
              <w:spacing w:line="276" w:lineRule="auto"/>
              <w:rPr>
                <w:rFonts w:hint="eastAsia" w:ascii="宋体" w:hAnsi="宋体"/>
                <w:bCs/>
                <w:iCs/>
                <w:color w:val="000000"/>
                <w:szCs w:val="21"/>
              </w:rPr>
            </w:pPr>
            <w:r>
              <w:rPr>
                <w:rFonts w:hint="eastAsia" w:ascii="宋体" w:hAnsi="宋体"/>
                <w:bCs/>
                <w:iCs/>
                <w:color w:val="000000"/>
                <w:szCs w:val="21"/>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上市公司接待人员姓名</w:t>
            </w:r>
          </w:p>
        </w:tc>
        <w:tc>
          <w:tcPr>
            <w:tcW w:w="7088" w:type="dxa"/>
            <w:vAlign w:val="center"/>
          </w:tcPr>
          <w:p>
            <w:pPr>
              <w:spacing w:line="276" w:lineRule="auto"/>
              <w:rPr>
                <w:rFonts w:hint="eastAsia" w:ascii="宋体" w:hAnsi="宋体"/>
                <w:bCs/>
                <w:iCs/>
                <w:color w:val="000000"/>
                <w:szCs w:val="21"/>
              </w:rPr>
            </w:pPr>
            <w:r>
              <w:rPr>
                <w:rFonts w:hint="eastAsia" w:ascii="宋体" w:hAnsi="宋体" w:cs="宋体"/>
                <w:color w:val="000000"/>
                <w:kern w:val="0"/>
                <w:szCs w:val="21"/>
              </w:rPr>
              <w:t xml:space="preserve">董事会秘书：郭晓雷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before="156" w:beforeLines="50"/>
              <w:ind w:firstLine="420" w:firstLineChars="200"/>
              <w:rPr>
                <w:rFonts w:hint="eastAsia" w:ascii="宋体" w:hAnsi="宋体"/>
              </w:rPr>
            </w:pPr>
            <w:r>
              <w:rPr>
                <w:rFonts w:hint="eastAsia" w:ascii="宋体" w:hAnsi="宋体"/>
              </w:rPr>
              <w:t>调研</w:t>
            </w:r>
            <w:r>
              <w:rPr>
                <w:rFonts w:ascii="宋体" w:hAnsi="宋体"/>
              </w:rPr>
              <w:t>主要内容介绍</w:t>
            </w:r>
          </w:p>
          <w:p>
            <w:pPr>
              <w:spacing w:before="156" w:beforeLines="50"/>
              <w:ind w:firstLine="420" w:firstLineChars="200"/>
              <w:rPr>
                <w:rFonts w:hint="eastAsia" w:ascii="宋体" w:hAnsi="宋体"/>
              </w:rPr>
            </w:pPr>
          </w:p>
        </w:tc>
        <w:tc>
          <w:tcPr>
            <w:tcW w:w="7088" w:type="dxa"/>
          </w:tcPr>
          <w:p>
            <w:pPr>
              <w:spacing w:before="156" w:beforeLines="50"/>
              <w:ind w:firstLine="420" w:firstLineChars="200"/>
              <w:rPr>
                <w:rFonts w:hint="eastAsia" w:ascii="宋体" w:hAnsi="宋体"/>
              </w:rPr>
            </w:pPr>
            <w:r>
              <w:rPr>
                <w:rFonts w:hint="eastAsia" w:ascii="宋体" w:hAnsi="宋体"/>
              </w:rPr>
              <w:t>董秘郭晓雷主要向到访投资者介绍了</w:t>
            </w:r>
            <w:r>
              <w:rPr>
                <w:rFonts w:hint="eastAsia"/>
              </w:rPr>
              <w:t>公司稀土、锆钛和循环经济三个产业链以及近期海外项目的一些进展</w:t>
            </w:r>
            <w:r>
              <w:t>。</w:t>
            </w:r>
          </w:p>
          <w:p>
            <w:pPr>
              <w:spacing w:before="156" w:beforeLines="50"/>
              <w:ind w:firstLine="420"/>
              <w:rPr>
                <w:rFonts w:hint="eastAsia" w:ascii="宋体" w:hAnsi="宋体"/>
              </w:rPr>
            </w:pPr>
            <w:r>
              <w:rPr>
                <w:rFonts w:hint="eastAsia" w:ascii="宋体" w:hAnsi="宋体"/>
              </w:rPr>
              <w:t xml:space="preserve">1、公司海外的锆钛矿项目目前有什么最新进展？ </w:t>
            </w:r>
          </w:p>
          <w:p>
            <w:pPr>
              <w:spacing w:before="156" w:beforeLines="50"/>
              <w:ind w:firstLine="420"/>
              <w:rPr>
                <w:rFonts w:hint="eastAsia" w:ascii="宋体" w:hAnsi="宋体"/>
              </w:rPr>
            </w:pPr>
            <w:r>
              <w:rPr>
                <w:rFonts w:hint="eastAsia" w:ascii="宋体" w:hAnsi="宋体"/>
              </w:rPr>
              <w:t>2022年，公司参股了一家澳大利亚的锆钛资源的公司叫盈拓资源，这个项目正在申请采矿证。今年上半年，公司收购了两个锆钛矿项目公司：一个是Strandline Resources 公司，该公司拥有坦桑尼亚多个重砂矿项目，其中已经取得采矿权证的重矿物（锆英砂、钛铁矿、金红石等）资源量约946万吨，具备在短期内运营投产的条件；另一个是嘉成矿业，该公司间接拥有位于马达加斯加的多个重砂矿项目，其中已经取得采矿权证的项目有3个，采矿权范围内的重矿物资源量约1786万吨。坦桑尼亚和马达加斯加重砂矿项目的收购将为公司锆钛产业链的发展提供充足的资源保障。重砂矿整个建设周期，包括生产周期都不会很长，资本开支相对也不高。后面，如果有任何的进展，我们也会发项目进展的公告。</w:t>
            </w:r>
          </w:p>
          <w:p>
            <w:pPr>
              <w:spacing w:before="156" w:beforeLines="50"/>
              <w:ind w:firstLine="420" w:firstLineChars="200"/>
            </w:pPr>
            <w:r>
              <w:rPr>
                <w:rFonts w:hint="eastAsia" w:ascii="宋体" w:hAnsi="宋体"/>
              </w:rPr>
              <w:t>2、</w:t>
            </w:r>
            <w:r>
              <w:rPr>
                <w:rFonts w:hint="eastAsia"/>
              </w:rPr>
              <w:t>稀土未来下游需求会有哪些新的增长点？</w:t>
            </w:r>
          </w:p>
          <w:p>
            <w:pPr>
              <w:spacing w:before="156" w:beforeLines="50"/>
              <w:ind w:firstLine="420" w:firstLineChars="200"/>
            </w:pPr>
            <w:r>
              <w:rPr>
                <w:rFonts w:hint="eastAsia"/>
              </w:rPr>
              <w:t>目前来看稀土行业最大的应用还是钕铁硼磁材。新能源汽车、风电、变频空调、消费电子、节能工业电机以及人型机器人等与智能电动和节能低碳相关的下游产业的发展，将会成为拉动稀土需求的新的增长点。</w:t>
            </w:r>
          </w:p>
          <w:p>
            <w:pPr>
              <w:spacing w:before="156" w:beforeLines="50"/>
              <w:ind w:firstLine="420" w:firstLineChars="200"/>
            </w:pPr>
            <w:r>
              <w:rPr>
                <w:rFonts w:hint="eastAsia"/>
              </w:rPr>
              <w:t>3、目前稀土价格对公司盈利情况有何影响？</w:t>
            </w:r>
          </w:p>
          <w:p>
            <w:pPr>
              <w:spacing w:before="156" w:beforeLines="50"/>
              <w:ind w:firstLine="420" w:firstLineChars="200"/>
            </w:pPr>
            <w:r>
              <w:rPr>
                <w:rFonts w:hint="eastAsia"/>
              </w:rPr>
              <w:t>目前氧化镨钕产品价格在40万左右小幅波动，整个稀土行业赚钱效应不明显。</w:t>
            </w:r>
          </w:p>
          <w:p>
            <w:pPr>
              <w:spacing w:before="156" w:beforeLines="50"/>
              <w:ind w:firstLine="420" w:firstLineChars="200"/>
              <w:rPr>
                <w:rFonts w:hint="eastAsia" w:ascii="宋体" w:hAnsi="宋体"/>
              </w:rPr>
            </w:pPr>
            <w:r>
              <w:rPr>
                <w:rFonts w:hint="eastAsia" w:ascii="宋体" w:hAnsi="宋体"/>
              </w:rPr>
              <w:t>4、请推测一下明年稀土价格走势？</w:t>
            </w:r>
          </w:p>
          <w:p>
            <w:pPr>
              <w:spacing w:before="156" w:beforeLines="50"/>
              <w:ind w:firstLine="420" w:firstLineChars="200"/>
              <w:rPr>
                <w:rFonts w:hint="eastAsia" w:ascii="宋体" w:hAnsi="宋体"/>
              </w:rPr>
            </w:pPr>
            <w:r>
              <w:rPr>
                <w:rFonts w:hint="eastAsia" w:ascii="宋体" w:hAnsi="宋体"/>
              </w:rPr>
              <w:t>明年稀土价格的主要影响因素可能包括，一是稀土管理条例相关配套政策可能会出台，二是进口矿尤其是缅甸矿的供给情况。公司会密切关注价格走势，适时调整经营策略。</w:t>
            </w:r>
          </w:p>
          <w:p>
            <w:pPr>
              <w:spacing w:before="156" w:beforeLines="50"/>
              <w:ind w:firstLine="420" w:firstLineChars="200"/>
              <w:rPr>
                <w:rFonts w:hint="eastAsia" w:ascii="宋体" w:hAnsi="宋体"/>
              </w:rPr>
            </w:pPr>
            <w:r>
              <w:rPr>
                <w:rFonts w:hint="eastAsia" w:ascii="宋体" w:hAnsi="宋体"/>
              </w:rPr>
              <w:t>5、公司大股东会减持吗？</w:t>
            </w:r>
          </w:p>
          <w:p>
            <w:pPr>
              <w:spacing w:before="156" w:beforeLines="50"/>
              <w:ind w:firstLine="420" w:firstLineChars="200"/>
              <w:rPr>
                <w:rFonts w:ascii="宋体" w:hAnsi="宋体"/>
              </w:rPr>
            </w:pPr>
            <w:r>
              <w:rPr>
                <w:rFonts w:hint="eastAsia" w:ascii="宋体" w:hAnsi="宋体"/>
              </w:rPr>
              <w:t>公司大股东目前没有减持计划。</w:t>
            </w:r>
          </w:p>
          <w:p>
            <w:pPr>
              <w:spacing w:before="156" w:beforeLines="50"/>
              <w:ind w:firstLine="420" w:firstLineChars="200"/>
              <w:rPr>
                <w:rFonts w:ascii="宋体" w:hAnsi="宋体"/>
              </w:rPr>
            </w:pPr>
            <w:r>
              <w:rPr>
                <w:rFonts w:hint="eastAsia" w:ascii="宋体" w:hAnsi="宋体"/>
              </w:rPr>
              <w:t xml:space="preserve">6、PEAK公司Ngualla项目什么时候会投产？ </w:t>
            </w:r>
          </w:p>
          <w:p>
            <w:pPr>
              <w:spacing w:before="156" w:beforeLines="50"/>
              <w:ind w:firstLine="420" w:firstLineChars="200"/>
              <w:rPr>
                <w:rFonts w:ascii="宋体" w:hAnsi="宋体"/>
              </w:rPr>
            </w:pPr>
            <w:r>
              <w:rPr>
                <w:rFonts w:hint="eastAsia" w:ascii="宋体" w:hAnsi="宋体"/>
              </w:rPr>
              <w:t>公司今年7月与Peak公司签署投资、资金和开发等条款清单。以支持Ngualla项目的开发，主要内容包括Ngualla项目投资、资金、开发解决方案等内容。公司拟以约9,600万澳元认购Ngualla Group UK Limited增发的50%的权益，该公司持有Ngualla项目84%的权益。目前双方正在就正式协议的签署进行磋商谈判。预计Ngualla项目将在2026年初建成投产。项目初期预计年产折合氧化物1.8万吨稀土精矿，对应该氧化镨钕约4000吨。</w:t>
            </w:r>
          </w:p>
          <w:p>
            <w:pPr>
              <w:spacing w:before="156" w:beforeLines="50"/>
              <w:ind w:firstLine="420" w:firstLineChars="200"/>
              <w:rPr>
                <w:rFonts w:ascii="宋体" w:hAnsi="宋体"/>
              </w:rPr>
            </w:pPr>
            <w:r>
              <w:rPr>
                <w:rFonts w:hint="eastAsia" w:ascii="宋体" w:hAnsi="宋体"/>
              </w:rPr>
              <w:t>7、固态电池使用稀土镧对稀土行业有利好作用吗？</w:t>
            </w:r>
          </w:p>
          <w:p>
            <w:pPr>
              <w:spacing w:before="156" w:beforeLines="50"/>
              <w:ind w:firstLine="420" w:firstLineChars="200"/>
              <w:rPr>
                <w:rFonts w:hint="eastAsia" w:ascii="宋体" w:hAnsi="宋体"/>
              </w:rPr>
            </w:pPr>
            <w:r>
              <w:rPr>
                <w:rFonts w:hint="eastAsia" w:ascii="宋体" w:hAnsi="宋体"/>
                <w:lang w:val="en-US" w:eastAsia="zh-CN"/>
              </w:rPr>
              <w:t>镧在稀土矿里含量较高，市场供应较为充分，下游新应用对镧是利好，但具体要看新应用中的需求量</w:t>
            </w:r>
            <w:r>
              <w:rPr>
                <w:rFonts w:hint="eastAsia" w:ascii="宋体" w:hAnsi="宋体"/>
              </w:rPr>
              <w:t>。</w:t>
            </w:r>
            <w:bookmarkStart w:id="2" w:name="_GoBack"/>
            <w:bookmarkEnd w:id="2"/>
          </w:p>
          <w:p>
            <w:pPr>
              <w:spacing w:before="156" w:beforeLine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hint="eastAsia" w:ascii="宋体" w:hAnsi="宋体"/>
                <w:b/>
                <w:bCs/>
                <w:iCs/>
                <w:color w:val="000000"/>
                <w:szCs w:val="21"/>
              </w:rPr>
              <w:t xml:space="preserve"> </w:t>
            </w:r>
            <w:r>
              <w:rPr>
                <w:rFonts w:ascii="宋体" w:hAnsi="宋体"/>
                <w:b/>
                <w:bCs/>
                <w:iCs/>
                <w:color w:val="000000"/>
                <w:szCs w:val="21"/>
              </w:rPr>
              <w:t>附件清单（如有）</w:t>
            </w:r>
          </w:p>
        </w:tc>
        <w:tc>
          <w:tcPr>
            <w:tcW w:w="7088" w:type="dxa"/>
          </w:tcPr>
          <w:p>
            <w:pPr>
              <w:spacing w:line="360" w:lineRule="auto"/>
              <w:ind w:firstLine="105" w:firstLineChars="50"/>
              <w:jc w:val="center"/>
              <w:rPr>
                <w:rFonts w:hint="eastAsia" w:ascii="宋体" w:hAnsi="宋体"/>
                <w:bCs/>
                <w:iCs/>
                <w:color w:val="000000"/>
                <w:szCs w:val="21"/>
              </w:rPr>
            </w:pPr>
            <w:r>
              <w:rPr>
                <w:rFonts w:hint="eastAsia" w:ascii="宋体" w:hAnsi="宋体"/>
                <w:bCs/>
                <w:iCs/>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47" w:type="dxa"/>
            <w:vAlign w:val="center"/>
          </w:tcPr>
          <w:p>
            <w:pPr>
              <w:spacing w:line="360" w:lineRule="auto"/>
              <w:jc w:val="center"/>
              <w:rPr>
                <w:rFonts w:hint="eastAsia" w:ascii="宋体" w:hAnsi="宋体"/>
                <w:b/>
                <w:bCs/>
                <w:iCs/>
                <w:color w:val="000000"/>
                <w:szCs w:val="21"/>
              </w:rPr>
            </w:pPr>
            <w:r>
              <w:rPr>
                <w:rFonts w:ascii="宋体" w:hAnsi="宋体"/>
                <w:b/>
                <w:bCs/>
                <w:iCs/>
                <w:color w:val="000000"/>
                <w:szCs w:val="21"/>
              </w:rPr>
              <w:t>日期</w:t>
            </w:r>
          </w:p>
        </w:tc>
        <w:tc>
          <w:tcPr>
            <w:tcW w:w="7088" w:type="dxa"/>
          </w:tcPr>
          <w:p>
            <w:pPr>
              <w:spacing w:line="360" w:lineRule="auto"/>
              <w:jc w:val="center"/>
              <w:rPr>
                <w:rFonts w:hint="eastAsia" w:ascii="宋体" w:hAnsi="宋体"/>
                <w:bCs/>
                <w:iCs/>
                <w:color w:val="000000"/>
                <w:szCs w:val="21"/>
              </w:rPr>
            </w:pPr>
            <w:r>
              <w:rPr>
                <w:rFonts w:ascii="宋体" w:hAnsi="宋体"/>
                <w:bCs/>
                <w:iCs/>
                <w:color w:val="000000"/>
                <w:szCs w:val="21"/>
              </w:rPr>
              <w:t>2024</w:t>
            </w:r>
            <w:r>
              <w:rPr>
                <w:rFonts w:hint="eastAsia" w:ascii="宋体" w:hAnsi="宋体"/>
                <w:bCs/>
                <w:iCs/>
                <w:color w:val="000000"/>
                <w:szCs w:val="21"/>
              </w:rPr>
              <w:t>年12月13日</w:t>
            </w:r>
          </w:p>
        </w:tc>
      </w:tr>
      <w:bookmarkEnd w:id="0"/>
    </w:tbl>
    <w:p>
      <w:pPr>
        <w:widowControl/>
        <w:jc w:val="left"/>
        <w:rPr>
          <w:rFonts w:hint="eastAsia" w:ascii="仿宋" w:hAnsi="仿宋" w:eastAsia="仿宋"/>
          <w:sz w:val="28"/>
          <w:szCs w:val="28"/>
        </w:rPr>
      </w:pPr>
    </w:p>
    <w:sectPr>
      <w:footerReference r:id="rId3" w:type="default"/>
      <w:footerReference r:id="rId4" w:type="even"/>
      <w:pgSz w:w="11906" w:h="16838"/>
      <w:pgMar w:top="1701" w:right="1797" w:bottom="1134"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Fonts w:hint="eastAsia" w:ascii="宋体" w:hAnsi="宋体"/>
        <w:sz w:val="28"/>
        <w:szCs w:val="28"/>
      </w:rPr>
    </w:pPr>
    <w:r>
      <w:rPr>
        <w:rStyle w:val="14"/>
        <w:rFonts w:hint="eastAsia" w:ascii="宋体" w:hAnsi="宋体"/>
        <w:sz w:val="28"/>
        <w:szCs w:val="28"/>
      </w:rPr>
      <w:t>—</w:t>
    </w: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2</w:t>
    </w:r>
    <w:r>
      <w:rPr>
        <w:rFonts w:hint="eastAsia" w:ascii="宋体" w:hAnsi="宋体"/>
        <w:sz w:val="28"/>
        <w:szCs w:val="28"/>
      </w:rPr>
      <w:fldChar w:fldCharType="end"/>
    </w:r>
    <w:r>
      <w:rPr>
        <w:rStyle w:val="14"/>
        <w:rFonts w:hint="eastAsia" w:ascii="宋体" w:hAnsi="宋体"/>
        <w:sz w:val="28"/>
        <w:szCs w:val="28"/>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3YWU0ODljM2NmZjU5OGNmMjFkOGY5YmJkOTk2ODUifQ=="/>
  </w:docVars>
  <w:rsids>
    <w:rsidRoot w:val="00953981"/>
    <w:rsid w:val="0007285A"/>
    <w:rsid w:val="00075554"/>
    <w:rsid w:val="00081574"/>
    <w:rsid w:val="000A6FEC"/>
    <w:rsid w:val="000B37B1"/>
    <w:rsid w:val="000D4E56"/>
    <w:rsid w:val="000D7761"/>
    <w:rsid w:val="00126512"/>
    <w:rsid w:val="00177EC3"/>
    <w:rsid w:val="00180568"/>
    <w:rsid w:val="001A04B5"/>
    <w:rsid w:val="001C1D99"/>
    <w:rsid w:val="001D1513"/>
    <w:rsid w:val="00221316"/>
    <w:rsid w:val="00273F00"/>
    <w:rsid w:val="00293E20"/>
    <w:rsid w:val="002B7B99"/>
    <w:rsid w:val="002E1978"/>
    <w:rsid w:val="003C3FC6"/>
    <w:rsid w:val="003F075D"/>
    <w:rsid w:val="00426E02"/>
    <w:rsid w:val="004612C6"/>
    <w:rsid w:val="004B0158"/>
    <w:rsid w:val="004C55DA"/>
    <w:rsid w:val="004D4ECC"/>
    <w:rsid w:val="004E7079"/>
    <w:rsid w:val="00525D23"/>
    <w:rsid w:val="00593A9B"/>
    <w:rsid w:val="005B097F"/>
    <w:rsid w:val="005C1E93"/>
    <w:rsid w:val="005C3C80"/>
    <w:rsid w:val="005F33F1"/>
    <w:rsid w:val="0060780A"/>
    <w:rsid w:val="00650410"/>
    <w:rsid w:val="00666333"/>
    <w:rsid w:val="00676A4E"/>
    <w:rsid w:val="00682076"/>
    <w:rsid w:val="00717B44"/>
    <w:rsid w:val="00746CBC"/>
    <w:rsid w:val="007549ED"/>
    <w:rsid w:val="0077568A"/>
    <w:rsid w:val="007C5823"/>
    <w:rsid w:val="007D4949"/>
    <w:rsid w:val="007E1E56"/>
    <w:rsid w:val="007E4551"/>
    <w:rsid w:val="007E7F4E"/>
    <w:rsid w:val="007F5049"/>
    <w:rsid w:val="00820C8B"/>
    <w:rsid w:val="00826C7E"/>
    <w:rsid w:val="008C3B4A"/>
    <w:rsid w:val="008F346F"/>
    <w:rsid w:val="00905BC4"/>
    <w:rsid w:val="009162CD"/>
    <w:rsid w:val="0094164D"/>
    <w:rsid w:val="009456A9"/>
    <w:rsid w:val="00953981"/>
    <w:rsid w:val="0098403E"/>
    <w:rsid w:val="00992AD5"/>
    <w:rsid w:val="009A1346"/>
    <w:rsid w:val="009B0861"/>
    <w:rsid w:val="009F45A2"/>
    <w:rsid w:val="00A130E2"/>
    <w:rsid w:val="00A30EA4"/>
    <w:rsid w:val="00A540D5"/>
    <w:rsid w:val="00AB65AE"/>
    <w:rsid w:val="00AD6C75"/>
    <w:rsid w:val="00AE58F2"/>
    <w:rsid w:val="00AF6245"/>
    <w:rsid w:val="00B10F99"/>
    <w:rsid w:val="00B22C28"/>
    <w:rsid w:val="00B23358"/>
    <w:rsid w:val="00B34641"/>
    <w:rsid w:val="00B61558"/>
    <w:rsid w:val="00B943F5"/>
    <w:rsid w:val="00BC283B"/>
    <w:rsid w:val="00C125C5"/>
    <w:rsid w:val="00C3495A"/>
    <w:rsid w:val="00C40C24"/>
    <w:rsid w:val="00C74CFE"/>
    <w:rsid w:val="00CC0983"/>
    <w:rsid w:val="00D03E6A"/>
    <w:rsid w:val="00D15A3A"/>
    <w:rsid w:val="00D16C08"/>
    <w:rsid w:val="00D23B76"/>
    <w:rsid w:val="00D346BD"/>
    <w:rsid w:val="00DE22B5"/>
    <w:rsid w:val="00E34166"/>
    <w:rsid w:val="00E7040F"/>
    <w:rsid w:val="00E751A6"/>
    <w:rsid w:val="00E91845"/>
    <w:rsid w:val="00EA062D"/>
    <w:rsid w:val="00F273B8"/>
    <w:rsid w:val="00F32AB7"/>
    <w:rsid w:val="00F536E6"/>
    <w:rsid w:val="00F619A6"/>
    <w:rsid w:val="00F72C4E"/>
    <w:rsid w:val="00F958D0"/>
    <w:rsid w:val="00FB5270"/>
    <w:rsid w:val="035E62A9"/>
    <w:rsid w:val="0ECB5A9B"/>
    <w:rsid w:val="18742292"/>
    <w:rsid w:val="1E38504E"/>
    <w:rsid w:val="222A111F"/>
    <w:rsid w:val="2C0B44D1"/>
    <w:rsid w:val="36C22E36"/>
    <w:rsid w:val="3A8638A8"/>
    <w:rsid w:val="3ED65E91"/>
    <w:rsid w:val="41C10393"/>
    <w:rsid w:val="4599357F"/>
    <w:rsid w:val="58535244"/>
    <w:rsid w:val="5CC34FC4"/>
    <w:rsid w:val="5D864CC7"/>
    <w:rsid w:val="60F224FB"/>
    <w:rsid w:val="658E7179"/>
    <w:rsid w:val="6AC9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libri Light" w:hAnsi="Calibri Light"/>
      <w:b/>
      <w:bCs/>
      <w:sz w:val="32"/>
      <w:szCs w:val="32"/>
    </w:rPr>
  </w:style>
  <w:style w:type="character" w:default="1" w:styleId="12">
    <w:name w:val="Default Paragraph Font"/>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link w:val="19"/>
    <w:qFormat/>
    <w:uiPriority w:val="0"/>
    <w:rPr>
      <w:sz w:val="28"/>
    </w:rPr>
  </w:style>
  <w:style w:type="paragraph" w:styleId="5">
    <w:name w:val="Date"/>
    <w:basedOn w:val="1"/>
    <w:next w:val="1"/>
    <w:qFormat/>
    <w:uiPriority w:val="0"/>
    <w:pPr>
      <w:ind w:left="100" w:leftChars="25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Calibri" w:hAnsi="Calibri"/>
      <w:sz w:val="24"/>
    </w:rPr>
  </w:style>
  <w:style w:type="table" w:styleId="11">
    <w:name w:val="Table Grid"/>
    <w:basedOn w:val="1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page number"/>
    <w:qFormat/>
    <w:uiPriority w:val="0"/>
  </w:style>
  <w:style w:type="character" w:styleId="15">
    <w:name w:val="Emphasis"/>
    <w:qFormat/>
    <w:uiPriority w:val="0"/>
    <w:rPr>
      <w:i/>
    </w:rPr>
  </w:style>
  <w:style w:type="character" w:styleId="16">
    <w:name w:val="Hyperlink"/>
    <w:qFormat/>
    <w:uiPriority w:val="99"/>
    <w:rPr>
      <w:rFonts w:cs="Times New Roman"/>
      <w:color w:val="0000FF"/>
      <w:u w:val="single"/>
    </w:rPr>
  </w:style>
  <w:style w:type="character" w:customStyle="1" w:styleId="17">
    <w:name w:val="标题 1 字符"/>
    <w:link w:val="2"/>
    <w:qFormat/>
    <w:uiPriority w:val="9"/>
    <w:rPr>
      <w:rFonts w:ascii="Calibri" w:hAnsi="Calibri"/>
      <w:b/>
      <w:bCs/>
      <w:kern w:val="44"/>
      <w:sz w:val="44"/>
      <w:szCs w:val="44"/>
    </w:rPr>
  </w:style>
  <w:style w:type="character" w:customStyle="1" w:styleId="18">
    <w:name w:val="标题 2 字符"/>
    <w:link w:val="3"/>
    <w:qFormat/>
    <w:uiPriority w:val="9"/>
    <w:rPr>
      <w:rFonts w:ascii="Calibri Light" w:hAnsi="Calibri Light"/>
      <w:b/>
      <w:bCs/>
      <w:kern w:val="2"/>
      <w:sz w:val="32"/>
      <w:szCs w:val="32"/>
    </w:rPr>
  </w:style>
  <w:style w:type="character" w:customStyle="1" w:styleId="19">
    <w:name w:val="正文文本 字符"/>
    <w:link w:val="4"/>
    <w:qFormat/>
    <w:uiPriority w:val="0"/>
    <w:rPr>
      <w:kern w:val="2"/>
      <w:sz w:val="28"/>
      <w:szCs w:val="24"/>
    </w:rPr>
  </w:style>
  <w:style w:type="character" w:customStyle="1" w:styleId="20">
    <w:name w:val="批注框文本 字符"/>
    <w:link w:val="6"/>
    <w:qFormat/>
    <w:uiPriority w:val="0"/>
    <w:rPr>
      <w:kern w:val="2"/>
      <w:sz w:val="18"/>
      <w:szCs w:val="18"/>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List Paragraph1"/>
    <w:basedOn w:val="1"/>
    <w:qFormat/>
    <w:uiPriority w:val="0"/>
    <w:pPr>
      <w:ind w:firstLine="420" w:firstLineChars="200"/>
    </w:pPr>
    <w:rPr>
      <w:rFonts w:ascii="Calibri" w:hAnsi="Calibri"/>
      <w:szCs w:val="22"/>
    </w:rPr>
  </w:style>
  <w:style w:type="paragraph" w:customStyle="1" w:styleId="23">
    <w:name w:val="msolist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Company>
  <Pages>2</Pages>
  <Words>212</Words>
  <Characters>1215</Characters>
  <Lines>10</Lines>
  <Paragraphs>2</Paragraphs>
  <TotalTime>35</TotalTime>
  <ScaleCrop>false</ScaleCrop>
  <LinksUpToDate>false</LinksUpToDate>
  <CharactersWithSpaces>1425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2024-12-13T02:43:00Z</dcterms:created>
  <dc:creator>Li</dc:creator>
  <cp:lastModifiedBy>HuaWei</cp:lastModifiedBy>
  <cp:lastPrinted>2010-08-04T06:50:00Z</cp:lastPrinted>
  <dcterms:modified xsi:type="dcterms:W3CDTF">2024-12-13T03:21:53Z</dcterms:modified>
  <dc:title>四川省上市公司协会文件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B971AA8E5BE54E9C8AB82D49A6664F65_13</vt:lpwstr>
  </property>
</Properties>
</file>