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DA" w:rsidRDefault="00E17A67">
      <w:pPr>
        <w:jc w:val="left"/>
        <w:rPr>
          <w:rFonts w:ascii="宋体" w:hAnsi="宋体"/>
          <w:b/>
          <w:sz w:val="24"/>
        </w:rPr>
      </w:pPr>
      <w:r>
        <w:rPr>
          <w:rFonts w:ascii="宋体" w:hAnsi="宋体" w:hint="eastAsia"/>
          <w:b/>
          <w:sz w:val="24"/>
        </w:rPr>
        <w:t>证券代码：603757                                证券简称：大元泵业</w:t>
      </w:r>
    </w:p>
    <w:p w:rsidR="002860DA" w:rsidRDefault="002860DA">
      <w:pPr>
        <w:jc w:val="left"/>
      </w:pPr>
    </w:p>
    <w:p w:rsidR="002860DA" w:rsidRDefault="00E17A67">
      <w:pPr>
        <w:pStyle w:val="a5"/>
        <w:spacing w:before="0" w:after="0"/>
        <w:rPr>
          <w:rFonts w:ascii="宋体" w:hAnsi="宋体"/>
          <w:sz w:val="28"/>
        </w:rPr>
      </w:pPr>
      <w:r>
        <w:rPr>
          <w:rFonts w:ascii="宋体" w:hAnsi="宋体" w:hint="eastAsia"/>
          <w:sz w:val="28"/>
        </w:rPr>
        <w:t>浙江大元泵业股份有限公司</w:t>
      </w:r>
    </w:p>
    <w:p w:rsidR="002860DA" w:rsidRDefault="00E17A67">
      <w:pPr>
        <w:pStyle w:val="a5"/>
        <w:spacing w:before="0" w:after="0"/>
        <w:rPr>
          <w:rFonts w:ascii="宋体" w:hAnsi="宋体"/>
          <w:sz w:val="28"/>
        </w:rPr>
      </w:pPr>
      <w:r>
        <w:rPr>
          <w:rFonts w:ascii="宋体" w:hAnsi="宋体" w:hint="eastAsia"/>
          <w:sz w:val="28"/>
        </w:rPr>
        <w:t>2024年投资者关系活动记录表</w:t>
      </w:r>
    </w:p>
    <w:p w:rsidR="002860DA" w:rsidRDefault="002860DA"/>
    <w:p w:rsidR="002860DA" w:rsidRDefault="00E17A67">
      <w:pPr>
        <w:jc w:val="right"/>
        <w:rPr>
          <w:rFonts w:ascii="宋体" w:hAnsi="宋体"/>
          <w:sz w:val="24"/>
        </w:rPr>
      </w:pPr>
      <w:r>
        <w:rPr>
          <w:rFonts w:ascii="宋体" w:hAnsi="宋体" w:hint="eastAsia"/>
          <w:sz w:val="24"/>
        </w:rPr>
        <w:t>编号：2024-006</w:t>
      </w:r>
    </w:p>
    <w:tbl>
      <w:tblPr>
        <w:tblStyle w:val="a6"/>
        <w:tblW w:w="9478" w:type="dxa"/>
        <w:jc w:val="center"/>
        <w:tblLook w:val="04A0" w:firstRow="1" w:lastRow="0" w:firstColumn="1" w:lastColumn="0" w:noHBand="0" w:noVBand="1"/>
      </w:tblPr>
      <w:tblGrid>
        <w:gridCol w:w="1809"/>
        <w:gridCol w:w="7669"/>
      </w:tblGrid>
      <w:tr w:rsidR="002860DA">
        <w:trPr>
          <w:trHeight w:val="1509"/>
          <w:jc w:val="center"/>
        </w:trPr>
        <w:tc>
          <w:tcPr>
            <w:tcW w:w="1809" w:type="dxa"/>
            <w:vAlign w:val="center"/>
          </w:tcPr>
          <w:p w:rsidR="002860DA" w:rsidRDefault="00E17A67">
            <w:pPr>
              <w:spacing w:line="360" w:lineRule="auto"/>
              <w:jc w:val="center"/>
              <w:rPr>
                <w:rFonts w:ascii="宋体" w:hAnsi="宋体"/>
                <w:sz w:val="24"/>
                <w:szCs w:val="24"/>
              </w:rPr>
            </w:pPr>
            <w:r>
              <w:rPr>
                <w:rFonts w:ascii="宋体" w:hAnsi="宋体" w:hint="eastAsia"/>
                <w:sz w:val="24"/>
                <w:szCs w:val="24"/>
              </w:rPr>
              <w:t>投资者关系活动类别</w:t>
            </w:r>
          </w:p>
        </w:tc>
        <w:tc>
          <w:tcPr>
            <w:tcW w:w="7669" w:type="dxa"/>
            <w:vAlign w:val="center"/>
          </w:tcPr>
          <w:p w:rsidR="002860DA" w:rsidRDefault="00E17A67">
            <w:pPr>
              <w:spacing w:line="360" w:lineRule="auto"/>
              <w:jc w:val="left"/>
              <w:rPr>
                <w:rFonts w:ascii="宋体" w:hAnsi="宋体"/>
                <w:sz w:val="24"/>
                <w:szCs w:val="24"/>
              </w:rPr>
            </w:pPr>
            <w:r>
              <w:rPr>
                <w:rFonts w:ascii="宋体" w:hAnsi="宋体" w:hint="eastAsia"/>
                <w:sz w:val="24"/>
                <w:szCs w:val="24"/>
              </w:rPr>
              <w:t>□特定对象调研    □</w:t>
            </w:r>
            <w:r>
              <w:rPr>
                <w:rFonts w:ascii="宋体" w:hAnsi="宋体"/>
                <w:sz w:val="24"/>
                <w:szCs w:val="24"/>
              </w:rPr>
              <w:t>分析师会议</w:t>
            </w:r>
            <w:r>
              <w:rPr>
                <w:rFonts w:ascii="宋体" w:hAnsi="宋体" w:hint="eastAsia"/>
                <w:sz w:val="24"/>
                <w:szCs w:val="24"/>
              </w:rPr>
              <w:t xml:space="preserve">    □</w:t>
            </w:r>
            <w:r>
              <w:rPr>
                <w:rFonts w:ascii="宋体" w:hAnsi="宋体"/>
                <w:sz w:val="24"/>
                <w:szCs w:val="24"/>
              </w:rPr>
              <w:t>媒体采访</w:t>
            </w:r>
          </w:p>
          <w:p w:rsidR="002860DA" w:rsidRDefault="00E17A67">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业绩说明会</w:t>
            </w:r>
            <w:r>
              <w:rPr>
                <w:rFonts w:ascii="宋体" w:hAnsi="宋体" w:hint="eastAsia"/>
                <w:sz w:val="24"/>
                <w:szCs w:val="24"/>
              </w:rPr>
              <w:t xml:space="preserve">      □</w:t>
            </w:r>
            <w:r>
              <w:rPr>
                <w:rFonts w:ascii="宋体" w:hAnsi="宋体"/>
                <w:sz w:val="24"/>
                <w:szCs w:val="24"/>
              </w:rPr>
              <w:t>新闻发布会</w:t>
            </w:r>
            <w:r>
              <w:rPr>
                <w:rFonts w:ascii="宋体" w:hAnsi="宋体" w:hint="eastAsia"/>
                <w:sz w:val="24"/>
                <w:szCs w:val="24"/>
              </w:rPr>
              <w:t xml:space="preserve">    □</w:t>
            </w:r>
            <w:r>
              <w:rPr>
                <w:rFonts w:ascii="宋体" w:hAnsi="宋体"/>
                <w:sz w:val="24"/>
                <w:szCs w:val="24"/>
              </w:rPr>
              <w:t>路演活动</w:t>
            </w:r>
          </w:p>
          <w:p w:rsidR="002860DA" w:rsidRDefault="00E17A67">
            <w:pPr>
              <w:spacing w:line="360" w:lineRule="auto"/>
              <w:jc w:val="left"/>
              <w:rPr>
                <w:rFonts w:ascii="宋体" w:hAnsi="宋体"/>
                <w:sz w:val="24"/>
                <w:szCs w:val="24"/>
              </w:rPr>
            </w:pPr>
            <w:r>
              <w:rPr>
                <w:rFonts w:ascii="宋体" w:hAnsi="宋体" w:hint="eastAsia"/>
                <w:sz w:val="24"/>
                <w:szCs w:val="24"/>
              </w:rPr>
              <w:t>□</w:t>
            </w:r>
            <w:r>
              <w:rPr>
                <w:rFonts w:ascii="宋体" w:hAnsi="宋体"/>
                <w:sz w:val="24"/>
                <w:szCs w:val="24"/>
              </w:rPr>
              <w:t>现场交流</w:t>
            </w:r>
            <w:r>
              <w:rPr>
                <w:rFonts w:ascii="宋体" w:hAnsi="宋体" w:hint="eastAsia"/>
                <w:sz w:val="24"/>
                <w:szCs w:val="24"/>
              </w:rPr>
              <w:t xml:space="preserve">        √电话会议      □</w:t>
            </w:r>
            <w:r>
              <w:rPr>
                <w:rFonts w:ascii="宋体" w:hAnsi="宋体"/>
                <w:sz w:val="24"/>
                <w:szCs w:val="24"/>
              </w:rPr>
              <w:t>其他</w:t>
            </w:r>
          </w:p>
        </w:tc>
      </w:tr>
      <w:tr w:rsidR="002860DA">
        <w:trPr>
          <w:jc w:val="center"/>
        </w:trPr>
        <w:tc>
          <w:tcPr>
            <w:tcW w:w="1809" w:type="dxa"/>
            <w:vAlign w:val="center"/>
          </w:tcPr>
          <w:p w:rsidR="002860DA" w:rsidRDefault="00E17A67">
            <w:pPr>
              <w:spacing w:line="360" w:lineRule="auto"/>
              <w:jc w:val="center"/>
              <w:rPr>
                <w:rFonts w:ascii="宋体" w:hAnsi="宋体"/>
                <w:sz w:val="24"/>
                <w:szCs w:val="24"/>
              </w:rPr>
            </w:pPr>
            <w:r>
              <w:rPr>
                <w:rFonts w:ascii="宋体" w:hAnsi="宋体" w:hint="eastAsia"/>
                <w:sz w:val="24"/>
                <w:szCs w:val="24"/>
              </w:rPr>
              <w:t>参与单位</w:t>
            </w:r>
          </w:p>
        </w:tc>
        <w:tc>
          <w:tcPr>
            <w:tcW w:w="7669" w:type="dxa"/>
            <w:vAlign w:val="center"/>
          </w:tcPr>
          <w:p w:rsidR="002860DA" w:rsidRDefault="00E17A67">
            <w:pPr>
              <w:spacing w:line="360" w:lineRule="auto"/>
              <w:jc w:val="left"/>
              <w:rPr>
                <w:rFonts w:ascii="宋体" w:hAnsi="宋体"/>
                <w:sz w:val="24"/>
                <w:szCs w:val="24"/>
              </w:rPr>
            </w:pPr>
            <w:r>
              <w:rPr>
                <w:rFonts w:ascii="宋体" w:hAnsi="宋体" w:hint="eastAsia"/>
                <w:sz w:val="24"/>
                <w:szCs w:val="24"/>
              </w:rPr>
              <w:t>汇添富基金、国信证券</w:t>
            </w:r>
          </w:p>
        </w:tc>
      </w:tr>
      <w:tr w:rsidR="002860DA">
        <w:trPr>
          <w:trHeight w:val="411"/>
          <w:jc w:val="center"/>
        </w:trPr>
        <w:tc>
          <w:tcPr>
            <w:tcW w:w="1809" w:type="dxa"/>
            <w:vAlign w:val="center"/>
          </w:tcPr>
          <w:p w:rsidR="002860DA" w:rsidRDefault="00E17A67">
            <w:pPr>
              <w:jc w:val="center"/>
              <w:rPr>
                <w:rFonts w:ascii="宋体" w:hAnsi="宋体"/>
                <w:sz w:val="24"/>
                <w:szCs w:val="24"/>
              </w:rPr>
            </w:pPr>
            <w:r>
              <w:rPr>
                <w:rFonts w:ascii="宋体" w:hAnsi="宋体" w:hint="eastAsia"/>
                <w:sz w:val="24"/>
                <w:szCs w:val="24"/>
              </w:rPr>
              <w:t>时间</w:t>
            </w:r>
          </w:p>
        </w:tc>
        <w:tc>
          <w:tcPr>
            <w:tcW w:w="7669" w:type="dxa"/>
            <w:vAlign w:val="center"/>
          </w:tcPr>
          <w:p w:rsidR="002860DA" w:rsidRDefault="00E17A67">
            <w:pPr>
              <w:jc w:val="left"/>
              <w:rPr>
                <w:rFonts w:ascii="宋体" w:hAnsi="宋体"/>
                <w:sz w:val="24"/>
                <w:szCs w:val="24"/>
              </w:rPr>
            </w:pPr>
            <w:r>
              <w:rPr>
                <w:rFonts w:ascii="宋体" w:hAnsi="宋体" w:hint="eastAsia"/>
                <w:sz w:val="24"/>
                <w:szCs w:val="24"/>
              </w:rPr>
              <w:t>2024年12月13日</w:t>
            </w:r>
          </w:p>
        </w:tc>
      </w:tr>
      <w:tr w:rsidR="002860DA">
        <w:trPr>
          <w:trHeight w:val="416"/>
          <w:jc w:val="center"/>
        </w:trPr>
        <w:tc>
          <w:tcPr>
            <w:tcW w:w="1809" w:type="dxa"/>
            <w:vAlign w:val="center"/>
          </w:tcPr>
          <w:p w:rsidR="002860DA" w:rsidRDefault="00E17A67">
            <w:pPr>
              <w:jc w:val="center"/>
              <w:rPr>
                <w:rFonts w:ascii="宋体" w:hAnsi="宋体"/>
                <w:sz w:val="24"/>
                <w:szCs w:val="24"/>
              </w:rPr>
            </w:pPr>
            <w:r>
              <w:rPr>
                <w:rFonts w:ascii="宋体" w:hAnsi="宋体" w:hint="eastAsia"/>
                <w:sz w:val="24"/>
                <w:szCs w:val="24"/>
              </w:rPr>
              <w:t>地点</w:t>
            </w:r>
          </w:p>
        </w:tc>
        <w:tc>
          <w:tcPr>
            <w:tcW w:w="7669" w:type="dxa"/>
            <w:vAlign w:val="center"/>
          </w:tcPr>
          <w:p w:rsidR="002860DA" w:rsidRDefault="00E17A67">
            <w:pPr>
              <w:jc w:val="left"/>
              <w:rPr>
                <w:rFonts w:ascii="宋体" w:hAnsi="宋体"/>
                <w:sz w:val="24"/>
                <w:szCs w:val="24"/>
              </w:rPr>
            </w:pPr>
            <w:r>
              <w:rPr>
                <w:rFonts w:ascii="宋体" w:hAnsi="宋体" w:hint="eastAsia"/>
                <w:sz w:val="24"/>
                <w:szCs w:val="24"/>
              </w:rPr>
              <w:t>线上交流</w:t>
            </w:r>
          </w:p>
        </w:tc>
      </w:tr>
      <w:tr w:rsidR="002860DA">
        <w:trPr>
          <w:trHeight w:val="409"/>
          <w:jc w:val="center"/>
        </w:trPr>
        <w:tc>
          <w:tcPr>
            <w:tcW w:w="1809" w:type="dxa"/>
            <w:vAlign w:val="center"/>
          </w:tcPr>
          <w:p w:rsidR="002860DA" w:rsidRDefault="00E17A67">
            <w:pPr>
              <w:jc w:val="center"/>
              <w:rPr>
                <w:rFonts w:ascii="宋体" w:hAnsi="宋体"/>
                <w:sz w:val="24"/>
                <w:szCs w:val="24"/>
              </w:rPr>
            </w:pPr>
            <w:r>
              <w:rPr>
                <w:rFonts w:ascii="宋体" w:hAnsi="宋体" w:hint="eastAsia"/>
                <w:sz w:val="24"/>
                <w:szCs w:val="24"/>
              </w:rPr>
              <w:t>公司接待人员</w:t>
            </w:r>
          </w:p>
        </w:tc>
        <w:tc>
          <w:tcPr>
            <w:tcW w:w="7669" w:type="dxa"/>
            <w:vAlign w:val="center"/>
          </w:tcPr>
          <w:p w:rsidR="002860DA" w:rsidRDefault="00E17A67">
            <w:pPr>
              <w:jc w:val="left"/>
              <w:rPr>
                <w:rFonts w:ascii="宋体" w:hAnsi="宋体"/>
                <w:sz w:val="24"/>
                <w:szCs w:val="24"/>
              </w:rPr>
            </w:pPr>
            <w:r>
              <w:rPr>
                <w:rFonts w:ascii="宋体" w:hAnsi="宋体"/>
                <w:sz w:val="24"/>
                <w:szCs w:val="24"/>
              </w:rPr>
              <w:t>公司董事会秘书</w:t>
            </w:r>
            <w:r>
              <w:rPr>
                <w:rFonts w:ascii="宋体" w:hAnsi="宋体" w:hint="eastAsia"/>
                <w:sz w:val="24"/>
                <w:szCs w:val="24"/>
              </w:rPr>
              <w:t>、证券事务代表</w:t>
            </w:r>
          </w:p>
        </w:tc>
      </w:tr>
      <w:tr w:rsidR="002860DA">
        <w:trPr>
          <w:jc w:val="center"/>
        </w:trPr>
        <w:tc>
          <w:tcPr>
            <w:tcW w:w="1809" w:type="dxa"/>
            <w:vAlign w:val="center"/>
          </w:tcPr>
          <w:p w:rsidR="002860DA" w:rsidRDefault="00E17A67">
            <w:pPr>
              <w:jc w:val="center"/>
              <w:rPr>
                <w:rFonts w:ascii="宋体" w:hAnsi="宋体"/>
                <w:sz w:val="24"/>
                <w:szCs w:val="24"/>
              </w:rPr>
            </w:pPr>
            <w:r>
              <w:rPr>
                <w:rFonts w:ascii="宋体" w:hAnsi="宋体" w:hint="eastAsia"/>
                <w:sz w:val="24"/>
                <w:szCs w:val="24"/>
              </w:rPr>
              <w:t>投资者交流主要内容和介绍</w:t>
            </w:r>
          </w:p>
        </w:tc>
        <w:tc>
          <w:tcPr>
            <w:tcW w:w="7669" w:type="dxa"/>
            <w:vAlign w:val="center"/>
          </w:tcPr>
          <w:p w:rsidR="002860DA" w:rsidRDefault="00E17A67">
            <w:pPr>
              <w:spacing w:line="360" w:lineRule="auto"/>
              <w:ind w:firstLineChars="200" w:firstLine="482"/>
              <w:rPr>
                <w:rFonts w:ascii="宋体" w:hAnsi="宋体"/>
                <w:b/>
                <w:sz w:val="24"/>
                <w:szCs w:val="24"/>
              </w:rPr>
            </w:pPr>
            <w:r>
              <w:rPr>
                <w:rFonts w:ascii="宋体" w:hAnsi="宋体" w:hint="eastAsia"/>
                <w:b/>
                <w:sz w:val="24"/>
                <w:szCs w:val="24"/>
              </w:rPr>
              <w:t>1、请问公司如何看待接下来的发展？</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答：从过往数据看，</w:t>
            </w:r>
            <w:r w:rsidR="003A75E3">
              <w:rPr>
                <w:rFonts w:ascii="宋体" w:hAnsi="宋体" w:hint="eastAsia"/>
                <w:sz w:val="24"/>
                <w:szCs w:val="24"/>
              </w:rPr>
              <w:t>公司</w:t>
            </w:r>
            <w:bookmarkStart w:id="0" w:name="_GoBack"/>
            <w:bookmarkEnd w:id="0"/>
            <w:r>
              <w:rPr>
                <w:rFonts w:ascii="宋体" w:hAnsi="宋体" w:hint="eastAsia"/>
                <w:sz w:val="24"/>
                <w:szCs w:val="24"/>
              </w:rPr>
              <w:t>去年</w:t>
            </w:r>
            <w:r>
              <w:rPr>
                <w:rFonts w:ascii="宋体" w:hAnsi="宋体"/>
                <w:sz w:val="24"/>
                <w:szCs w:val="24"/>
              </w:rPr>
              <w:t>第四季度</w:t>
            </w:r>
            <w:r>
              <w:rPr>
                <w:rFonts w:ascii="宋体" w:hAnsi="宋体" w:hint="eastAsia"/>
                <w:sz w:val="24"/>
                <w:szCs w:val="24"/>
              </w:rPr>
              <w:t>及今年</w:t>
            </w:r>
            <w:r>
              <w:rPr>
                <w:rFonts w:ascii="宋体" w:hAnsi="宋体"/>
                <w:sz w:val="24"/>
                <w:szCs w:val="24"/>
              </w:rPr>
              <w:t>一季度</w:t>
            </w:r>
            <w:r>
              <w:rPr>
                <w:rFonts w:ascii="宋体" w:hAnsi="宋体" w:hint="eastAsia"/>
                <w:sz w:val="24"/>
                <w:szCs w:val="24"/>
              </w:rPr>
              <w:t>基数较低，</w:t>
            </w:r>
            <w:r>
              <w:rPr>
                <w:rFonts w:ascii="宋体" w:hAnsi="宋体"/>
                <w:sz w:val="24"/>
                <w:szCs w:val="24"/>
              </w:rPr>
              <w:t>随着</w:t>
            </w:r>
            <w:r>
              <w:rPr>
                <w:rFonts w:ascii="宋体" w:hAnsi="宋体" w:hint="eastAsia"/>
                <w:sz w:val="24"/>
                <w:szCs w:val="24"/>
              </w:rPr>
              <w:t>目前</w:t>
            </w:r>
            <w:r>
              <w:rPr>
                <w:rFonts w:ascii="宋体" w:hAnsi="宋体"/>
                <w:sz w:val="24"/>
                <w:szCs w:val="24"/>
              </w:rPr>
              <w:t>国家的各项产业、经济、消费政策的出台及落地，</w:t>
            </w:r>
            <w:r>
              <w:rPr>
                <w:rFonts w:ascii="宋体" w:hAnsi="宋体" w:hint="eastAsia"/>
                <w:sz w:val="24"/>
                <w:szCs w:val="24"/>
              </w:rPr>
              <w:t>预计公司接下来发展面临的内外部压力将得到缓解</w:t>
            </w:r>
            <w:r>
              <w:rPr>
                <w:rFonts w:ascii="宋体" w:hAnsi="宋体"/>
                <w:sz w:val="24"/>
                <w:szCs w:val="24"/>
              </w:rPr>
              <w:t>。</w:t>
            </w:r>
            <w:r>
              <w:rPr>
                <w:rFonts w:ascii="宋体" w:hAnsi="宋体" w:hint="eastAsia"/>
                <w:sz w:val="24"/>
                <w:szCs w:val="24"/>
              </w:rPr>
              <w:t>从行业格局上看，工业、商用</w:t>
            </w:r>
            <w:r w:rsidR="00002CC2">
              <w:rPr>
                <w:rFonts w:ascii="宋体" w:hAnsi="宋体" w:hint="eastAsia"/>
                <w:sz w:val="24"/>
                <w:szCs w:val="24"/>
              </w:rPr>
              <w:t>、</w:t>
            </w:r>
            <w:proofErr w:type="gramStart"/>
            <w:r>
              <w:rPr>
                <w:rFonts w:ascii="宋体" w:hAnsi="宋体" w:hint="eastAsia"/>
                <w:sz w:val="24"/>
                <w:szCs w:val="24"/>
              </w:rPr>
              <w:t>民用等</w:t>
            </w:r>
            <w:proofErr w:type="gramEnd"/>
            <w:r>
              <w:rPr>
                <w:rFonts w:ascii="宋体" w:hAnsi="宋体" w:hint="eastAsia"/>
                <w:sz w:val="24"/>
                <w:szCs w:val="24"/>
              </w:rPr>
              <w:t>各场景中细分机会方兴未艾，传统产品领域国产替代、行业出清趋势渐露端倪，公司对未来及行业发展保持信心。</w:t>
            </w:r>
          </w:p>
          <w:p w:rsidR="002860DA" w:rsidRDefault="00E17A67">
            <w:pPr>
              <w:spacing w:line="360" w:lineRule="auto"/>
              <w:ind w:firstLineChars="200" w:firstLine="482"/>
              <w:rPr>
                <w:rFonts w:ascii="宋体" w:hAnsi="宋体"/>
                <w:b/>
                <w:sz w:val="24"/>
                <w:szCs w:val="24"/>
              </w:rPr>
            </w:pPr>
            <w:r>
              <w:rPr>
                <w:rFonts w:ascii="宋体" w:hAnsi="宋体" w:hint="eastAsia"/>
                <w:b/>
                <w:sz w:val="24"/>
                <w:szCs w:val="24"/>
              </w:rPr>
              <w:t>2、能和我们分享一下欧洲热泵行业的近期情况么，公司如何看待热泵行业的未来发展？</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答：</w:t>
            </w:r>
            <w:r>
              <w:rPr>
                <w:rFonts w:ascii="宋体" w:hAnsi="宋体"/>
                <w:sz w:val="24"/>
                <w:szCs w:val="24"/>
              </w:rPr>
              <w:t>近期以来，德国、欧盟的热泵补贴政策相继出台，让我们看到了欧洲</w:t>
            </w:r>
            <w:r>
              <w:rPr>
                <w:rFonts w:ascii="宋体" w:hAnsi="宋体" w:hint="eastAsia"/>
                <w:sz w:val="24"/>
                <w:szCs w:val="24"/>
              </w:rPr>
              <w:t>政策层面</w:t>
            </w:r>
            <w:r>
              <w:rPr>
                <w:rFonts w:ascii="宋体" w:hAnsi="宋体"/>
                <w:sz w:val="24"/>
                <w:szCs w:val="24"/>
              </w:rPr>
              <w:t>对于热泵行业发展的决心</w:t>
            </w:r>
            <w:r>
              <w:rPr>
                <w:rFonts w:ascii="宋体" w:hAnsi="宋体" w:hint="eastAsia"/>
                <w:sz w:val="24"/>
                <w:szCs w:val="24"/>
              </w:rPr>
              <w:t>。</w:t>
            </w:r>
            <w:r>
              <w:rPr>
                <w:rFonts w:ascii="宋体" w:hAnsi="宋体"/>
                <w:sz w:val="24"/>
                <w:szCs w:val="24"/>
              </w:rPr>
              <w:t>热泵产业的发展与政府及企业的推动息息相关，未来，随着政府政策的合理引导及各大主机厂对热泵</w:t>
            </w:r>
            <w:r>
              <w:rPr>
                <w:rFonts w:ascii="宋体" w:hAnsi="宋体" w:hint="eastAsia"/>
                <w:sz w:val="24"/>
                <w:szCs w:val="24"/>
              </w:rPr>
              <w:t>产业链</w:t>
            </w:r>
            <w:r>
              <w:rPr>
                <w:rFonts w:ascii="宋体" w:hAnsi="宋体"/>
                <w:sz w:val="24"/>
                <w:szCs w:val="24"/>
              </w:rPr>
              <w:t>的优化升级，</w:t>
            </w:r>
            <w:r>
              <w:rPr>
                <w:rFonts w:ascii="宋体" w:hAnsi="宋体" w:hint="eastAsia"/>
                <w:sz w:val="24"/>
                <w:szCs w:val="24"/>
              </w:rPr>
              <w:t>预计行业</w:t>
            </w:r>
            <w:r>
              <w:rPr>
                <w:rFonts w:ascii="宋体" w:hAnsi="宋体"/>
                <w:sz w:val="24"/>
                <w:szCs w:val="24"/>
              </w:rPr>
              <w:t>需求</w:t>
            </w:r>
            <w:r>
              <w:rPr>
                <w:rFonts w:ascii="宋体" w:hAnsi="宋体" w:hint="eastAsia"/>
                <w:sz w:val="24"/>
                <w:szCs w:val="24"/>
              </w:rPr>
              <w:t>释放的确定性将逐步增强</w:t>
            </w:r>
            <w:r>
              <w:rPr>
                <w:rFonts w:ascii="宋体" w:hAnsi="宋体"/>
                <w:sz w:val="24"/>
                <w:szCs w:val="24"/>
              </w:rPr>
              <w:t>。</w:t>
            </w:r>
          </w:p>
          <w:p w:rsidR="002860DA" w:rsidRDefault="00E17A67">
            <w:pPr>
              <w:spacing w:line="360" w:lineRule="auto"/>
              <w:ind w:firstLineChars="200" w:firstLine="482"/>
              <w:rPr>
                <w:rFonts w:ascii="宋体" w:hAnsi="宋体"/>
                <w:b/>
                <w:sz w:val="24"/>
                <w:szCs w:val="24"/>
              </w:rPr>
            </w:pPr>
            <w:r>
              <w:rPr>
                <w:rFonts w:ascii="宋体" w:hAnsi="宋体" w:hint="eastAsia"/>
                <w:b/>
                <w:sz w:val="24"/>
                <w:szCs w:val="24"/>
              </w:rPr>
              <w:t>3、公司如何看待农泵业务的未来发展</w:t>
            </w:r>
            <w:r>
              <w:rPr>
                <w:rFonts w:ascii="宋体" w:hAnsi="宋体"/>
                <w:b/>
                <w:sz w:val="24"/>
                <w:szCs w:val="24"/>
              </w:rPr>
              <w:t>?</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答：农泵业务与国内宏观经济形势具有较高关联度，若未来积极有效的经济政策得到落地和实施，农泵发展的外部环境将能得到有效改善；同时，受国家环保政策趋严、产品技术更新换代等因素的影响，农泵行业中一些体量及抗风险能力较小的企业压力逐步增大，预计未来市场的</w:t>
            </w:r>
            <w:r>
              <w:rPr>
                <w:rFonts w:ascii="宋体" w:hAnsi="宋体" w:hint="eastAsia"/>
                <w:sz w:val="24"/>
                <w:szCs w:val="24"/>
              </w:rPr>
              <w:lastRenderedPageBreak/>
              <w:t>集中度有望稳步提升。因此对专注主业的企业来讲</w:t>
            </w:r>
            <w:r w:rsidR="00073615">
              <w:rPr>
                <w:rFonts w:ascii="宋体" w:hAnsi="宋体" w:hint="eastAsia"/>
                <w:sz w:val="24"/>
                <w:szCs w:val="24"/>
              </w:rPr>
              <w:t>，</w:t>
            </w:r>
            <w:r>
              <w:rPr>
                <w:rFonts w:ascii="宋体" w:hAnsi="宋体" w:hint="eastAsia"/>
                <w:sz w:val="24"/>
                <w:szCs w:val="24"/>
              </w:rPr>
              <w:t>农</w:t>
            </w:r>
            <w:proofErr w:type="gramStart"/>
            <w:r>
              <w:rPr>
                <w:rFonts w:ascii="宋体" w:hAnsi="宋体" w:hint="eastAsia"/>
                <w:sz w:val="24"/>
                <w:szCs w:val="24"/>
              </w:rPr>
              <w:t>泵行业</w:t>
            </w:r>
            <w:proofErr w:type="gramEnd"/>
            <w:r>
              <w:rPr>
                <w:rFonts w:ascii="宋体" w:hAnsi="宋体" w:hint="eastAsia"/>
                <w:sz w:val="24"/>
                <w:szCs w:val="24"/>
              </w:rPr>
              <w:t>仍然存在增量机会，公司也将在管理层面不断加强改革和调整，顺应趋势，把握行业发展机遇。</w:t>
            </w:r>
          </w:p>
          <w:p w:rsidR="002860DA" w:rsidRDefault="00E17A67">
            <w:pPr>
              <w:spacing w:line="360" w:lineRule="auto"/>
              <w:ind w:firstLineChars="200" w:firstLine="482"/>
              <w:rPr>
                <w:rFonts w:ascii="宋体" w:hAnsi="宋体"/>
                <w:b/>
                <w:sz w:val="24"/>
                <w:szCs w:val="24"/>
              </w:rPr>
            </w:pPr>
            <w:r>
              <w:rPr>
                <w:rFonts w:ascii="宋体" w:hAnsi="宋体" w:hint="eastAsia"/>
                <w:b/>
                <w:sz w:val="24"/>
                <w:szCs w:val="24"/>
              </w:rPr>
              <w:t>4、公司工业泵及液冷泵业务的未来关注点和发展方向？</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答：1、从化工</w:t>
            </w:r>
            <w:proofErr w:type="gramStart"/>
            <w:r>
              <w:rPr>
                <w:rFonts w:ascii="宋体" w:hAnsi="宋体" w:hint="eastAsia"/>
                <w:sz w:val="24"/>
                <w:szCs w:val="24"/>
              </w:rPr>
              <w:t>泵业务</w:t>
            </w:r>
            <w:proofErr w:type="gramEnd"/>
            <w:r>
              <w:rPr>
                <w:rFonts w:ascii="宋体" w:hAnsi="宋体" w:hint="eastAsia"/>
                <w:sz w:val="24"/>
                <w:szCs w:val="24"/>
              </w:rPr>
              <w:t>来看，随着国际产业链的变迁，诸如中东、俄罗斯、东南亚等国家和地区都存在新的增量需求，目前公司在部分地区的业务开拓已取得一定进展，接下来将进一步加大投入，发挥自身产品和品牌优势，挖掘新客户、新市场；2、从公司前三季度液冷</w:t>
            </w:r>
            <w:proofErr w:type="gramStart"/>
            <w:r>
              <w:rPr>
                <w:rFonts w:ascii="宋体" w:hAnsi="宋体" w:hint="eastAsia"/>
                <w:sz w:val="24"/>
                <w:szCs w:val="24"/>
              </w:rPr>
              <w:t>泵业务</w:t>
            </w:r>
            <w:proofErr w:type="gramEnd"/>
            <w:r>
              <w:rPr>
                <w:rFonts w:ascii="宋体" w:hAnsi="宋体" w:hint="eastAsia"/>
                <w:sz w:val="24"/>
                <w:szCs w:val="24"/>
              </w:rPr>
              <w:t>发展来看，以风电、IDC、汽车为代表的新型能源管理市场发展态势良好，接下来，公司将继续深化与英维克、曙光等行业客户的联系与服务，紧跟行业趋势，推动相关业务的稳步发展。</w:t>
            </w:r>
          </w:p>
          <w:p w:rsidR="002860DA" w:rsidRDefault="00E17A67">
            <w:pPr>
              <w:spacing w:line="360" w:lineRule="auto"/>
              <w:ind w:firstLineChars="200" w:firstLine="482"/>
              <w:rPr>
                <w:rFonts w:ascii="宋体" w:hAnsi="宋体"/>
                <w:b/>
                <w:sz w:val="24"/>
                <w:szCs w:val="24"/>
              </w:rPr>
            </w:pPr>
            <w:r>
              <w:rPr>
                <w:rFonts w:ascii="宋体" w:hAnsi="宋体" w:hint="eastAsia"/>
                <w:b/>
                <w:sz w:val="24"/>
                <w:szCs w:val="24"/>
              </w:rPr>
              <w:t>5、今年公司的家用节能泵产品在价格上会有竞争么？</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答：目前来看，欧洲家用节能</w:t>
            </w:r>
            <w:proofErr w:type="gramStart"/>
            <w:r>
              <w:rPr>
                <w:rFonts w:ascii="宋体" w:hAnsi="宋体" w:hint="eastAsia"/>
                <w:sz w:val="24"/>
                <w:szCs w:val="24"/>
              </w:rPr>
              <w:t>泵市场</w:t>
            </w:r>
            <w:proofErr w:type="gramEnd"/>
            <w:r>
              <w:rPr>
                <w:rFonts w:ascii="宋体" w:hAnsi="宋体" w:hint="eastAsia"/>
                <w:sz w:val="24"/>
                <w:szCs w:val="24"/>
              </w:rPr>
              <w:t>的价格体系整体较为较稳</w:t>
            </w:r>
            <w:r>
              <w:rPr>
                <w:rFonts w:ascii="宋体" w:hAnsi="宋体"/>
                <w:sz w:val="24"/>
                <w:szCs w:val="24"/>
              </w:rPr>
              <w:t>定，</w:t>
            </w:r>
            <w:r>
              <w:rPr>
                <w:rFonts w:ascii="宋体" w:hAnsi="宋体" w:hint="eastAsia"/>
                <w:sz w:val="24"/>
                <w:szCs w:val="24"/>
              </w:rPr>
              <w:t>主要原因为家</w:t>
            </w:r>
            <w:r>
              <w:rPr>
                <w:rFonts w:ascii="宋体" w:hAnsi="宋体"/>
                <w:sz w:val="24"/>
                <w:szCs w:val="24"/>
              </w:rPr>
              <w:t>用节能</w:t>
            </w:r>
            <w:proofErr w:type="gramStart"/>
            <w:r>
              <w:rPr>
                <w:rFonts w:ascii="宋体" w:hAnsi="宋体"/>
                <w:sz w:val="24"/>
                <w:szCs w:val="24"/>
              </w:rPr>
              <w:t>泵产品</w:t>
            </w:r>
            <w:proofErr w:type="gramEnd"/>
            <w:r w:rsidR="00243175">
              <w:rPr>
                <w:rFonts w:ascii="宋体" w:hAnsi="宋体"/>
                <w:sz w:val="24"/>
                <w:szCs w:val="24"/>
              </w:rPr>
              <w:t>在</w:t>
            </w:r>
            <w:r>
              <w:rPr>
                <w:rFonts w:ascii="宋体" w:hAnsi="宋体"/>
                <w:sz w:val="24"/>
                <w:szCs w:val="24"/>
              </w:rPr>
              <w:t>技术及业务</w:t>
            </w:r>
            <w:r>
              <w:rPr>
                <w:rFonts w:ascii="宋体" w:hAnsi="宋体" w:hint="eastAsia"/>
                <w:sz w:val="24"/>
                <w:szCs w:val="24"/>
              </w:rPr>
              <w:t>开拓</w:t>
            </w:r>
            <w:r>
              <w:rPr>
                <w:rFonts w:ascii="宋体" w:hAnsi="宋体"/>
                <w:sz w:val="24"/>
                <w:szCs w:val="24"/>
              </w:rPr>
              <w:t>等领域具有一定的准入门槛。</w:t>
            </w:r>
          </w:p>
          <w:p w:rsidR="002860DA" w:rsidRDefault="00E17A67">
            <w:pPr>
              <w:spacing w:line="360" w:lineRule="auto"/>
              <w:ind w:firstLineChars="200" w:firstLine="482"/>
              <w:rPr>
                <w:rFonts w:ascii="宋体" w:hAnsi="宋体"/>
                <w:sz w:val="24"/>
                <w:szCs w:val="24"/>
              </w:rPr>
            </w:pPr>
            <w:r>
              <w:rPr>
                <w:rFonts w:ascii="宋体" w:hAnsi="宋体" w:hint="eastAsia"/>
                <w:b/>
                <w:sz w:val="24"/>
                <w:szCs w:val="24"/>
              </w:rPr>
              <w:t>6、公司的现金分红能否继续保持较高比例？</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答：2024年以来，公司已实施的2024年半年度分红及2024年度的股份回购金额总额已达1.17亿</w:t>
            </w:r>
            <w:r w:rsidR="00EC0648">
              <w:rPr>
                <w:rFonts w:ascii="宋体" w:hAnsi="宋体" w:hint="eastAsia"/>
                <w:sz w:val="24"/>
                <w:szCs w:val="24"/>
              </w:rPr>
              <w:t>元（其中回购金额不包含印花税及交易佣金等费用），占公司前三季度归母</w:t>
            </w:r>
            <w:r>
              <w:rPr>
                <w:rFonts w:ascii="宋体" w:hAnsi="宋体" w:hint="eastAsia"/>
                <w:sz w:val="24"/>
                <w:szCs w:val="24"/>
              </w:rPr>
              <w:t>净利润</w:t>
            </w:r>
            <w:r w:rsidR="00EC0648">
              <w:rPr>
                <w:rFonts w:ascii="宋体" w:hAnsi="宋体" w:hint="eastAsia"/>
                <w:sz w:val="24"/>
                <w:szCs w:val="24"/>
              </w:rPr>
              <w:t>的</w:t>
            </w:r>
            <w:r>
              <w:rPr>
                <w:rFonts w:ascii="宋体" w:hAnsi="宋体" w:hint="eastAsia"/>
                <w:sz w:val="24"/>
                <w:szCs w:val="24"/>
              </w:rPr>
              <w:t>比例已经超过60%。</w:t>
            </w:r>
          </w:p>
          <w:p w:rsidR="002860DA" w:rsidRDefault="00E17A67">
            <w:pPr>
              <w:spacing w:line="360" w:lineRule="auto"/>
              <w:ind w:firstLineChars="202" w:firstLine="485"/>
              <w:rPr>
                <w:rFonts w:ascii="宋体" w:hAnsi="宋体"/>
                <w:sz w:val="24"/>
                <w:szCs w:val="24"/>
              </w:rPr>
            </w:pPr>
            <w:r>
              <w:rPr>
                <w:rFonts w:ascii="宋体" w:hAnsi="宋体" w:hint="eastAsia"/>
                <w:sz w:val="24"/>
                <w:szCs w:val="24"/>
              </w:rPr>
              <w:t>未来几年，基于公司对所处行业需求确定性认知及企业自身业务发展信心，公司现有资源将更聚焦和支持主业的发展。后续，公司将根据实际经营发展情况及监管要求制定具有可行和可持续性的分红政策及回报规划，届时请关注公司相关公告。</w:t>
            </w:r>
          </w:p>
        </w:tc>
      </w:tr>
      <w:tr w:rsidR="002860DA">
        <w:trPr>
          <w:jc w:val="center"/>
        </w:trPr>
        <w:tc>
          <w:tcPr>
            <w:tcW w:w="1809" w:type="dxa"/>
            <w:vAlign w:val="center"/>
          </w:tcPr>
          <w:p w:rsidR="002860DA" w:rsidRDefault="00E17A67">
            <w:pPr>
              <w:jc w:val="center"/>
              <w:rPr>
                <w:rFonts w:ascii="宋体" w:hAnsi="宋体"/>
                <w:sz w:val="24"/>
                <w:szCs w:val="24"/>
              </w:rPr>
            </w:pPr>
            <w:r>
              <w:rPr>
                <w:rFonts w:ascii="宋体" w:hAnsi="宋体" w:hint="eastAsia"/>
                <w:sz w:val="24"/>
                <w:szCs w:val="24"/>
              </w:rPr>
              <w:lastRenderedPageBreak/>
              <w:t>附件清单</w:t>
            </w:r>
          </w:p>
          <w:p w:rsidR="002860DA" w:rsidRDefault="00E17A67">
            <w:pPr>
              <w:jc w:val="center"/>
              <w:rPr>
                <w:rFonts w:ascii="宋体" w:hAnsi="宋体"/>
                <w:sz w:val="24"/>
                <w:szCs w:val="24"/>
              </w:rPr>
            </w:pPr>
            <w:r>
              <w:rPr>
                <w:rFonts w:ascii="宋体" w:hAnsi="宋体" w:hint="eastAsia"/>
                <w:sz w:val="24"/>
                <w:szCs w:val="24"/>
              </w:rPr>
              <w:t>（如有）</w:t>
            </w:r>
          </w:p>
        </w:tc>
        <w:tc>
          <w:tcPr>
            <w:tcW w:w="7669" w:type="dxa"/>
            <w:vAlign w:val="center"/>
          </w:tcPr>
          <w:p w:rsidR="002860DA" w:rsidRDefault="002860DA">
            <w:pPr>
              <w:spacing w:line="360" w:lineRule="auto"/>
              <w:jc w:val="left"/>
              <w:rPr>
                <w:rFonts w:ascii="宋体" w:hAnsi="宋体"/>
                <w:sz w:val="24"/>
                <w:szCs w:val="24"/>
              </w:rPr>
            </w:pPr>
          </w:p>
        </w:tc>
      </w:tr>
      <w:tr w:rsidR="002860DA">
        <w:trPr>
          <w:trHeight w:val="558"/>
          <w:jc w:val="center"/>
        </w:trPr>
        <w:tc>
          <w:tcPr>
            <w:tcW w:w="1809" w:type="dxa"/>
            <w:vAlign w:val="center"/>
          </w:tcPr>
          <w:p w:rsidR="002860DA" w:rsidRDefault="00E17A67">
            <w:pPr>
              <w:jc w:val="center"/>
              <w:rPr>
                <w:rFonts w:ascii="宋体" w:hAnsi="宋体"/>
                <w:sz w:val="24"/>
                <w:szCs w:val="24"/>
              </w:rPr>
            </w:pPr>
            <w:r>
              <w:rPr>
                <w:rFonts w:ascii="宋体" w:hAnsi="宋体" w:hint="eastAsia"/>
                <w:sz w:val="24"/>
                <w:szCs w:val="24"/>
              </w:rPr>
              <w:t>整理日期</w:t>
            </w:r>
          </w:p>
        </w:tc>
        <w:tc>
          <w:tcPr>
            <w:tcW w:w="7669" w:type="dxa"/>
            <w:vAlign w:val="center"/>
          </w:tcPr>
          <w:p w:rsidR="002860DA" w:rsidRDefault="00E17A67">
            <w:pPr>
              <w:jc w:val="left"/>
              <w:rPr>
                <w:rFonts w:ascii="宋体" w:hAnsi="宋体"/>
                <w:sz w:val="24"/>
                <w:szCs w:val="24"/>
              </w:rPr>
            </w:pPr>
            <w:r>
              <w:rPr>
                <w:rFonts w:ascii="宋体" w:hAnsi="宋体"/>
                <w:sz w:val="24"/>
                <w:szCs w:val="24"/>
              </w:rPr>
              <w:t>202</w:t>
            </w:r>
            <w:r>
              <w:rPr>
                <w:rFonts w:ascii="宋体" w:hAnsi="宋体" w:hint="eastAsia"/>
                <w:sz w:val="24"/>
                <w:szCs w:val="24"/>
              </w:rPr>
              <w:t>4</w:t>
            </w:r>
            <w:r>
              <w:rPr>
                <w:rFonts w:ascii="宋体" w:hAnsi="宋体"/>
                <w:sz w:val="24"/>
                <w:szCs w:val="24"/>
              </w:rPr>
              <w:t>年1</w:t>
            </w:r>
            <w:r>
              <w:rPr>
                <w:rFonts w:ascii="宋体" w:hAnsi="宋体" w:hint="eastAsia"/>
                <w:sz w:val="24"/>
                <w:szCs w:val="24"/>
              </w:rPr>
              <w:t>2</w:t>
            </w:r>
            <w:r>
              <w:rPr>
                <w:rFonts w:ascii="宋体" w:hAnsi="宋体"/>
                <w:sz w:val="24"/>
                <w:szCs w:val="24"/>
              </w:rPr>
              <w:t>月</w:t>
            </w:r>
            <w:r>
              <w:rPr>
                <w:rFonts w:ascii="宋体" w:hAnsi="宋体" w:hint="eastAsia"/>
                <w:sz w:val="24"/>
                <w:szCs w:val="24"/>
              </w:rPr>
              <w:t>13</w:t>
            </w:r>
            <w:r>
              <w:rPr>
                <w:rFonts w:ascii="宋体" w:hAnsi="宋体"/>
                <w:sz w:val="24"/>
                <w:szCs w:val="24"/>
              </w:rPr>
              <w:t>日</w:t>
            </w:r>
          </w:p>
        </w:tc>
      </w:tr>
    </w:tbl>
    <w:p w:rsidR="002860DA" w:rsidRDefault="002860DA">
      <w:pPr>
        <w:jc w:val="left"/>
      </w:pPr>
    </w:p>
    <w:sectPr w:rsidR="00286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4E2CBC"/>
    <w:lvl w:ilvl="0" w:tplc="2982E7A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0000002"/>
    <w:multiLevelType w:val="hybridMultilevel"/>
    <w:tmpl w:val="9C5620EA"/>
    <w:lvl w:ilvl="0" w:tplc="EC66B77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6E51775F"/>
    <w:multiLevelType w:val="hybridMultilevel"/>
    <w:tmpl w:val="DAF46218"/>
    <w:lvl w:ilvl="0" w:tplc="BDE46832">
      <w:start w:val="1"/>
      <w:numFmt w:val="japaneseCounting"/>
      <w:lvlText w:val="%1、"/>
      <w:lvlJc w:val="left"/>
      <w:pPr>
        <w:ind w:left="510" w:hanging="51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DA"/>
    <w:rsid w:val="00002CC2"/>
    <w:rsid w:val="00073615"/>
    <w:rsid w:val="00243175"/>
    <w:rsid w:val="002860DA"/>
    <w:rsid w:val="003A75E3"/>
    <w:rsid w:val="00CE17DE"/>
    <w:rsid w:val="00E17A67"/>
    <w:rsid w:val="00EC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2Char">
    <w:name w:val="标题 2 Char"/>
    <w:basedOn w:val="a0"/>
    <w:link w:val="2"/>
    <w:uiPriority w:val="9"/>
    <w:rPr>
      <w:rFonts w:ascii="Cambria" w:eastAsia="宋体" w:hAnsi="Cambria" w:cs="宋体"/>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Cambria" w:eastAsia="宋体" w:hAnsi="Cambria" w:cs="宋体"/>
      <w:b/>
      <w:bCs/>
      <w:sz w:val="28"/>
      <w:szCs w:val="2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5"/>
    <w:uiPriority w:val="11"/>
    <w:rPr>
      <w:rFonts w:ascii="Cambria" w:eastAsia="宋体" w:hAnsi="Cambria" w:cs="宋体"/>
      <w:b/>
      <w:bCs/>
      <w:kern w:val="28"/>
      <w:sz w:val="32"/>
      <w:szCs w:val="32"/>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styleId="a8">
    <w:name w:val="annotation reference"/>
    <w:basedOn w:val="a0"/>
    <w:uiPriority w:val="99"/>
    <w:rPr>
      <w:sz w:val="21"/>
      <w:szCs w:val="21"/>
    </w:rPr>
  </w:style>
  <w:style w:type="paragraph" w:styleId="a9">
    <w:name w:val="annotation text"/>
    <w:basedOn w:val="a"/>
    <w:link w:val="Char2"/>
    <w:uiPriority w:val="99"/>
    <w:pPr>
      <w:jc w:val="left"/>
    </w:pPr>
  </w:style>
  <w:style w:type="character" w:customStyle="1" w:styleId="Char2">
    <w:name w:val="批注文字 Char"/>
    <w:basedOn w:val="a0"/>
    <w:link w:val="a9"/>
    <w:uiPriority w:val="99"/>
  </w:style>
  <w:style w:type="paragraph" w:styleId="aa">
    <w:name w:val="annotation subject"/>
    <w:basedOn w:val="a9"/>
    <w:next w:val="a9"/>
    <w:link w:val="Char3"/>
    <w:uiPriority w:val="99"/>
    <w:rPr>
      <w:b/>
      <w:bCs/>
    </w:rPr>
  </w:style>
  <w:style w:type="character" w:customStyle="1" w:styleId="Char3">
    <w:name w:val="批注主题 Char"/>
    <w:basedOn w:val="Char2"/>
    <w:link w:val="aa"/>
    <w:uiPriority w:val="99"/>
    <w:rPr>
      <w:b/>
      <w:bCs/>
    </w:rPr>
  </w:style>
  <w:style w:type="paragraph" w:styleId="ab">
    <w:name w:val="Balloon Text"/>
    <w:basedOn w:val="a"/>
    <w:link w:val="Char4"/>
    <w:uiPriority w:val="99"/>
    <w:rPr>
      <w:sz w:val="18"/>
      <w:szCs w:val="18"/>
    </w:rPr>
  </w:style>
  <w:style w:type="character" w:customStyle="1" w:styleId="Char4">
    <w:name w:val="批注框文本 Char"/>
    <w:basedOn w:val="a0"/>
    <w:link w:val="ab"/>
    <w:uiPriority w:val="99"/>
    <w:rPr>
      <w:sz w:val="18"/>
      <w:szCs w:val="18"/>
    </w:rPr>
  </w:style>
  <w:style w:type="paragraph" w:styleId="ac">
    <w:name w:val="Revision"/>
    <w:uiPriority w:val="99"/>
  </w:style>
  <w:style w:type="character" w:styleId="a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BCD8A-1D4F-45C6-A9C8-A009A31F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206</Words>
  <Characters>1175</Characters>
  <Application>Microsoft Office Word</Application>
  <DocSecurity>0</DocSecurity>
  <Lines>9</Lines>
  <Paragraphs>2</Paragraphs>
  <ScaleCrop>false</ScaleCrop>
  <Company>微软中国</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HLX</dc:creator>
  <cp:lastModifiedBy>w</cp:lastModifiedBy>
  <cp:revision>22</cp:revision>
  <dcterms:created xsi:type="dcterms:W3CDTF">2023-09-14T09:41:00Z</dcterms:created>
  <dcterms:modified xsi:type="dcterms:W3CDTF">2024-12-13T10:37:00Z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cdd89f17aba743ca87114657e84274c4</vt:lpwstr>
  </property>
</Properties>
</file>