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F3" w:rsidRPr="00315A35" w:rsidRDefault="008014F3" w:rsidP="002A241C">
      <w:pPr>
        <w:widowControl w:val="0"/>
        <w:snapToGrid w:val="0"/>
        <w:spacing w:line="360" w:lineRule="auto"/>
        <w:ind w:rightChars="-142" w:right="-341"/>
        <w:jc w:val="both"/>
        <w:rPr>
          <w:rFonts w:ascii="Times New Roman" w:hAnsi="Times New Roman" w:cs="Times New Roman"/>
          <w:b/>
          <w:kern w:val="2"/>
        </w:rPr>
      </w:pPr>
      <w:r w:rsidRPr="00315A35">
        <w:rPr>
          <w:rFonts w:ascii="Times New Roman" w:hAnsi="Times New Roman" w:cs="Times New Roman"/>
          <w:b/>
          <w:kern w:val="2"/>
        </w:rPr>
        <w:t>证券代码：</w:t>
      </w:r>
      <w:r w:rsidRPr="00315A35">
        <w:rPr>
          <w:rFonts w:ascii="Times New Roman" w:hAnsi="Times New Roman" w:cs="Times New Roman"/>
          <w:b/>
          <w:kern w:val="2"/>
        </w:rPr>
        <w:t xml:space="preserve">603790                                 </w:t>
      </w:r>
      <w:r w:rsidR="002A241C" w:rsidRPr="00315A35">
        <w:rPr>
          <w:rFonts w:ascii="Times New Roman" w:hAnsi="Times New Roman" w:cs="Times New Roman"/>
          <w:b/>
          <w:kern w:val="2"/>
        </w:rPr>
        <w:t xml:space="preserve">   </w:t>
      </w:r>
      <w:r w:rsidRPr="00315A35">
        <w:rPr>
          <w:rFonts w:ascii="Times New Roman" w:hAnsi="Times New Roman" w:cs="Times New Roman"/>
          <w:b/>
          <w:kern w:val="2"/>
        </w:rPr>
        <w:t>证券简称：雅运股份</w:t>
      </w:r>
      <w:r w:rsidRPr="00315A35">
        <w:rPr>
          <w:rFonts w:ascii="Times New Roman" w:hAnsi="Times New Roman" w:cs="Times New Roman"/>
          <w:b/>
          <w:kern w:val="2"/>
        </w:rPr>
        <w:t xml:space="preserve">           </w:t>
      </w:r>
    </w:p>
    <w:p w:rsidR="008014F3" w:rsidRPr="00315A35" w:rsidRDefault="008014F3" w:rsidP="008014F3">
      <w:pPr>
        <w:widowControl w:val="0"/>
        <w:snapToGrid w:val="0"/>
        <w:spacing w:beforeLines="50" w:before="156"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上海雅运纺织化工股份有限公司</w:t>
      </w:r>
    </w:p>
    <w:p w:rsidR="008014F3" w:rsidRPr="00315A35" w:rsidRDefault="008014F3" w:rsidP="008014F3">
      <w:pPr>
        <w:widowControl w:val="0"/>
        <w:snapToGrid w:val="0"/>
        <w:spacing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投资者关系活动记录表</w:t>
      </w:r>
    </w:p>
    <w:p w:rsidR="008014F3" w:rsidRPr="00315A35" w:rsidRDefault="008014F3" w:rsidP="002A241C">
      <w:pPr>
        <w:widowControl w:val="0"/>
        <w:snapToGrid w:val="0"/>
        <w:spacing w:line="360" w:lineRule="auto"/>
        <w:ind w:right="6"/>
        <w:jc w:val="right"/>
        <w:rPr>
          <w:rFonts w:ascii="Times New Roman" w:hAnsi="Times New Roman" w:cs="Times New Roman"/>
          <w:bCs/>
          <w:kern w:val="2"/>
          <w:sz w:val="22"/>
          <w:szCs w:val="21"/>
        </w:rPr>
      </w:pPr>
      <w:r w:rsidRPr="00315A35">
        <w:rPr>
          <w:rFonts w:ascii="Times New Roman" w:hAnsi="Times New Roman" w:cs="Times New Roman"/>
          <w:bCs/>
          <w:kern w:val="2"/>
          <w:sz w:val="22"/>
          <w:szCs w:val="21"/>
        </w:rPr>
        <w:t>编号：</w:t>
      </w:r>
      <w:r w:rsidRPr="00315A35">
        <w:rPr>
          <w:rFonts w:ascii="Times New Roman" w:hAnsi="Times New Roman" w:cs="Times New Roman"/>
          <w:bCs/>
          <w:kern w:val="2"/>
          <w:sz w:val="22"/>
          <w:szCs w:val="21"/>
        </w:rPr>
        <w:t>202</w:t>
      </w:r>
      <w:r w:rsidR="00516C69" w:rsidRPr="00315A35">
        <w:rPr>
          <w:rFonts w:ascii="Times New Roman" w:hAnsi="Times New Roman" w:cs="Times New Roman"/>
          <w:bCs/>
          <w:kern w:val="2"/>
          <w:sz w:val="22"/>
          <w:szCs w:val="21"/>
        </w:rPr>
        <w:t>4</w:t>
      </w:r>
      <w:r w:rsidRPr="00315A35">
        <w:rPr>
          <w:rFonts w:ascii="Times New Roman" w:hAnsi="Times New Roman" w:cs="Times New Roman"/>
          <w:bCs/>
          <w:kern w:val="2"/>
          <w:sz w:val="22"/>
          <w:szCs w:val="21"/>
        </w:rPr>
        <w:t>-00</w:t>
      </w:r>
      <w:r w:rsidR="00E22518">
        <w:rPr>
          <w:rFonts w:ascii="Times New Roman" w:hAnsi="Times New Roman" w:cs="Times New Roman"/>
          <w:bCs/>
          <w:kern w:val="2"/>
          <w:sz w:val="22"/>
          <w:szCs w:val="21"/>
        </w:rPr>
        <w:t>4</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087"/>
      </w:tblGrid>
      <w:tr w:rsidR="008014F3" w:rsidRPr="00315A35" w:rsidTr="00056FF4">
        <w:trPr>
          <w:trHeight w:val="340"/>
        </w:trPr>
        <w:tc>
          <w:tcPr>
            <w:tcW w:w="1555" w:type="dxa"/>
            <w:shd w:val="clear" w:color="auto" w:fill="auto"/>
            <w:vAlign w:val="center"/>
          </w:tcPr>
          <w:p w:rsidR="008014F3" w:rsidRPr="00315A35" w:rsidRDefault="008014F3" w:rsidP="002A241C">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投资者关系活动类别</w:t>
            </w:r>
          </w:p>
        </w:tc>
        <w:tc>
          <w:tcPr>
            <w:tcW w:w="7087" w:type="dxa"/>
            <w:shd w:val="clear" w:color="auto" w:fill="auto"/>
          </w:tcPr>
          <w:p w:rsidR="008014F3" w:rsidRPr="00315A35" w:rsidRDefault="008014F3" w:rsidP="00617211">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特定对象调研</w:t>
            </w:r>
            <w:r w:rsidRPr="00315A35">
              <w:rPr>
                <w:rFonts w:ascii="Times New Roman" w:hAnsi="Times New Roman" w:cs="Times New Roman"/>
                <w:kern w:val="2"/>
              </w:rPr>
              <w:t xml:space="preserve">             □</w:t>
            </w:r>
            <w:r w:rsidRPr="00315A35">
              <w:rPr>
                <w:rFonts w:ascii="Times New Roman" w:hAnsi="Times New Roman" w:cs="Times New Roman"/>
                <w:kern w:val="2"/>
              </w:rPr>
              <w:t>分析师会议</w:t>
            </w:r>
          </w:p>
          <w:p w:rsidR="008014F3" w:rsidRPr="00315A35" w:rsidRDefault="008014F3" w:rsidP="002A241C">
            <w:pPr>
              <w:widowControl w:val="0"/>
              <w:snapToGrid w:val="0"/>
              <w:spacing w:line="360" w:lineRule="auto"/>
              <w:ind w:rightChars="73" w:right="175"/>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媒体采访</w:t>
            </w:r>
            <w:r w:rsidRPr="00315A35">
              <w:rPr>
                <w:rFonts w:ascii="Times New Roman" w:hAnsi="Times New Roman" w:cs="Times New Roman"/>
                <w:kern w:val="2"/>
              </w:rPr>
              <w:t xml:space="preserve">                 √</w:t>
            </w:r>
            <w:r w:rsidR="002039C0">
              <w:rPr>
                <w:rFonts w:ascii="Times New Roman" w:hAnsi="Times New Roman" w:cs="Times New Roman" w:hint="eastAsia"/>
                <w:kern w:val="2"/>
              </w:rPr>
              <w:t>投资者</w:t>
            </w:r>
            <w:bookmarkStart w:id="0" w:name="_GoBack"/>
            <w:bookmarkEnd w:id="0"/>
            <w:r w:rsidRPr="00315A35">
              <w:rPr>
                <w:rFonts w:ascii="Times New Roman" w:hAnsi="Times New Roman" w:cs="Times New Roman"/>
                <w:kern w:val="2"/>
              </w:rPr>
              <w:t>说明会</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新闻发布会</w:t>
            </w:r>
            <w:r w:rsidRPr="00315A35">
              <w:rPr>
                <w:rFonts w:ascii="Times New Roman" w:hAnsi="Times New Roman" w:cs="Times New Roman"/>
                <w:kern w:val="2"/>
              </w:rPr>
              <w:t xml:space="preserve">               □</w:t>
            </w:r>
            <w:r w:rsidRPr="00315A35">
              <w:rPr>
                <w:rFonts w:ascii="Times New Roman" w:hAnsi="Times New Roman" w:cs="Times New Roman"/>
                <w:kern w:val="2"/>
              </w:rPr>
              <w:t>路演活动</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现场参观</w:t>
            </w:r>
            <w:r w:rsidRPr="00315A35">
              <w:rPr>
                <w:rFonts w:ascii="Times New Roman" w:hAnsi="Times New Roman" w:cs="Times New Roman"/>
                <w:kern w:val="2"/>
              </w:rPr>
              <w:t xml:space="preserve">                 □</w:t>
            </w:r>
            <w:r w:rsidRPr="00315A35">
              <w:rPr>
                <w:rFonts w:ascii="Times New Roman" w:hAnsi="Times New Roman" w:cs="Times New Roman"/>
                <w:kern w:val="2"/>
              </w:rPr>
              <w:t>其他：</w:t>
            </w:r>
            <w:r w:rsidRPr="00315A35">
              <w:rPr>
                <w:rFonts w:ascii="Times New Roman" w:hAnsi="Times New Roman" w:cs="Times New Roman"/>
                <w:kern w:val="2"/>
              </w:rPr>
              <w:t xml:space="preserve"> </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参与单位名称及人员姓名</w:t>
            </w:r>
          </w:p>
        </w:tc>
        <w:tc>
          <w:tcPr>
            <w:tcW w:w="7087" w:type="dxa"/>
            <w:shd w:val="clear" w:color="auto" w:fill="auto"/>
            <w:vAlign w:val="center"/>
          </w:tcPr>
          <w:p w:rsidR="008014F3" w:rsidRPr="00315A35" w:rsidRDefault="00E22518" w:rsidP="008014F3">
            <w:pPr>
              <w:widowControl w:val="0"/>
              <w:snapToGrid w:val="0"/>
              <w:spacing w:beforeLines="50" w:before="156" w:line="360" w:lineRule="auto"/>
              <w:jc w:val="both"/>
              <w:rPr>
                <w:rFonts w:ascii="Times New Roman" w:hAnsi="Times New Roman" w:cs="Times New Roman"/>
                <w:kern w:val="2"/>
              </w:rPr>
            </w:pPr>
            <w:r>
              <w:rPr>
                <w:rFonts w:ascii="Times New Roman" w:hAnsi="Times New Roman" w:cs="Times New Roman" w:hint="eastAsia"/>
                <w:kern w:val="2"/>
              </w:rPr>
              <w:t>雅运股份</w:t>
            </w:r>
            <w:r w:rsidRPr="00E22518">
              <w:rPr>
                <w:rFonts w:ascii="Times New Roman" w:hAnsi="Times New Roman" w:cs="Times New Roman" w:hint="eastAsia"/>
                <w:kern w:val="2"/>
              </w:rPr>
              <w:t>关于终止重大资产重组事项投资者说明会</w:t>
            </w:r>
            <w:r w:rsidR="00E62076" w:rsidRPr="00315A35">
              <w:rPr>
                <w:rFonts w:ascii="Times New Roman" w:hAnsi="Times New Roman" w:cs="Times New Roman"/>
                <w:kern w:val="2"/>
              </w:rPr>
              <w:t>投资者交流</w:t>
            </w:r>
            <w:r w:rsidR="008014F3" w:rsidRPr="00315A35">
              <w:rPr>
                <w:rFonts w:ascii="Times New Roman" w:hAnsi="Times New Roman" w:cs="Times New Roman"/>
                <w:kern w:val="2"/>
              </w:rPr>
              <w:t>采用</w:t>
            </w:r>
            <w:r w:rsidR="00A854E0" w:rsidRPr="00315A35">
              <w:rPr>
                <w:rFonts w:ascii="Times New Roman" w:hAnsi="Times New Roman" w:cs="Times New Roman"/>
                <w:kern w:val="2"/>
              </w:rPr>
              <w:t>网络文字互动形式进行</w:t>
            </w:r>
            <w:r w:rsidR="008014F3" w:rsidRPr="00315A35">
              <w:rPr>
                <w:rFonts w:ascii="Times New Roman" w:hAnsi="Times New Roman" w:cs="Times New Roman"/>
                <w:kern w:val="2"/>
              </w:rPr>
              <w:t>，面向全体投资者。</w:t>
            </w:r>
          </w:p>
        </w:tc>
      </w:tr>
      <w:tr w:rsidR="008014F3" w:rsidRPr="00315A35" w:rsidTr="00056FF4">
        <w:trPr>
          <w:trHeight w:val="415"/>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时间</w:t>
            </w:r>
          </w:p>
        </w:tc>
        <w:tc>
          <w:tcPr>
            <w:tcW w:w="7087" w:type="dxa"/>
            <w:shd w:val="clear" w:color="auto" w:fill="auto"/>
            <w:vAlign w:val="center"/>
          </w:tcPr>
          <w:p w:rsidR="008014F3" w:rsidRPr="00315A35" w:rsidRDefault="008014F3" w:rsidP="00E22518">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FC7AFB">
              <w:rPr>
                <w:rFonts w:ascii="Times New Roman" w:hAnsi="Times New Roman" w:cs="Times New Roman"/>
                <w:kern w:val="2"/>
              </w:rPr>
              <w:t>1</w:t>
            </w:r>
            <w:r w:rsidR="00E22518">
              <w:rPr>
                <w:rFonts w:ascii="Times New Roman" w:hAnsi="Times New Roman" w:cs="Times New Roman"/>
                <w:kern w:val="2"/>
              </w:rPr>
              <w:t>2</w:t>
            </w:r>
            <w:r w:rsidRPr="00315A35">
              <w:rPr>
                <w:rFonts w:ascii="Times New Roman" w:hAnsi="Times New Roman" w:cs="Times New Roman"/>
                <w:kern w:val="2"/>
              </w:rPr>
              <w:t>月</w:t>
            </w:r>
            <w:r w:rsidR="00E22518">
              <w:rPr>
                <w:rFonts w:ascii="Times New Roman" w:hAnsi="Times New Roman" w:cs="Times New Roman"/>
                <w:kern w:val="2"/>
              </w:rPr>
              <w:t>20</w:t>
            </w:r>
            <w:r w:rsidR="00516C69" w:rsidRPr="00315A35">
              <w:rPr>
                <w:rFonts w:ascii="Times New Roman" w:hAnsi="Times New Roman" w:cs="Times New Roman"/>
                <w:kern w:val="2"/>
              </w:rPr>
              <w:t>日星期</w:t>
            </w:r>
            <w:r w:rsidR="00E22518">
              <w:rPr>
                <w:rFonts w:ascii="Times New Roman" w:hAnsi="Times New Roman" w:cs="Times New Roman" w:hint="eastAsia"/>
                <w:kern w:val="2"/>
              </w:rPr>
              <w:t>五</w:t>
            </w:r>
            <w:r w:rsidRPr="00315A35">
              <w:rPr>
                <w:rFonts w:ascii="Times New Roman" w:hAnsi="Times New Roman" w:cs="Times New Roman"/>
                <w:kern w:val="2"/>
              </w:rPr>
              <w:t>下午</w:t>
            </w:r>
            <w:r w:rsidRPr="00315A35">
              <w:rPr>
                <w:rFonts w:ascii="Times New Roman" w:hAnsi="Times New Roman" w:cs="Times New Roman"/>
                <w:kern w:val="2"/>
              </w:rPr>
              <w:t>1</w:t>
            </w:r>
            <w:r w:rsidR="00FC7AFB">
              <w:rPr>
                <w:rFonts w:ascii="Times New Roman" w:hAnsi="Times New Roman" w:cs="Times New Roman"/>
                <w:kern w:val="2"/>
              </w:rPr>
              <w:t>5</w:t>
            </w:r>
            <w:r w:rsidRPr="00315A35">
              <w:rPr>
                <w:rFonts w:ascii="Times New Roman" w:hAnsi="Times New Roman" w:cs="Times New Roman"/>
                <w:kern w:val="2"/>
              </w:rPr>
              <w:t>:</w:t>
            </w:r>
            <w:r w:rsidR="00516C69" w:rsidRPr="00315A35">
              <w:rPr>
                <w:rFonts w:ascii="Times New Roman" w:hAnsi="Times New Roman" w:cs="Times New Roman"/>
                <w:kern w:val="2"/>
              </w:rPr>
              <w:t>0</w:t>
            </w:r>
            <w:r w:rsidRPr="00315A35">
              <w:rPr>
                <w:rFonts w:ascii="Times New Roman" w:hAnsi="Times New Roman" w:cs="Times New Roman"/>
                <w:kern w:val="2"/>
              </w:rPr>
              <w:t>0-16:</w:t>
            </w:r>
            <w:r w:rsidR="00E22518">
              <w:rPr>
                <w:rFonts w:ascii="Times New Roman" w:hAnsi="Times New Roman" w:cs="Times New Roman"/>
                <w:kern w:val="2"/>
              </w:rPr>
              <w:t>0</w:t>
            </w:r>
            <w:r w:rsidRPr="00315A35">
              <w:rPr>
                <w:rFonts w:ascii="Times New Roman" w:hAnsi="Times New Roman" w:cs="Times New Roman"/>
                <w:kern w:val="2"/>
              </w:rPr>
              <w:t>0</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jc w:val="center"/>
              <w:rPr>
                <w:rFonts w:ascii="Times New Roman" w:hAnsi="Times New Roman" w:cs="Times New Roman"/>
                <w:b/>
                <w:bCs/>
                <w:kern w:val="2"/>
              </w:rPr>
            </w:pPr>
            <w:r w:rsidRPr="00315A35">
              <w:rPr>
                <w:rFonts w:ascii="Times New Roman" w:hAnsi="Times New Roman" w:cs="Times New Roman"/>
                <w:b/>
                <w:bCs/>
                <w:kern w:val="2"/>
              </w:rPr>
              <w:t>地点</w:t>
            </w:r>
          </w:p>
        </w:tc>
        <w:tc>
          <w:tcPr>
            <w:tcW w:w="7087" w:type="dxa"/>
            <w:shd w:val="clear" w:color="auto" w:fill="auto"/>
          </w:tcPr>
          <w:p w:rsidR="008014F3" w:rsidRPr="00315A35" w:rsidRDefault="00FC7AFB" w:rsidP="008014F3">
            <w:pPr>
              <w:widowControl w:val="0"/>
              <w:snapToGrid w:val="0"/>
              <w:spacing w:beforeLines="50" w:before="156" w:line="360" w:lineRule="auto"/>
              <w:jc w:val="both"/>
              <w:rPr>
                <w:rFonts w:ascii="Times New Roman" w:hAnsi="Times New Roman" w:cs="Times New Roman"/>
                <w:kern w:val="2"/>
              </w:rPr>
            </w:pPr>
            <w:r w:rsidRPr="00FC7AFB">
              <w:rPr>
                <w:rFonts w:ascii="Times New Roman" w:hAnsi="Times New Roman" w:cs="Times New Roman" w:hint="eastAsia"/>
                <w:kern w:val="2"/>
              </w:rPr>
              <w:t>上证路演中心</w:t>
            </w:r>
            <w:r w:rsidR="007F7273" w:rsidRPr="00315A35">
              <w:rPr>
                <w:rFonts w:ascii="Times New Roman" w:hAnsi="Times New Roman" w:cs="Times New Roman"/>
                <w:kern w:val="2"/>
              </w:rPr>
              <w:t>（</w:t>
            </w:r>
            <w:r w:rsidRPr="00FC7AFB">
              <w:rPr>
                <w:rFonts w:ascii="Times New Roman" w:hAnsi="Times New Roman" w:cs="Times New Roman"/>
                <w:kern w:val="2"/>
              </w:rPr>
              <w:t>https://roadshow.sseinfo.com</w:t>
            </w:r>
            <w:r w:rsidR="007F7273" w:rsidRPr="00315A35">
              <w:rPr>
                <w:rFonts w:ascii="Times New Roman" w:hAnsi="Times New Roman" w:cs="Times New Roman"/>
                <w:kern w:val="2"/>
              </w:rPr>
              <w:t>）</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上市公司接待人</w:t>
            </w:r>
            <w:r w:rsidR="00056FF4" w:rsidRPr="00315A35">
              <w:rPr>
                <w:rFonts w:ascii="Times New Roman" w:hAnsi="Times New Roman" w:cs="Times New Roman"/>
                <w:b/>
                <w:bCs/>
                <w:kern w:val="2"/>
              </w:rPr>
              <w:t>员姓名</w:t>
            </w:r>
            <w:r w:rsidRPr="00315A35">
              <w:rPr>
                <w:rFonts w:ascii="Times New Roman" w:hAnsi="Times New Roman" w:cs="Times New Roman"/>
                <w:b/>
                <w:bCs/>
                <w:kern w:val="2"/>
              </w:rPr>
              <w:t>及职务</w:t>
            </w:r>
          </w:p>
        </w:tc>
        <w:tc>
          <w:tcPr>
            <w:tcW w:w="7087" w:type="dxa"/>
            <w:shd w:val="clear" w:color="auto" w:fill="auto"/>
            <w:vAlign w:val="center"/>
          </w:tcPr>
          <w:p w:rsidR="008014F3" w:rsidRPr="00315A35" w:rsidRDefault="008014F3" w:rsidP="002A241C">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董事长、总经理谢兵先生；独立董事</w:t>
            </w:r>
            <w:r w:rsidR="00516C69" w:rsidRPr="00315A35">
              <w:rPr>
                <w:rFonts w:ascii="Times New Roman" w:hAnsi="Times New Roman" w:cs="Times New Roman"/>
                <w:kern w:val="2"/>
              </w:rPr>
              <w:t>张训苏先生</w:t>
            </w:r>
            <w:r w:rsidRPr="00315A35">
              <w:rPr>
                <w:rFonts w:ascii="Times New Roman" w:hAnsi="Times New Roman" w:cs="Times New Roman"/>
                <w:kern w:val="2"/>
              </w:rPr>
              <w:t>；</w:t>
            </w:r>
            <w:r w:rsidR="00516C69" w:rsidRPr="00315A35">
              <w:rPr>
                <w:rFonts w:ascii="Times New Roman" w:hAnsi="Times New Roman" w:cs="Times New Roman"/>
                <w:kern w:val="2"/>
              </w:rPr>
              <w:t>独立董事孙红星女士；独立董事周清先生；</w:t>
            </w:r>
            <w:r w:rsidRPr="00315A35">
              <w:rPr>
                <w:rFonts w:ascii="Times New Roman" w:hAnsi="Times New Roman" w:cs="Times New Roman"/>
                <w:kern w:val="2"/>
              </w:rPr>
              <w:t>财务总监陶剑勤女士</w:t>
            </w:r>
            <w:r w:rsidR="00516C69" w:rsidRPr="00315A35">
              <w:rPr>
                <w:rFonts w:ascii="Times New Roman" w:hAnsi="Times New Roman" w:cs="Times New Roman"/>
                <w:kern w:val="2"/>
              </w:rPr>
              <w:t>；</w:t>
            </w:r>
            <w:r w:rsidRPr="00315A35">
              <w:rPr>
                <w:rFonts w:ascii="Times New Roman" w:hAnsi="Times New Roman" w:cs="Times New Roman"/>
                <w:kern w:val="2"/>
              </w:rPr>
              <w:t>董事会秘书</w:t>
            </w:r>
            <w:r w:rsidR="00516C69" w:rsidRPr="00315A35">
              <w:rPr>
                <w:rFonts w:ascii="Times New Roman" w:hAnsi="Times New Roman" w:cs="Times New Roman"/>
                <w:kern w:val="2"/>
              </w:rPr>
              <w:t>杨勤海</w:t>
            </w:r>
            <w:r w:rsidRPr="00315A35">
              <w:rPr>
                <w:rFonts w:ascii="Times New Roman" w:hAnsi="Times New Roman" w:cs="Times New Roman"/>
                <w:kern w:val="2"/>
              </w:rPr>
              <w:t>先生</w:t>
            </w:r>
          </w:p>
        </w:tc>
      </w:tr>
      <w:tr w:rsidR="008014F3" w:rsidRPr="00315A35" w:rsidTr="00056FF4">
        <w:trPr>
          <w:trHeight w:val="340"/>
        </w:trPr>
        <w:tc>
          <w:tcPr>
            <w:tcW w:w="1555" w:type="dxa"/>
            <w:shd w:val="clear" w:color="auto" w:fill="auto"/>
            <w:vAlign w:val="center"/>
          </w:tcPr>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8014F3" w:rsidRPr="00315A35" w:rsidRDefault="008014F3" w:rsidP="00056FF4">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4B0C2B">
            <w:pPr>
              <w:rPr>
                <w:rFonts w:ascii="Times New Roman" w:hAnsi="Times New Roman" w:cs="Times New Roman"/>
              </w:rPr>
            </w:pPr>
          </w:p>
          <w:p w:rsidR="004B0C2B" w:rsidRDefault="004B0C2B"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Default="00E22518" w:rsidP="004B0C2B">
            <w:pPr>
              <w:rPr>
                <w:rFonts w:ascii="Times New Roman" w:hAnsi="Times New Roman" w:cs="Times New Roman"/>
              </w:rPr>
            </w:pPr>
          </w:p>
          <w:p w:rsidR="00E22518" w:rsidRPr="00315A35" w:rsidRDefault="00E22518" w:rsidP="004B0C2B">
            <w:pPr>
              <w:rPr>
                <w:rFonts w:ascii="Times New Roman" w:hAnsi="Times New Roman" w:cs="Times New Roman"/>
              </w:rPr>
            </w:pPr>
          </w:p>
          <w:p w:rsidR="004B0C2B" w:rsidRPr="00FC7AFB" w:rsidRDefault="004B0C2B" w:rsidP="00FC7AFB">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4D5495" w:rsidRPr="00315A35" w:rsidRDefault="004D5495" w:rsidP="00FC7AFB">
            <w:pPr>
              <w:rPr>
                <w:rFonts w:ascii="Times New Roman" w:hAnsi="Times New Roman" w:cs="Times New Roman"/>
              </w:rPr>
            </w:pPr>
          </w:p>
        </w:tc>
        <w:tc>
          <w:tcPr>
            <w:tcW w:w="7087" w:type="dxa"/>
            <w:shd w:val="clear" w:color="auto" w:fill="auto"/>
          </w:tcPr>
          <w:p w:rsidR="00F41D50" w:rsidRPr="00315A35" w:rsidRDefault="002A241C"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lastRenderedPageBreak/>
              <w:t>1</w:t>
            </w:r>
            <w:r w:rsidRPr="00315A35">
              <w:rPr>
                <w:rFonts w:ascii="Times New Roman" w:hAnsi="Times New Roman" w:cs="Times New Roman"/>
                <w:b/>
                <w:kern w:val="2"/>
                <w:sz w:val="22"/>
              </w:rPr>
              <w:t>、</w:t>
            </w:r>
            <w:r w:rsidR="00E22518" w:rsidRPr="00E22518">
              <w:rPr>
                <w:rFonts w:ascii="Times New Roman" w:hAnsi="Times New Roman" w:cs="Times New Roman" w:hint="eastAsia"/>
                <w:b/>
                <w:kern w:val="2"/>
                <w:sz w:val="22"/>
              </w:rPr>
              <w:t>本次交易对公司有什么影响</w:t>
            </w:r>
            <w:r w:rsidR="00FC7AFB" w:rsidRPr="00FC7AFB">
              <w:rPr>
                <w:rFonts w:ascii="Times New Roman" w:hAnsi="Times New Roman" w:cs="Times New Roman" w:hint="eastAsia"/>
                <w:b/>
                <w:kern w:val="2"/>
                <w:sz w:val="22"/>
              </w:rPr>
              <w:t>？</w:t>
            </w:r>
          </w:p>
          <w:p w:rsidR="007F7273"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E22518" w:rsidRPr="00E22518">
              <w:rPr>
                <w:rFonts w:ascii="Times New Roman" w:hAnsi="Times New Roman" w:cs="Times New Roman" w:hint="eastAsia"/>
                <w:kern w:val="2"/>
                <w:sz w:val="22"/>
              </w:rPr>
              <w:t>感谢投资者关注！本次交易的终止不会对公司现有生产经营活动造成重大不利影响，公司与交易对方签署的发行股份及支付现金购买资产协议的生效条件未达成，不存在公司需承担相关违约责任的情形。谢谢！</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2</w:t>
            </w:r>
            <w:r w:rsidRPr="00315A35">
              <w:rPr>
                <w:rFonts w:ascii="Times New Roman" w:hAnsi="Times New Roman" w:cs="Times New Roman"/>
                <w:b/>
                <w:kern w:val="2"/>
                <w:sz w:val="22"/>
              </w:rPr>
              <w:t>、</w:t>
            </w:r>
            <w:r w:rsidR="00E22518" w:rsidRPr="00E22518">
              <w:rPr>
                <w:rFonts w:ascii="Times New Roman" w:hAnsi="Times New Roman" w:cs="Times New Roman" w:hint="eastAsia"/>
                <w:b/>
                <w:kern w:val="2"/>
                <w:sz w:val="22"/>
              </w:rPr>
              <w:t>为什么提出重组一年多时间重组推进这么慢，标的公司的审计、评估工作、交易估值及定价一直没有进展？</w:t>
            </w:r>
          </w:p>
          <w:p w:rsidR="00FC7AFB" w:rsidRDefault="00FC7AFB" w:rsidP="002A241C">
            <w:pPr>
              <w:widowControl w:val="0"/>
              <w:snapToGrid w:val="0"/>
              <w:spacing w:line="360" w:lineRule="auto"/>
              <w:jc w:val="both"/>
              <w:rPr>
                <w:rFonts w:ascii="Times New Roman" w:hAnsi="Times New Roman" w:cs="Times New Roman"/>
                <w:kern w:val="2"/>
                <w:sz w:val="22"/>
              </w:rPr>
            </w:pPr>
            <w:r>
              <w:rPr>
                <w:rFonts w:ascii="Times New Roman" w:hAnsi="Times New Roman" w:cs="Times New Roman" w:hint="eastAsia"/>
                <w:kern w:val="2"/>
                <w:sz w:val="22"/>
              </w:rPr>
              <w:t>回复：</w:t>
            </w:r>
            <w:r w:rsidR="00E22518" w:rsidRPr="00E22518">
              <w:rPr>
                <w:rFonts w:ascii="Times New Roman" w:hAnsi="Times New Roman" w:cs="Times New Roman" w:hint="eastAsia"/>
                <w:kern w:val="2"/>
                <w:sz w:val="22"/>
              </w:rPr>
              <w:t>感谢投资者关注！标的公司业态较为新颖，本次交易进程中，公司积极协调各方有序推进审计、评估及尽职调查等工作，与交易对方协商确定交易细节，并按期发布进展公告。谢谢！</w:t>
            </w:r>
          </w:p>
          <w:p w:rsidR="00FC7AFB"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3</w:t>
            </w:r>
            <w:r w:rsidR="002A241C" w:rsidRPr="00315A35">
              <w:rPr>
                <w:rFonts w:ascii="Times New Roman" w:hAnsi="Times New Roman" w:cs="Times New Roman"/>
                <w:b/>
                <w:kern w:val="2"/>
                <w:sz w:val="22"/>
              </w:rPr>
              <w:t>、</w:t>
            </w:r>
            <w:r w:rsidR="00E22518" w:rsidRPr="00E22518">
              <w:rPr>
                <w:rFonts w:ascii="Times New Roman" w:hAnsi="Times New Roman" w:cs="Times New Roman" w:hint="eastAsia"/>
                <w:b/>
                <w:kern w:val="2"/>
                <w:sz w:val="22"/>
              </w:rPr>
              <w:t>本次交易资金来源是什么？</w:t>
            </w:r>
            <w:r w:rsidR="00FC7AFB" w:rsidRPr="00FC7AFB">
              <w:rPr>
                <w:rFonts w:ascii="Times New Roman" w:hAnsi="Times New Roman" w:cs="Times New Roman" w:hint="eastAsia"/>
                <w:b/>
                <w:kern w:val="2"/>
                <w:sz w:val="22"/>
              </w:rPr>
              <w:t>？</w:t>
            </w:r>
          </w:p>
          <w:p w:rsidR="00F41D50"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E22518" w:rsidRPr="00E22518">
              <w:rPr>
                <w:rFonts w:ascii="Times New Roman" w:hAnsi="Times New Roman" w:cs="Times New Roman" w:hint="eastAsia"/>
                <w:kern w:val="2"/>
                <w:sz w:val="22"/>
              </w:rPr>
              <w:t>感谢投资者关注！本次交易对价采取发行股份及支付现金相结合的方式，重组现金对价的资金来源为本次交易募集配套资金或自筹资金，</w:t>
            </w:r>
            <w:r w:rsidR="00E22518" w:rsidRPr="00E22518">
              <w:rPr>
                <w:rFonts w:ascii="Times New Roman" w:hAnsi="Times New Roman" w:cs="Times New Roman" w:hint="eastAsia"/>
                <w:kern w:val="2"/>
                <w:sz w:val="22"/>
              </w:rPr>
              <w:lastRenderedPageBreak/>
              <w:t>相关重组计划现已终止，公司与交易对方签署的发行股份及支付现金购买资产协议的生效条件未达成，无需向交易对方支付任何形式对价，谢谢！</w:t>
            </w:r>
          </w:p>
          <w:p w:rsidR="002A241C"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4</w:t>
            </w:r>
            <w:r w:rsidR="002A241C" w:rsidRPr="00315A35">
              <w:rPr>
                <w:rFonts w:ascii="Times New Roman" w:hAnsi="Times New Roman" w:cs="Times New Roman"/>
                <w:b/>
                <w:kern w:val="2"/>
                <w:sz w:val="22"/>
              </w:rPr>
              <w:t>、</w:t>
            </w:r>
            <w:r w:rsidR="00E22518">
              <w:rPr>
                <w:rFonts w:ascii="Times New Roman" w:hAnsi="Times New Roman" w:cs="Times New Roman" w:hint="eastAsia"/>
                <w:b/>
                <w:kern w:val="2"/>
                <w:sz w:val="22"/>
              </w:rPr>
              <w:t>公司之后业务计划有何安排</w:t>
            </w:r>
            <w:r w:rsidR="00FC7AFB" w:rsidRPr="00FC7AFB">
              <w:rPr>
                <w:rFonts w:ascii="Times New Roman" w:hAnsi="Times New Roman" w:cs="Times New Roman"/>
                <w:b/>
                <w:kern w:val="2"/>
                <w:sz w:val="22"/>
              </w:rPr>
              <w:t>?</w:t>
            </w:r>
          </w:p>
          <w:p w:rsidR="00700355" w:rsidRDefault="002A241C" w:rsidP="004104AA">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E22518" w:rsidRPr="00E22518">
              <w:rPr>
                <w:rFonts w:ascii="Times New Roman" w:hAnsi="Times New Roman" w:cs="Times New Roman" w:hint="eastAsia"/>
                <w:kern w:val="2"/>
                <w:sz w:val="22"/>
              </w:rPr>
              <w:t>感谢投资者提问！公司将坚持染助一体化协同发展，贯彻差异化竞争策略，突出在部分中高端细分领域及应用技术服务方面的优势，提升公司产品综合竞争力，并积极拓展国际业务，同时公司也将继续在色彩数字化领域寻找新的增长点。本次重组事项终止公告披露后的</w:t>
            </w:r>
            <w:r w:rsidR="00E22518" w:rsidRPr="00E22518">
              <w:rPr>
                <w:rFonts w:ascii="Times New Roman" w:hAnsi="Times New Roman" w:cs="Times New Roman"/>
                <w:kern w:val="2"/>
                <w:sz w:val="22"/>
              </w:rPr>
              <w:t>1</w:t>
            </w:r>
            <w:r w:rsidR="00E22518" w:rsidRPr="00E22518">
              <w:rPr>
                <w:rFonts w:ascii="Times New Roman" w:hAnsi="Times New Roman" w:cs="Times New Roman"/>
                <w:kern w:val="2"/>
                <w:sz w:val="22"/>
              </w:rPr>
              <w:t>个月内，公司不再筹划重大资产重组事项。公司未来发展请投资者关注公司后续公告。谢谢！</w:t>
            </w:r>
          </w:p>
          <w:p w:rsidR="00E22518" w:rsidRDefault="00E22518" w:rsidP="00E22518">
            <w:pPr>
              <w:widowControl w:val="0"/>
              <w:snapToGrid w:val="0"/>
              <w:spacing w:line="360" w:lineRule="auto"/>
              <w:jc w:val="both"/>
              <w:rPr>
                <w:rFonts w:ascii="Times New Roman" w:hAnsi="Times New Roman" w:cs="Times New Roman"/>
                <w:b/>
                <w:kern w:val="2"/>
                <w:sz w:val="22"/>
              </w:rPr>
            </w:pPr>
            <w:r>
              <w:rPr>
                <w:rFonts w:ascii="Times New Roman" w:hAnsi="Times New Roman" w:cs="Times New Roman"/>
                <w:b/>
                <w:kern w:val="2"/>
                <w:sz w:val="22"/>
              </w:rPr>
              <w:t>5</w:t>
            </w:r>
            <w:r w:rsidRPr="00315A35">
              <w:rPr>
                <w:rFonts w:ascii="Times New Roman" w:hAnsi="Times New Roman" w:cs="Times New Roman"/>
                <w:b/>
                <w:kern w:val="2"/>
                <w:sz w:val="22"/>
              </w:rPr>
              <w:t>、</w:t>
            </w:r>
            <w:r w:rsidRPr="00E22518">
              <w:rPr>
                <w:rFonts w:ascii="Times New Roman" w:hAnsi="Times New Roman" w:cs="Times New Roman" w:hint="eastAsia"/>
                <w:b/>
                <w:kern w:val="2"/>
                <w:sz w:val="22"/>
              </w:rPr>
              <w:t>公司说“宏观环境和行业环境发生了一定的波动和变化”，具体是怎么变化影响到重组的决定？</w:t>
            </w:r>
          </w:p>
          <w:p w:rsidR="00E22518" w:rsidRPr="00315A35" w:rsidRDefault="00E22518" w:rsidP="00E22518">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Pr="00E22518">
              <w:rPr>
                <w:rFonts w:ascii="Times New Roman" w:hAnsi="Times New Roman" w:cs="Times New Roman" w:hint="eastAsia"/>
                <w:kern w:val="2"/>
                <w:sz w:val="22"/>
              </w:rPr>
              <w:t>感谢投资者关注！标的公司所处行业在重组期间出现了一定的波动和变化，存在一定的不确定性，上市公司出于审慎考虑，为了充分保护上市公司及中小股东利益，决定终止本次重组。谢谢！</w:t>
            </w:r>
          </w:p>
        </w:tc>
      </w:tr>
      <w:tr w:rsidR="008014F3" w:rsidRPr="00315A35" w:rsidTr="00056FF4">
        <w:trPr>
          <w:trHeight w:val="513"/>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lastRenderedPageBreak/>
              <w:t>附件清单（如有）</w:t>
            </w:r>
          </w:p>
        </w:tc>
        <w:tc>
          <w:tcPr>
            <w:tcW w:w="7087" w:type="dxa"/>
            <w:shd w:val="clear" w:color="auto" w:fill="auto"/>
            <w:vAlign w:val="center"/>
          </w:tcPr>
          <w:p w:rsidR="008014F3" w:rsidRPr="00315A35" w:rsidRDefault="00056FF4" w:rsidP="00056FF4">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无</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日期</w:t>
            </w:r>
          </w:p>
        </w:tc>
        <w:tc>
          <w:tcPr>
            <w:tcW w:w="7087" w:type="dxa"/>
            <w:shd w:val="clear" w:color="auto" w:fill="auto"/>
          </w:tcPr>
          <w:p w:rsidR="008014F3" w:rsidRPr="00315A35" w:rsidRDefault="00056FF4" w:rsidP="00E22518">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FC7AFB">
              <w:rPr>
                <w:rFonts w:ascii="Times New Roman" w:hAnsi="Times New Roman" w:cs="Times New Roman"/>
                <w:kern w:val="2"/>
              </w:rPr>
              <w:t>1</w:t>
            </w:r>
            <w:r w:rsidR="00E22518">
              <w:rPr>
                <w:rFonts w:ascii="Times New Roman" w:hAnsi="Times New Roman" w:cs="Times New Roman"/>
                <w:kern w:val="2"/>
              </w:rPr>
              <w:t>2</w:t>
            </w:r>
            <w:r w:rsidRPr="00315A35">
              <w:rPr>
                <w:rFonts w:ascii="Times New Roman" w:hAnsi="Times New Roman" w:cs="Times New Roman"/>
                <w:kern w:val="2"/>
              </w:rPr>
              <w:t>月</w:t>
            </w:r>
            <w:r w:rsidR="00E22518">
              <w:rPr>
                <w:rFonts w:ascii="Times New Roman" w:hAnsi="Times New Roman" w:cs="Times New Roman"/>
                <w:kern w:val="2"/>
              </w:rPr>
              <w:t>23</w:t>
            </w:r>
            <w:r w:rsidRPr="00315A35">
              <w:rPr>
                <w:rFonts w:ascii="Times New Roman" w:hAnsi="Times New Roman" w:cs="Times New Roman"/>
                <w:kern w:val="2"/>
              </w:rPr>
              <w:t>日</w:t>
            </w:r>
          </w:p>
        </w:tc>
      </w:tr>
    </w:tbl>
    <w:p w:rsidR="005E1CC9" w:rsidRPr="00315A35" w:rsidRDefault="005E1CC9">
      <w:pPr>
        <w:rPr>
          <w:rFonts w:ascii="Times New Roman" w:hAnsi="Times New Roman" w:cs="Times New Roman"/>
        </w:rPr>
      </w:pPr>
    </w:p>
    <w:sectPr w:rsidR="005E1CC9" w:rsidRPr="00315A35" w:rsidSect="00516C69">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B5" w:rsidRDefault="00AD62B5" w:rsidP="005E1CC9">
      <w:r>
        <w:separator/>
      </w:r>
    </w:p>
  </w:endnote>
  <w:endnote w:type="continuationSeparator" w:id="0">
    <w:p w:rsidR="00AD62B5" w:rsidRDefault="00AD62B5" w:rsidP="005E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B5" w:rsidRDefault="00AD62B5" w:rsidP="005E1CC9">
      <w:r>
        <w:separator/>
      </w:r>
    </w:p>
  </w:footnote>
  <w:footnote w:type="continuationSeparator" w:id="0">
    <w:p w:rsidR="00AD62B5" w:rsidRDefault="00AD62B5" w:rsidP="005E1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2"/>
    <w:rsid w:val="00006203"/>
    <w:rsid w:val="00013F51"/>
    <w:rsid w:val="00016ACF"/>
    <w:rsid w:val="000329C0"/>
    <w:rsid w:val="00055D11"/>
    <w:rsid w:val="00056FF4"/>
    <w:rsid w:val="0006430B"/>
    <w:rsid w:val="00073D5F"/>
    <w:rsid w:val="00093C0E"/>
    <w:rsid w:val="000A2EF6"/>
    <w:rsid w:val="000A6C97"/>
    <w:rsid w:val="000B6E65"/>
    <w:rsid w:val="000C2ECC"/>
    <w:rsid w:val="000D2124"/>
    <w:rsid w:val="000E4856"/>
    <w:rsid w:val="000F06A2"/>
    <w:rsid w:val="00101CC8"/>
    <w:rsid w:val="00102FA3"/>
    <w:rsid w:val="00107260"/>
    <w:rsid w:val="00112283"/>
    <w:rsid w:val="00112FB0"/>
    <w:rsid w:val="0012302C"/>
    <w:rsid w:val="00124247"/>
    <w:rsid w:val="00126DCA"/>
    <w:rsid w:val="00137D71"/>
    <w:rsid w:val="0014500D"/>
    <w:rsid w:val="00161030"/>
    <w:rsid w:val="00166DC9"/>
    <w:rsid w:val="001677A2"/>
    <w:rsid w:val="00167AFF"/>
    <w:rsid w:val="001749A2"/>
    <w:rsid w:val="00180977"/>
    <w:rsid w:val="001938A1"/>
    <w:rsid w:val="00195B5A"/>
    <w:rsid w:val="001A54A4"/>
    <w:rsid w:val="001C1B93"/>
    <w:rsid w:val="001C2171"/>
    <w:rsid w:val="001C4172"/>
    <w:rsid w:val="001C64A7"/>
    <w:rsid w:val="001C6B9F"/>
    <w:rsid w:val="001D71F7"/>
    <w:rsid w:val="001E1860"/>
    <w:rsid w:val="001E7B12"/>
    <w:rsid w:val="001F1C78"/>
    <w:rsid w:val="001F30B4"/>
    <w:rsid w:val="0020079F"/>
    <w:rsid w:val="0020379E"/>
    <w:rsid w:val="002039C0"/>
    <w:rsid w:val="00204D61"/>
    <w:rsid w:val="0021396B"/>
    <w:rsid w:val="00222E4E"/>
    <w:rsid w:val="00236E36"/>
    <w:rsid w:val="002542FB"/>
    <w:rsid w:val="00270F2D"/>
    <w:rsid w:val="002728B5"/>
    <w:rsid w:val="00274E19"/>
    <w:rsid w:val="00287864"/>
    <w:rsid w:val="00290C62"/>
    <w:rsid w:val="002913E8"/>
    <w:rsid w:val="00292849"/>
    <w:rsid w:val="00294823"/>
    <w:rsid w:val="002A13DD"/>
    <w:rsid w:val="002A241C"/>
    <w:rsid w:val="002A48BF"/>
    <w:rsid w:val="002A7D54"/>
    <w:rsid w:val="002A7E54"/>
    <w:rsid w:val="002B14D5"/>
    <w:rsid w:val="002C2BCD"/>
    <w:rsid w:val="002C2CB3"/>
    <w:rsid w:val="002D397D"/>
    <w:rsid w:val="002D3D0B"/>
    <w:rsid w:val="002E1188"/>
    <w:rsid w:val="002E145B"/>
    <w:rsid w:val="002E2307"/>
    <w:rsid w:val="002F7F7D"/>
    <w:rsid w:val="003002BE"/>
    <w:rsid w:val="00307A3C"/>
    <w:rsid w:val="00315A35"/>
    <w:rsid w:val="0032038E"/>
    <w:rsid w:val="00322FF1"/>
    <w:rsid w:val="00323678"/>
    <w:rsid w:val="0032477E"/>
    <w:rsid w:val="00344835"/>
    <w:rsid w:val="00351431"/>
    <w:rsid w:val="003518FE"/>
    <w:rsid w:val="003520DB"/>
    <w:rsid w:val="00357CDE"/>
    <w:rsid w:val="00375E41"/>
    <w:rsid w:val="00381FFE"/>
    <w:rsid w:val="003955EB"/>
    <w:rsid w:val="003973FE"/>
    <w:rsid w:val="003A67CA"/>
    <w:rsid w:val="003B139C"/>
    <w:rsid w:val="003B2A20"/>
    <w:rsid w:val="003B2FC2"/>
    <w:rsid w:val="003B3F67"/>
    <w:rsid w:val="003B4C9B"/>
    <w:rsid w:val="003C4771"/>
    <w:rsid w:val="003D39F5"/>
    <w:rsid w:val="003D646E"/>
    <w:rsid w:val="003E47F0"/>
    <w:rsid w:val="003E6454"/>
    <w:rsid w:val="003F048E"/>
    <w:rsid w:val="003F49FE"/>
    <w:rsid w:val="003F59C6"/>
    <w:rsid w:val="003F6EAE"/>
    <w:rsid w:val="0040154F"/>
    <w:rsid w:val="00406BCA"/>
    <w:rsid w:val="004104AA"/>
    <w:rsid w:val="00411922"/>
    <w:rsid w:val="004121B1"/>
    <w:rsid w:val="00413BA5"/>
    <w:rsid w:val="004155EB"/>
    <w:rsid w:val="00423E69"/>
    <w:rsid w:val="00434E39"/>
    <w:rsid w:val="00440206"/>
    <w:rsid w:val="00445A53"/>
    <w:rsid w:val="0045084F"/>
    <w:rsid w:val="00452FC2"/>
    <w:rsid w:val="00455CB2"/>
    <w:rsid w:val="00462A31"/>
    <w:rsid w:val="00466C30"/>
    <w:rsid w:val="00474120"/>
    <w:rsid w:val="0047673B"/>
    <w:rsid w:val="004803DB"/>
    <w:rsid w:val="00481C10"/>
    <w:rsid w:val="004850EE"/>
    <w:rsid w:val="00492C44"/>
    <w:rsid w:val="00493EF3"/>
    <w:rsid w:val="004A47F5"/>
    <w:rsid w:val="004B0C2B"/>
    <w:rsid w:val="004B5DEB"/>
    <w:rsid w:val="004C229F"/>
    <w:rsid w:val="004C40EA"/>
    <w:rsid w:val="004C679F"/>
    <w:rsid w:val="004D5495"/>
    <w:rsid w:val="004D5508"/>
    <w:rsid w:val="004D641A"/>
    <w:rsid w:val="004E2CAA"/>
    <w:rsid w:val="004F17B4"/>
    <w:rsid w:val="004F7630"/>
    <w:rsid w:val="004F79EE"/>
    <w:rsid w:val="00503167"/>
    <w:rsid w:val="00510E5A"/>
    <w:rsid w:val="00512F7D"/>
    <w:rsid w:val="005158D8"/>
    <w:rsid w:val="00516C69"/>
    <w:rsid w:val="00520BCA"/>
    <w:rsid w:val="005222E2"/>
    <w:rsid w:val="00530001"/>
    <w:rsid w:val="005323F2"/>
    <w:rsid w:val="005421C8"/>
    <w:rsid w:val="00557900"/>
    <w:rsid w:val="00575C8C"/>
    <w:rsid w:val="00577C57"/>
    <w:rsid w:val="00581D43"/>
    <w:rsid w:val="00595C88"/>
    <w:rsid w:val="005A2EDB"/>
    <w:rsid w:val="005A4382"/>
    <w:rsid w:val="005B0D4A"/>
    <w:rsid w:val="005B66DF"/>
    <w:rsid w:val="005D3256"/>
    <w:rsid w:val="005E1CC9"/>
    <w:rsid w:val="005F2D4D"/>
    <w:rsid w:val="00604203"/>
    <w:rsid w:val="0061226C"/>
    <w:rsid w:val="00616264"/>
    <w:rsid w:val="00617211"/>
    <w:rsid w:val="00617D32"/>
    <w:rsid w:val="00635171"/>
    <w:rsid w:val="00636F4B"/>
    <w:rsid w:val="00642D02"/>
    <w:rsid w:val="00651A6B"/>
    <w:rsid w:val="00652B21"/>
    <w:rsid w:val="00663BA8"/>
    <w:rsid w:val="006663F8"/>
    <w:rsid w:val="00672563"/>
    <w:rsid w:val="00674047"/>
    <w:rsid w:val="00674155"/>
    <w:rsid w:val="00694BC6"/>
    <w:rsid w:val="006A15F1"/>
    <w:rsid w:val="006A1A40"/>
    <w:rsid w:val="006A1E6F"/>
    <w:rsid w:val="006B6062"/>
    <w:rsid w:val="006C0B38"/>
    <w:rsid w:val="006C1733"/>
    <w:rsid w:val="006C1C28"/>
    <w:rsid w:val="006C532E"/>
    <w:rsid w:val="006D0F97"/>
    <w:rsid w:val="006D3BA3"/>
    <w:rsid w:val="006D427D"/>
    <w:rsid w:val="006E0B39"/>
    <w:rsid w:val="006E10D5"/>
    <w:rsid w:val="006E2447"/>
    <w:rsid w:val="006E2DF9"/>
    <w:rsid w:val="00700355"/>
    <w:rsid w:val="007051B1"/>
    <w:rsid w:val="00706E01"/>
    <w:rsid w:val="007202E4"/>
    <w:rsid w:val="00725AFE"/>
    <w:rsid w:val="007317EC"/>
    <w:rsid w:val="00732A0D"/>
    <w:rsid w:val="00737650"/>
    <w:rsid w:val="00745931"/>
    <w:rsid w:val="00746ACD"/>
    <w:rsid w:val="0075032C"/>
    <w:rsid w:val="007509E1"/>
    <w:rsid w:val="00764818"/>
    <w:rsid w:val="00764CCD"/>
    <w:rsid w:val="00767C5E"/>
    <w:rsid w:val="00771E41"/>
    <w:rsid w:val="0077202F"/>
    <w:rsid w:val="00777B60"/>
    <w:rsid w:val="007820E6"/>
    <w:rsid w:val="00784754"/>
    <w:rsid w:val="00785583"/>
    <w:rsid w:val="00786543"/>
    <w:rsid w:val="00790230"/>
    <w:rsid w:val="007928E7"/>
    <w:rsid w:val="007A36CB"/>
    <w:rsid w:val="007A5C60"/>
    <w:rsid w:val="007B660B"/>
    <w:rsid w:val="007D34EC"/>
    <w:rsid w:val="007D512F"/>
    <w:rsid w:val="007F7273"/>
    <w:rsid w:val="00800223"/>
    <w:rsid w:val="008014F3"/>
    <w:rsid w:val="00806C4C"/>
    <w:rsid w:val="00814438"/>
    <w:rsid w:val="00834679"/>
    <w:rsid w:val="00845124"/>
    <w:rsid w:val="008466D8"/>
    <w:rsid w:val="00851599"/>
    <w:rsid w:val="00854605"/>
    <w:rsid w:val="00855E0F"/>
    <w:rsid w:val="008569DA"/>
    <w:rsid w:val="00866349"/>
    <w:rsid w:val="008803D0"/>
    <w:rsid w:val="008A0C82"/>
    <w:rsid w:val="008B4CBC"/>
    <w:rsid w:val="008B6017"/>
    <w:rsid w:val="008C0F98"/>
    <w:rsid w:val="008C43B0"/>
    <w:rsid w:val="008E4F39"/>
    <w:rsid w:val="008E662D"/>
    <w:rsid w:val="008E669E"/>
    <w:rsid w:val="008E7FB2"/>
    <w:rsid w:val="008F06C0"/>
    <w:rsid w:val="008F3D97"/>
    <w:rsid w:val="00905764"/>
    <w:rsid w:val="00907D57"/>
    <w:rsid w:val="00913C3F"/>
    <w:rsid w:val="00915B70"/>
    <w:rsid w:val="00936BFF"/>
    <w:rsid w:val="009407E4"/>
    <w:rsid w:val="00944A00"/>
    <w:rsid w:val="0095389B"/>
    <w:rsid w:val="009561CA"/>
    <w:rsid w:val="00957F4D"/>
    <w:rsid w:val="009602F0"/>
    <w:rsid w:val="00962B91"/>
    <w:rsid w:val="00964DEB"/>
    <w:rsid w:val="009713B2"/>
    <w:rsid w:val="00983034"/>
    <w:rsid w:val="00993A01"/>
    <w:rsid w:val="009A162B"/>
    <w:rsid w:val="009A3362"/>
    <w:rsid w:val="009B5DFA"/>
    <w:rsid w:val="009B6CC7"/>
    <w:rsid w:val="009B7495"/>
    <w:rsid w:val="009C1AAB"/>
    <w:rsid w:val="009C2573"/>
    <w:rsid w:val="009C31EE"/>
    <w:rsid w:val="009C6796"/>
    <w:rsid w:val="009E653E"/>
    <w:rsid w:val="009E65A3"/>
    <w:rsid w:val="009F6D01"/>
    <w:rsid w:val="00A03B87"/>
    <w:rsid w:val="00A0401F"/>
    <w:rsid w:val="00A05641"/>
    <w:rsid w:val="00A100F6"/>
    <w:rsid w:val="00A10A33"/>
    <w:rsid w:val="00A13A96"/>
    <w:rsid w:val="00A2240B"/>
    <w:rsid w:val="00A2509E"/>
    <w:rsid w:val="00A35A1C"/>
    <w:rsid w:val="00A36D22"/>
    <w:rsid w:val="00A4411D"/>
    <w:rsid w:val="00A45606"/>
    <w:rsid w:val="00A51B9F"/>
    <w:rsid w:val="00A521A9"/>
    <w:rsid w:val="00A6487D"/>
    <w:rsid w:val="00A6675B"/>
    <w:rsid w:val="00A71C12"/>
    <w:rsid w:val="00A71DB3"/>
    <w:rsid w:val="00A854E0"/>
    <w:rsid w:val="00A85B30"/>
    <w:rsid w:val="00AA4748"/>
    <w:rsid w:val="00AA54EF"/>
    <w:rsid w:val="00AA6021"/>
    <w:rsid w:val="00AC33E5"/>
    <w:rsid w:val="00AD0E8B"/>
    <w:rsid w:val="00AD137A"/>
    <w:rsid w:val="00AD2528"/>
    <w:rsid w:val="00AD26F5"/>
    <w:rsid w:val="00AD62B5"/>
    <w:rsid w:val="00AF1205"/>
    <w:rsid w:val="00B0470A"/>
    <w:rsid w:val="00B103B8"/>
    <w:rsid w:val="00B31420"/>
    <w:rsid w:val="00B35BAB"/>
    <w:rsid w:val="00B3692B"/>
    <w:rsid w:val="00B36D9E"/>
    <w:rsid w:val="00B429B5"/>
    <w:rsid w:val="00B551AA"/>
    <w:rsid w:val="00B6043B"/>
    <w:rsid w:val="00B678FF"/>
    <w:rsid w:val="00B71D05"/>
    <w:rsid w:val="00B74922"/>
    <w:rsid w:val="00B76862"/>
    <w:rsid w:val="00B85FD8"/>
    <w:rsid w:val="00B8686F"/>
    <w:rsid w:val="00B92036"/>
    <w:rsid w:val="00BA6616"/>
    <w:rsid w:val="00BB24B0"/>
    <w:rsid w:val="00BB6BCF"/>
    <w:rsid w:val="00BD3F2B"/>
    <w:rsid w:val="00BE367C"/>
    <w:rsid w:val="00BE71B2"/>
    <w:rsid w:val="00BF3B5F"/>
    <w:rsid w:val="00BF6B47"/>
    <w:rsid w:val="00C0569B"/>
    <w:rsid w:val="00C108DA"/>
    <w:rsid w:val="00C20259"/>
    <w:rsid w:val="00C20F44"/>
    <w:rsid w:val="00C35D78"/>
    <w:rsid w:val="00C462CE"/>
    <w:rsid w:val="00C47144"/>
    <w:rsid w:val="00C5022C"/>
    <w:rsid w:val="00C60936"/>
    <w:rsid w:val="00C63664"/>
    <w:rsid w:val="00C6617A"/>
    <w:rsid w:val="00C70AA8"/>
    <w:rsid w:val="00C735DC"/>
    <w:rsid w:val="00C771FF"/>
    <w:rsid w:val="00C801CB"/>
    <w:rsid w:val="00C842E0"/>
    <w:rsid w:val="00C861E1"/>
    <w:rsid w:val="00C86C1B"/>
    <w:rsid w:val="00C874E5"/>
    <w:rsid w:val="00CA0354"/>
    <w:rsid w:val="00CB1029"/>
    <w:rsid w:val="00CB26D4"/>
    <w:rsid w:val="00CC5CD1"/>
    <w:rsid w:val="00CC75EF"/>
    <w:rsid w:val="00CD18F3"/>
    <w:rsid w:val="00CD2185"/>
    <w:rsid w:val="00CE0E5C"/>
    <w:rsid w:val="00CF2298"/>
    <w:rsid w:val="00CF36FF"/>
    <w:rsid w:val="00CF5583"/>
    <w:rsid w:val="00CF632F"/>
    <w:rsid w:val="00D0676F"/>
    <w:rsid w:val="00D106AB"/>
    <w:rsid w:val="00D21F6D"/>
    <w:rsid w:val="00D23452"/>
    <w:rsid w:val="00D25535"/>
    <w:rsid w:val="00D2637A"/>
    <w:rsid w:val="00D339AA"/>
    <w:rsid w:val="00D46F44"/>
    <w:rsid w:val="00D741B7"/>
    <w:rsid w:val="00D75E8C"/>
    <w:rsid w:val="00D8255F"/>
    <w:rsid w:val="00D84679"/>
    <w:rsid w:val="00D85A01"/>
    <w:rsid w:val="00D8610F"/>
    <w:rsid w:val="00D9375E"/>
    <w:rsid w:val="00D93ED4"/>
    <w:rsid w:val="00D94F96"/>
    <w:rsid w:val="00D9600E"/>
    <w:rsid w:val="00DA0D30"/>
    <w:rsid w:val="00DA6674"/>
    <w:rsid w:val="00DB0602"/>
    <w:rsid w:val="00DB0822"/>
    <w:rsid w:val="00DB1471"/>
    <w:rsid w:val="00DB3398"/>
    <w:rsid w:val="00DB4D42"/>
    <w:rsid w:val="00DB558E"/>
    <w:rsid w:val="00DC37FA"/>
    <w:rsid w:val="00DD063C"/>
    <w:rsid w:val="00DD0B35"/>
    <w:rsid w:val="00DD551C"/>
    <w:rsid w:val="00DD6D2D"/>
    <w:rsid w:val="00DD7992"/>
    <w:rsid w:val="00DE1F4D"/>
    <w:rsid w:val="00DF51DA"/>
    <w:rsid w:val="00DF7103"/>
    <w:rsid w:val="00E0189C"/>
    <w:rsid w:val="00E02E4F"/>
    <w:rsid w:val="00E06DFF"/>
    <w:rsid w:val="00E22518"/>
    <w:rsid w:val="00E25D16"/>
    <w:rsid w:val="00E308AF"/>
    <w:rsid w:val="00E32FFA"/>
    <w:rsid w:val="00E37D68"/>
    <w:rsid w:val="00E46625"/>
    <w:rsid w:val="00E50FEC"/>
    <w:rsid w:val="00E52138"/>
    <w:rsid w:val="00E533C3"/>
    <w:rsid w:val="00E550C4"/>
    <w:rsid w:val="00E553CA"/>
    <w:rsid w:val="00E5590D"/>
    <w:rsid w:val="00E62076"/>
    <w:rsid w:val="00E62DC8"/>
    <w:rsid w:val="00E71D4D"/>
    <w:rsid w:val="00E847BF"/>
    <w:rsid w:val="00E84EB0"/>
    <w:rsid w:val="00E8778F"/>
    <w:rsid w:val="00E9338C"/>
    <w:rsid w:val="00EA3A42"/>
    <w:rsid w:val="00EA4CAF"/>
    <w:rsid w:val="00EB65E2"/>
    <w:rsid w:val="00EB7B8C"/>
    <w:rsid w:val="00EC18CB"/>
    <w:rsid w:val="00EC6220"/>
    <w:rsid w:val="00ED162B"/>
    <w:rsid w:val="00EE339C"/>
    <w:rsid w:val="00EE4766"/>
    <w:rsid w:val="00EE54B0"/>
    <w:rsid w:val="00EE766A"/>
    <w:rsid w:val="00F00FFE"/>
    <w:rsid w:val="00F12D3B"/>
    <w:rsid w:val="00F239C4"/>
    <w:rsid w:val="00F2507E"/>
    <w:rsid w:val="00F3545F"/>
    <w:rsid w:val="00F35B4B"/>
    <w:rsid w:val="00F413B7"/>
    <w:rsid w:val="00F41D50"/>
    <w:rsid w:val="00F43313"/>
    <w:rsid w:val="00F43585"/>
    <w:rsid w:val="00F5129B"/>
    <w:rsid w:val="00F5175E"/>
    <w:rsid w:val="00F52739"/>
    <w:rsid w:val="00F7007A"/>
    <w:rsid w:val="00F739CF"/>
    <w:rsid w:val="00F74783"/>
    <w:rsid w:val="00F76179"/>
    <w:rsid w:val="00F9705E"/>
    <w:rsid w:val="00FA213F"/>
    <w:rsid w:val="00FA3F8F"/>
    <w:rsid w:val="00FA4B6D"/>
    <w:rsid w:val="00FA5248"/>
    <w:rsid w:val="00FA5811"/>
    <w:rsid w:val="00FB01CF"/>
    <w:rsid w:val="00FC6E83"/>
    <w:rsid w:val="00FC7AFB"/>
    <w:rsid w:val="00FD5C51"/>
    <w:rsid w:val="00FD6C8F"/>
    <w:rsid w:val="00FF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BBCFA"/>
  <w15:chartTrackingRefBased/>
  <w15:docId w15:val="{A17C1D73-521D-4A52-944F-1D34E28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1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CC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5E1CC9"/>
    <w:rPr>
      <w:sz w:val="18"/>
      <w:szCs w:val="18"/>
    </w:rPr>
  </w:style>
  <w:style w:type="paragraph" w:styleId="a5">
    <w:name w:val="footer"/>
    <w:basedOn w:val="a"/>
    <w:link w:val="a6"/>
    <w:uiPriority w:val="99"/>
    <w:unhideWhenUsed/>
    <w:rsid w:val="005E1CC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5E1C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4382">
      <w:bodyDiv w:val="1"/>
      <w:marLeft w:val="0"/>
      <w:marRight w:val="0"/>
      <w:marTop w:val="0"/>
      <w:marBottom w:val="0"/>
      <w:divBdr>
        <w:top w:val="none" w:sz="0" w:space="0" w:color="auto"/>
        <w:left w:val="none" w:sz="0" w:space="0" w:color="auto"/>
        <w:bottom w:val="none" w:sz="0" w:space="0" w:color="auto"/>
        <w:right w:val="none" w:sz="0" w:space="0" w:color="auto"/>
      </w:divBdr>
    </w:div>
    <w:div w:id="685714164">
      <w:bodyDiv w:val="1"/>
      <w:marLeft w:val="0"/>
      <w:marRight w:val="0"/>
      <w:marTop w:val="0"/>
      <w:marBottom w:val="0"/>
      <w:divBdr>
        <w:top w:val="none" w:sz="0" w:space="0" w:color="auto"/>
        <w:left w:val="none" w:sz="0" w:space="0" w:color="auto"/>
        <w:bottom w:val="none" w:sz="0" w:space="0" w:color="auto"/>
        <w:right w:val="none" w:sz="0" w:space="0" w:color="auto"/>
      </w:divBdr>
    </w:div>
    <w:div w:id="1078094941">
      <w:bodyDiv w:val="1"/>
      <w:marLeft w:val="0"/>
      <w:marRight w:val="0"/>
      <w:marTop w:val="0"/>
      <w:marBottom w:val="0"/>
      <w:divBdr>
        <w:top w:val="none" w:sz="0" w:space="0" w:color="auto"/>
        <w:left w:val="none" w:sz="0" w:space="0" w:color="auto"/>
        <w:bottom w:val="none" w:sz="0" w:space="0" w:color="auto"/>
        <w:right w:val="none" w:sz="0" w:space="0" w:color="auto"/>
      </w:divBdr>
    </w:div>
    <w:div w:id="1330672125">
      <w:bodyDiv w:val="1"/>
      <w:marLeft w:val="0"/>
      <w:marRight w:val="0"/>
      <w:marTop w:val="0"/>
      <w:marBottom w:val="0"/>
      <w:divBdr>
        <w:top w:val="none" w:sz="0" w:space="0" w:color="auto"/>
        <w:left w:val="none" w:sz="0" w:space="0" w:color="auto"/>
        <w:bottom w:val="none" w:sz="0" w:space="0" w:color="auto"/>
        <w:right w:val="none" w:sz="0" w:space="0" w:color="auto"/>
      </w:divBdr>
    </w:div>
    <w:div w:id="21168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sunyiqun</dc:creator>
  <cp:keywords/>
  <dc:description/>
  <cp:lastModifiedBy>sunyiqun</cp:lastModifiedBy>
  <cp:revision>7</cp:revision>
  <dcterms:created xsi:type="dcterms:W3CDTF">2024-11-14T04:01:00Z</dcterms:created>
  <dcterms:modified xsi:type="dcterms:W3CDTF">2024-12-23T07:48:00Z</dcterms:modified>
</cp:coreProperties>
</file>