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B5639">
      <w:pPr>
        <w:rPr>
          <w:rFonts w:ascii="华文宋体" w:hAnsi="华文宋体" w:eastAsia="华文宋体"/>
        </w:rPr>
      </w:pPr>
    </w:p>
    <w:p w14:paraId="472985E8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3F46944D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2F128AB8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7A6B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31C68E5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74C0CE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0BEB4D2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7C609CF5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5C1417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072B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5453E61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4ED6FE9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280FA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33E516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009B9218">
            <w:pPr>
              <w:spacing w:line="3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广发证券、中银国际证券、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路博迈基金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、上海臻宜投资、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兴证全球基金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、华富基金、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海富通基金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、国联安基金、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北京诚盛投资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、上海彤源投资、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国泰基金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、展图（上海）资产、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博时基金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、中信建投证券、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汇安基金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、中国人寿养老保险、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华泰资产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、上汽颀臻（上海）资产 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工银瑞信基金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、杭州中大君悦投资、上海山楂树甄琢资产、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北京汉和汉华资本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、国华兴益保险、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华美国际投资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国元证券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上海玖鹏资产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鑫元基金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AZ Investment Management</w:t>
            </w:r>
          </w:p>
        </w:tc>
      </w:tr>
      <w:tr w14:paraId="0587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F55A1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717EF196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2024年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7D4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2B0154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9B6AD7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7BFD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11CBB1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61F54B9C">
            <w:pPr>
              <w:spacing w:line="30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董事会秘书、财务总监：邹勇坚</w:t>
            </w:r>
          </w:p>
          <w:p w14:paraId="18F738AC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3026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2769AE4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734BA65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公司进入第四季度以来奶茶和即饮业务的情况？</w:t>
            </w:r>
          </w:p>
          <w:p w14:paraId="2CD098A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答：进入第四季度，奶茶业务处在销售旺季，渠道备货节奏加快，公司正全力做好奶茶旺季的运营工作；同时，公司今年发现Meco如鲜果茶在礼品市场的销售机会，正在为Meco如鲜果茶的春节档礼品装销售做好准备，目前各项工作均在有序进行中。</w:t>
            </w:r>
          </w:p>
          <w:p w14:paraId="18647671">
            <w:pPr>
              <w:numPr>
                <w:ilvl w:val="0"/>
                <w:numId w:val="1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奶茶业务今年销售的规划？</w:t>
            </w:r>
          </w:p>
          <w:p w14:paraId="093E5BDC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iCs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Cs w:val="21"/>
              </w:rPr>
              <w:t>答：受外部环境影响，为了保证渠道库存的良性健康，公司今年加快做好了奶茶产品的去库存工作，同时公司坚持以动销为原则，将奶茶旺季的出货节奏往后做了迁移，并提升了生产端的产能储备。</w:t>
            </w:r>
          </w:p>
          <w:p w14:paraId="1F979EC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奶茶新品的销售反馈情况？</w:t>
            </w:r>
          </w:p>
          <w:p w14:paraId="73466A8B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答：今年</w:t>
            </w:r>
            <w:r>
              <w:rPr>
                <w:rFonts w:ascii="宋体" w:hAnsi="宋体" w:cs="宋体"/>
                <w:szCs w:val="21"/>
                <w:lang w:eastAsia="zh-Hans"/>
              </w:rPr>
              <w:t>9月，公司推出了“原叶现泡轻乳茶”“原叶现泡奶茶”（黑糖珍珠/糯糯红豆）奶茶新品，开创“原叶现泡”奶茶新品类。“原叶现泡”系列产品是在之前的“如鲜”燕麦奶茶的产品基础上，继续沿着品牌年轻化、品类健康化方向进行升级的产品。</w:t>
            </w:r>
          </w:p>
          <w:p w14:paraId="773A4E68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两款新品在线上和线下的部分区域进行试销，原叶现泡轻乳茶线上销售占比较大，原叶现泡奶茶在线下部分区域进行销售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当前两款新品还处在探测阶段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45EB41B5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兰芳园冻柠茶的后续规划？</w:t>
            </w:r>
          </w:p>
          <w:p w14:paraId="12C0E40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答：冻柠茶经过前期的试销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展现出一定的市场机会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明年公司将</w:t>
            </w:r>
            <w:r>
              <w:rPr>
                <w:rFonts w:hint="eastAsia" w:ascii="宋体" w:hAnsi="宋体" w:eastAsia="宋体" w:cs="宋体"/>
                <w:szCs w:val="21"/>
              </w:rPr>
              <w:t>继续对冻柠茶的产品定位进行优化调整，并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增加投入力度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采取聚焦策略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进一步聚焦在销售机会更大的城市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建设样板市场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寻找成功模式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576CCFB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公司在零食量贩渠道的销售情况？</w:t>
            </w:r>
          </w:p>
          <w:p w14:paraId="6E61CD3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答：公司非常关注零食量贩渠道的发展，当前，公司直营的零食量贩门店数量已经超过两万家。在现有的产品中，Meco如鲜果茶、兰芳园冻柠茶和奶茶类产品已经进入零食量贩渠道销售。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。目前，小包装定制款Meco如鲜果茶已在万辰集团系统上线，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定制款杯装冻柠茶在零食有鸣系统进行探测试销，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后续将持续观察产品的市场表现。</w:t>
            </w:r>
          </w:p>
          <w:p w14:paraId="611F573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公司明年的新品规划？</w:t>
            </w:r>
          </w:p>
          <w:p w14:paraId="0C1D941D">
            <w:pPr>
              <w:pStyle w:val="33"/>
              <w:spacing w:after="0" w:afterLines="0" w:line="30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答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：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奶茶板块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公司将会沿着健康化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、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年轻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化的升级方向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做更多的研究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。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即饮板块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Meco如鲜果茶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每年将会持续推出新口味进行迭代优化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。</w:t>
            </w:r>
          </w:p>
          <w:p w14:paraId="32189DE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公司在销售团队的组织架构上有哪些调整？</w:t>
            </w:r>
          </w:p>
          <w:p w14:paraId="2FCF4AB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结合前期各城市销售团队实际运营效果，对销售团队的部署进行优化。原冲泡团队调整为“全品类团队”，充分发挥协同作用；即饮销售团队采取“聚焦”策略，进一步聚焦于即饮产品销售机会更大的城市。公司期望通过全品类团队与即饮销售团队的协同作战，来实现渠道整体运作效率的提升。</w:t>
            </w:r>
          </w:p>
          <w:p w14:paraId="0BDEFE2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公司后续的分红规划？</w:t>
            </w:r>
          </w:p>
          <w:p w14:paraId="06CF36F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答：公司重视投资者回报，2023年度的分红比例有所提升，股利支付率达到了51.29%。未来，公司会综合考虑监管政策导向、业务发展规划以及对投资者的回报等因素，来确定每年的分红比例。</w:t>
            </w:r>
          </w:p>
          <w:p w14:paraId="79A44D5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公司是否有收并购的计划？</w:t>
            </w:r>
          </w:p>
          <w:p w14:paraId="79CD2E7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答：目前，公司暂无明确的收并购项目。但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针对收并购，公司始终保持开放的心态，期望寻找到与公司业务契合的标的，与公司现有的业务形成协同，达到相互赋能的效果。但考虑到并购存在的相关风险，公司对于具体并购标的选择等也会非常慎重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1FC2EF6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公司费用投放规划？</w:t>
            </w:r>
          </w:p>
          <w:p w14:paraId="4ED7EB8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奶茶业务原有的产品保持稳健的费用投放，</w:t>
            </w:r>
            <w:r>
              <w:rPr>
                <w:rFonts w:hint="eastAsia" w:ascii="宋体" w:hAnsi="宋体" w:eastAsia="宋体" w:cs="宋体"/>
                <w:szCs w:val="21"/>
              </w:rPr>
              <w:t>“原叶现泡”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奶茶新品推出后</w:t>
            </w:r>
            <w:r>
              <w:rPr>
                <w:rFonts w:hint="eastAsia" w:ascii="宋体" w:hAnsi="宋体" w:eastAsia="宋体" w:cs="宋体"/>
                <w:szCs w:val="21"/>
              </w:rPr>
              <w:t>,公司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</w:t>
            </w:r>
            <w:r>
              <w:rPr>
                <w:rFonts w:hint="eastAsia" w:ascii="宋体" w:hAnsi="宋体" w:eastAsia="宋体" w:cs="宋体"/>
                <w:szCs w:val="21"/>
              </w:rPr>
              <w:t>相应的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宣传费用投放；</w:t>
            </w:r>
            <w:r>
              <w:rPr>
                <w:rFonts w:hint="eastAsia" w:ascii="宋体" w:hAnsi="宋体" w:eastAsia="宋体" w:cs="宋体"/>
                <w:szCs w:val="21"/>
              </w:rPr>
              <w:t>即饮业务的费用投放将维持一定的力度，与此同时努力提升费用投放的精准有效性。总体上，公司会维持好收入、费用、利润三者间的动态平衡。</w:t>
            </w:r>
          </w:p>
        </w:tc>
      </w:tr>
    </w:tbl>
    <w:p w14:paraId="2500909C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C7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4C6FA0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BB1CEF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E4DB0"/>
    <w:rsid w:val="7EB02B41"/>
    <w:rsid w:val="7EC23181"/>
    <w:rsid w:val="7ECF6A9E"/>
    <w:rsid w:val="7ED14F91"/>
    <w:rsid w:val="7ED15B46"/>
    <w:rsid w:val="7EFEF37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2</Pages>
  <Words>1731</Words>
  <Characters>1779</Characters>
  <Lines>25</Lines>
  <Paragraphs>7</Paragraphs>
  <TotalTime>13</TotalTime>
  <ScaleCrop>false</ScaleCrop>
  <LinksUpToDate>false</LinksUpToDate>
  <CharactersWithSpaces>1860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2024-11-04T23:53:00Z</dcterms:created>
  <dc:creator>myji</dc:creator>
  <cp:lastModifiedBy>斯斯</cp:lastModifiedBy>
  <cp:lastPrinted>2021-01-31T11:46:00Z</cp:lastPrinted>
  <dcterms:modified xsi:type="dcterms:W3CDTF">2024-12-24T08:25:34Z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EE0B47BEA1224FD7BBD80CF73B4BB300_13</vt:lpwstr>
  </property>
</Properties>
</file>