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227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iGa9f4wEAAKoDAAAO&#10;AAAAZHJzL2Uyb0RvYy54bWytU8uu0zAQ3SPxD5b3NGlRLldR07u4pWwQVAI+YOpHYskv2W7T/gQ/&#10;gMQOVizZ8zdcPoOxG8oFNgiRxWTsOZ7MOT5Z3hyNJgcRonK2o/NZTYmwzHFl+46+eb15dE1JTGA5&#10;aGdFR08i0pvVwwfL0bdi4QanuQgEm9jYjr6jQ0q+rarIBmEgzpwXFovSBQMJl6GveIARuxtdLer6&#10;qhpd4D44JmLE3fW5SFelv5SCpZdSRpGI7ijOlkoMJe5yrFZLaPsAflBsGgP+YQoDyuJHL63WkIDs&#10;g/qjlVEsuOhkmjFnKielYqJwQDbz+jc2rwbwonBBcaK/yBT/X1v24rANRHG8O0osGLyiu3efv779&#10;8O3Le4x3nz6SeRZp9LFF7K3dhmkV/TZkxkcZTH4jF3Iswp4uwopjIgw3m6aZX9cNJQxrV4+b3LH6&#10;edSHmJ4JZ0hOOqqVzayhhcPzmM7QH5C8rS0Zcd7FkxpvlAG6RmpImBqPPKLty+HotOIbpXU+EkO/&#10;u9WBHAB9sNnU+Ewz/ALLX1lDHM64UsowaAcB/KnlJJ08KmTRyjTPYASnRAt0fs4KMoHSf4NE+trm&#10;1qK4dCKaZT4Lm7Od4ye8nb0Pqh9QmBT2ooydi2iIIuJk3uy4+2vM7/9iq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ML7WS1gAAAAgBAAAPAAAAAAAAAAEAIAAAADgAAABkcnMvZG93bnJldi54bWxQ&#10;SwECFAAUAAAACACHTuJAIhmvX+MBAACqAwAADgAAAAAAAAABACAAAAA7AQAAZHJzL2Uyb0RvYy54&#10;bWxQSwUGAAAAAAYABgBZAQAAkA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widowControl w:val="0"/>
        <w:wordWrap/>
        <w:adjustRightInd w:val="0"/>
        <w:snapToGrid w:val="0"/>
        <w:spacing w:beforeLines="0" w:afterLines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对蔡铁强、蔡演强采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取</w:t>
      </w:r>
    </w:p>
    <w:p>
      <w:pPr>
        <w:widowControl w:val="0"/>
        <w:wordWrap/>
        <w:adjustRightInd w:val="0"/>
        <w:snapToGrid w:val="0"/>
        <w:spacing w:beforeLines="0" w:afterLines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出具警示函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措施的决定</w:t>
      </w:r>
    </w:p>
    <w:p>
      <w:pPr>
        <w:widowControl w:val="0"/>
        <w:wordWrap/>
        <w:adjustRightInd w:val="0"/>
        <w:snapToGrid w:val="0"/>
        <w:spacing w:beforeLines="0" w:afterLines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>
      <w:pPr>
        <w:widowControl w:val="0"/>
        <w:wordWrap/>
        <w:overflowPunct w:val="0"/>
        <w:adjustRightInd w:val="0"/>
        <w:snapToGrid w:val="0"/>
        <w:spacing w:line="336" w:lineRule="auto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蔡铁强、蔡演强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：</w:t>
      </w:r>
    </w:p>
    <w:p>
      <w:pPr>
        <w:widowControl w:val="0"/>
        <w:wordWrap/>
        <w:overflowPunct w:val="0"/>
        <w:adjustRightInd w:val="0"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eastAsia="zh-CN"/>
        </w:rPr>
        <w:t>经查，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 w:bidi="ar-SA"/>
        </w:rPr>
        <w:t>202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 w:bidi="ar-SA"/>
        </w:rPr>
        <w:t>10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 w:bidi="ar-SA"/>
        </w:rPr>
        <w:t>10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 w:bidi="ar-SA"/>
        </w:rPr>
        <w:t>日起，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 w:bidi="ar-SA"/>
        </w:rPr>
        <w:t>蔡铁强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 w:bidi="ar-SA"/>
        </w:rPr>
        <w:t>任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广东德尔玛科技股份有限公司（以下简称德尔玛或公司）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 w:bidi="ar-SA"/>
        </w:rPr>
        <w:t>董事长兼总经理，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蔡演强</w:t>
      </w:r>
      <w:r>
        <w:rPr>
          <w:rFonts w:hint="default" w:ascii="仿宋_GB2312" w:eastAsia="仿宋_GB2312"/>
          <w:color w:val="auto"/>
          <w:sz w:val="32"/>
          <w:szCs w:val="30"/>
          <w:highlight w:val="none"/>
          <w:lang w:val="en" w:eastAsia="zh-CN"/>
        </w:rPr>
        <w:t>任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德尔玛董事兼副总经理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。你们的母亲丘寿娣通过二级市场交易“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德尔玛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”股票情况如下：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2024年11月12日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买入7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,500股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，成交均价11.04元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，成交金额8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.28万元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13日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买入7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,200股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，成交均价11.00元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，成交金额7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.92万元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21日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  <w:lang w:eastAsia="zh-CN"/>
        </w:rPr>
        <w:t>卖出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700股</w:t>
      </w:r>
      <w:r>
        <w:rPr>
          <w:rFonts w:hint="eastAsia" w:ascii="仿宋_GB2312" w:hAnsi="仿宋_GB2312" w:eastAsia="仿宋_GB2312" w:cs="仿宋_GB2312"/>
          <w:kern w:val="0"/>
          <w:sz w:val="32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成交均价11.17元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/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" w:eastAsia="zh-CN"/>
        </w:rPr>
        <w:t>股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，成交金额16.42万元，违规获利2,069.02元已上交公司。</w:t>
      </w:r>
    </w:p>
    <w:p>
      <w:pPr>
        <w:widowControl w:val="0"/>
        <w:wordWrap/>
        <w:overflowPunct w:val="0"/>
        <w:adjustRightInd w:val="0"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你们作为德尔玛董事、</w:t>
      </w:r>
      <w:r>
        <w:rPr>
          <w:rFonts w:hint="eastAsia" w:ascii="仿宋_GB2312" w:eastAsia="仿宋_GB2312"/>
          <w:color w:val="auto"/>
          <w:sz w:val="32"/>
          <w:szCs w:val="30"/>
          <w:highlight w:val="none"/>
          <w:lang w:eastAsia="zh-CN"/>
        </w:rPr>
        <w:t>高级管理人员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，母亲丘寿娣上述交易“德尔玛”股票的行为违反了《中华人民共和国证券法》（以下简称《证券法》）第四十四条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第一款、第二款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lang w:val="en-US" w:eastAsia="zh-CN"/>
        </w:rPr>
        <w:t>的规定，构成短线交易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0"/>
          <w:highlight w:val="none"/>
          <w:lang w:val="en-US" w:eastAsia="zh-CN"/>
        </w:rPr>
        <w:t>。根据《证券法》第一百七十条第二款的规定，我局决定对你们采取出具警示函的行政监管措施。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  <w:t>你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eastAsia="zh-CN"/>
        </w:rPr>
        <w:t>们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  <w:t>应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eastAsia="zh-CN"/>
        </w:rPr>
        <w:t>当引以为戒，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  <w:t>认真吸取教训，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eastAsia="zh-CN"/>
        </w:rPr>
        <w:t>本人及直系亲属应切实加强对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  <w:t>证券法律法规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eastAsia="zh-CN"/>
        </w:rPr>
        <w:t>的学习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</w:rPr>
        <w:t>，严格规范</w:t>
      </w:r>
      <w:r>
        <w:rPr>
          <w:rFonts w:hint="eastAsia" w:ascii="仿宋_GB2312" w:hAnsi="仿宋_GB2312" w:eastAsia="仿宋_GB2312" w:cs="Times New Roman"/>
          <w:kern w:val="0"/>
          <w:sz w:val="32"/>
          <w:szCs w:val="20"/>
          <w:highlight w:val="none"/>
          <w:lang w:eastAsia="zh-CN"/>
        </w:rPr>
        <w:t>交易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行为，杜绝此类违规行为再次发生。</w:t>
      </w:r>
    </w:p>
    <w:p>
      <w:pPr>
        <w:overflowPunct w:val="0"/>
        <w:adjustRightInd w:val="0"/>
        <w:snapToGrid w:val="0"/>
        <w:spacing w:line="336" w:lineRule="auto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如果对本监督管理措施不服，可以在收到本决定书之日起60日内向中国证券监督管理委员会提出行政复议申请；也可以在收到本决定书之日起6个月内向有管辖权的人民法院提起诉讼。复议与诉讼期间，上述监督管理措施不停止执行。</w:t>
      </w:r>
    </w:p>
    <w:p>
      <w:pPr>
        <w:pStyle w:val="8"/>
        <w:widowControl w:val="0"/>
        <w:overflowPunct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4"/>
          <w:szCs w:val="24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" w:eastAsia="zh-CN"/>
        </w:rPr>
        <w:t>12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27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00" w:lineRule="auto"/>
        <w:ind w:right="26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ascii="长城仿宋" w:eastAsia="长城仿宋"/>
          <w:sz w:val="28"/>
        </w:rPr>
      </w:pPr>
      <w:r>
        <w:rPr>
          <w:rFonts w:hint="eastAsia" w:ascii="仿宋_GB2312" w:eastAsia="仿宋_GB2312"/>
          <w:spacing w:val="8"/>
          <w:sz w:val="28"/>
        </w:rPr>
        <w:t>抄送：证监会上市司、法治司；深圳证券交易所。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pacing w:val="8"/>
          <w:sz w:val="28"/>
        </w:rPr>
        <w:t xml:space="preserve">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1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2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/>
        </w:rPr>
        <w:t>31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overflowPunct w:val="0"/>
        <w:adjustRightInd w:val="0"/>
        <w:snapToGrid w:val="0"/>
        <w:spacing w:beforeLines="0" w:afterLines="0" w:line="240" w:lineRule="auto"/>
        <w:ind w:firstLine="0" w:firstLineChar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宋体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</w:pP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- 1 -</w:t>
    </w:r>
    <w:r>
      <w:rPr>
        <w:rFonts w:hint="eastAsia" w:ascii="宋体" w:hAnsi="宋体"/>
        <w:sz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FBB49"/>
    <w:rsid w:val="5FFE9595"/>
    <w:rsid w:val="70677203"/>
    <w:rsid w:val="77D6CBA1"/>
    <w:rsid w:val="B7D905CF"/>
    <w:rsid w:val="BEEF4B06"/>
    <w:rsid w:val="CFF386A7"/>
    <w:rsid w:val="EBE94D91"/>
    <w:rsid w:val="F7EFBB49"/>
    <w:rsid w:val="FF1BF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2024-12-22T14:13:00Z</dcterms:created>
  <dc:creator>张聪会：其他人员改稿</dc:creator>
  <cp:lastModifiedBy>张聪会</cp:lastModifiedBy>
  <dcterms:modified xsi:type="dcterms:W3CDTF">2025-01-07T14:48:02Z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39CD2CD5AF357AE56CB36867A962BC07</vt:lpwstr>
  </property>
</Properties>
</file>