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B2720">
      <w:pPr>
        <w:spacing w:after="156" w:afterLines="50" w:line="400" w:lineRule="exact"/>
        <w:jc w:val="left"/>
        <w:rPr>
          <w:bCs/>
          <w:iCs/>
          <w:sz w:val="24"/>
        </w:rPr>
      </w:pPr>
      <w:r>
        <w:rPr>
          <w:rFonts w:hAnsi="宋体"/>
          <w:bCs/>
          <w:iCs/>
          <w:sz w:val="24"/>
        </w:rPr>
        <w:t>证券代码：</w:t>
      </w:r>
      <w:r>
        <w:rPr>
          <w:rFonts w:hint="eastAsia"/>
          <w:bCs/>
          <w:iCs/>
          <w:sz w:val="24"/>
        </w:rPr>
        <w:t>603773</w:t>
      </w:r>
      <w:r>
        <w:rPr>
          <w:bCs/>
          <w:iCs/>
          <w:sz w:val="24"/>
        </w:rPr>
        <w:t xml:space="preserve">            </w:t>
      </w:r>
      <w:r>
        <w:rPr>
          <w:rFonts w:hint="eastAsia"/>
          <w:bCs/>
          <w:iCs/>
          <w:sz w:val="24"/>
        </w:rPr>
        <w:t xml:space="preserve">        </w:t>
      </w:r>
      <w:r>
        <w:rPr>
          <w:bCs/>
          <w:iCs/>
          <w:sz w:val="24"/>
        </w:rPr>
        <w:t xml:space="preserve"> </w:t>
      </w:r>
      <w:r>
        <w:rPr>
          <w:rFonts w:hint="eastAsia"/>
          <w:bCs/>
          <w:iCs/>
          <w:sz w:val="24"/>
        </w:rPr>
        <w:t xml:space="preserve">               </w:t>
      </w:r>
      <w:r>
        <w:rPr>
          <w:rFonts w:hAnsi="宋体"/>
          <w:bCs/>
          <w:iCs/>
          <w:sz w:val="24"/>
        </w:rPr>
        <w:t>证券简称：</w:t>
      </w:r>
      <w:r>
        <w:rPr>
          <w:rFonts w:hint="eastAsia" w:hAnsi="宋体"/>
          <w:bCs/>
          <w:iCs/>
          <w:sz w:val="24"/>
        </w:rPr>
        <w:t>沃格光电</w:t>
      </w:r>
    </w:p>
    <w:p w14:paraId="7C28D5B5">
      <w:pPr>
        <w:spacing w:line="360" w:lineRule="auto"/>
        <w:jc w:val="center"/>
        <w:rPr>
          <w:rFonts w:ascii="宋体" w:hAnsi="宋体"/>
          <w:b/>
          <w:bCs/>
          <w:iCs/>
          <w:color w:val="FF0000"/>
          <w:sz w:val="30"/>
          <w:szCs w:val="30"/>
        </w:rPr>
      </w:pPr>
      <w:r>
        <w:rPr>
          <w:rFonts w:hint="eastAsia" w:ascii="宋体" w:hAnsi="宋体"/>
          <w:b/>
          <w:bCs/>
          <w:iCs/>
          <w:color w:val="FF0000"/>
          <w:sz w:val="30"/>
          <w:szCs w:val="30"/>
        </w:rPr>
        <w:t>江西沃格光电</w:t>
      </w:r>
      <w:r>
        <w:rPr>
          <w:rFonts w:hint="eastAsia" w:ascii="宋体" w:hAnsi="宋体"/>
          <w:b/>
          <w:bCs/>
          <w:iCs/>
          <w:color w:val="FF0000"/>
          <w:sz w:val="30"/>
          <w:szCs w:val="30"/>
          <w:lang w:val="en-US" w:eastAsia="zh-CN"/>
        </w:rPr>
        <w:t>集团</w:t>
      </w:r>
      <w:r>
        <w:rPr>
          <w:rFonts w:hint="eastAsia" w:ascii="宋体" w:hAnsi="宋体"/>
          <w:b/>
          <w:bCs/>
          <w:iCs/>
          <w:color w:val="FF0000"/>
          <w:sz w:val="30"/>
          <w:szCs w:val="30"/>
        </w:rPr>
        <w:t>股份有限公司</w:t>
      </w:r>
    </w:p>
    <w:p w14:paraId="459B6DD9">
      <w:pPr>
        <w:spacing w:line="360" w:lineRule="auto"/>
        <w:jc w:val="center"/>
        <w:rPr>
          <w:rFonts w:ascii="宋体" w:hAnsi="宋体"/>
          <w:b/>
          <w:bCs/>
          <w:iCs/>
          <w:color w:val="FF0000"/>
          <w:sz w:val="30"/>
          <w:szCs w:val="30"/>
        </w:rPr>
      </w:pPr>
      <w:r>
        <w:rPr>
          <w:rFonts w:hint="eastAsia" w:ascii="宋体" w:hAnsi="宋体"/>
          <w:b/>
          <w:bCs/>
          <w:iCs/>
          <w:color w:val="FF0000"/>
          <w:sz w:val="30"/>
          <w:szCs w:val="30"/>
        </w:rPr>
        <w:t>投资者关系活动记录表</w:t>
      </w:r>
    </w:p>
    <w:p w14:paraId="76D209A7">
      <w:pPr>
        <w:spacing w:line="400" w:lineRule="exact"/>
        <w:jc w:val="right"/>
        <w:rPr>
          <w:bCs/>
          <w:iCs/>
          <w:sz w:val="24"/>
          <w:szCs w:val="24"/>
        </w:rPr>
      </w:pPr>
    </w:p>
    <w:tbl>
      <w:tblPr>
        <w:tblStyle w:val="7"/>
        <w:tblW w:w="8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967"/>
      </w:tblGrid>
      <w:tr w14:paraId="1943E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jc w:val="center"/>
        </w:trPr>
        <w:tc>
          <w:tcPr>
            <w:tcW w:w="1413" w:type="dxa"/>
            <w:vAlign w:val="center"/>
          </w:tcPr>
          <w:p w14:paraId="72C9341E">
            <w:pPr>
              <w:spacing w:line="470" w:lineRule="exact"/>
              <w:rPr>
                <w:rFonts w:ascii="宋体" w:hAnsi="宋体"/>
                <w:b/>
                <w:bCs/>
                <w:iCs/>
                <w:sz w:val="24"/>
                <w:szCs w:val="24"/>
              </w:rPr>
            </w:pPr>
            <w:r>
              <w:rPr>
                <w:rFonts w:hint="eastAsia" w:ascii="宋体" w:hAnsi="宋体"/>
                <w:b/>
                <w:bCs/>
                <w:iCs/>
                <w:sz w:val="24"/>
                <w:szCs w:val="24"/>
              </w:rPr>
              <w:t>投资者关系活动类别</w:t>
            </w:r>
          </w:p>
        </w:tc>
        <w:tc>
          <w:tcPr>
            <w:tcW w:w="6967" w:type="dxa"/>
            <w:vAlign w:val="center"/>
          </w:tcPr>
          <w:p w14:paraId="2BE144D5">
            <w:pPr>
              <w:spacing w:line="470" w:lineRule="exact"/>
              <w:rPr>
                <w:rFonts w:ascii="宋体" w:hAnsi="宋体"/>
                <w:bCs/>
                <w:iCs/>
                <w:sz w:val="24"/>
                <w:szCs w:val="24"/>
              </w:rPr>
            </w:pPr>
            <w:r>
              <w:rPr>
                <w:rFonts w:ascii="Arial" w:hAnsi="Arial" w:cs="Arial"/>
                <w:bCs/>
                <w:iCs/>
                <w:sz w:val="24"/>
                <w:szCs w:val="24"/>
              </w:rPr>
              <w:t>√</w:t>
            </w:r>
            <w:r>
              <w:rPr>
                <w:rFonts w:hint="eastAsia" w:ascii="宋体" w:hAnsi="宋体"/>
                <w:sz w:val="24"/>
                <w:szCs w:val="24"/>
              </w:rPr>
              <w:t xml:space="preserve">特定对象调研       </w:t>
            </w:r>
            <w:r>
              <w:rPr>
                <w:rFonts w:hint="eastAsia" w:ascii="宋体" w:hAnsi="宋体"/>
                <w:sz w:val="24"/>
                <w:szCs w:val="24"/>
                <w:lang w:val="en-US" w:eastAsia="zh-CN"/>
              </w:rPr>
              <w:t xml:space="preserve"> </w:t>
            </w:r>
            <w:r>
              <w:rPr>
                <w:rFonts w:ascii="Arial" w:hAnsi="Arial" w:cs="Arial"/>
                <w:bCs/>
                <w:iCs/>
                <w:sz w:val="24"/>
                <w:szCs w:val="24"/>
              </w:rPr>
              <w:t>√</w:t>
            </w:r>
            <w:r>
              <w:rPr>
                <w:rFonts w:hint="eastAsia" w:ascii="宋体" w:hAnsi="宋体"/>
                <w:sz w:val="24"/>
                <w:szCs w:val="24"/>
              </w:rPr>
              <w:t>分析师会议</w:t>
            </w:r>
          </w:p>
          <w:p w14:paraId="7C1A6270">
            <w:pPr>
              <w:spacing w:line="470" w:lineRule="exact"/>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1B3F5255">
            <w:pPr>
              <w:spacing w:line="470" w:lineRule="exact"/>
              <w:rPr>
                <w:rFonts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bCs/>
                <w:iCs/>
                <w:sz w:val="24"/>
                <w:szCs w:val="24"/>
              </w:rPr>
              <w:t>□</w:t>
            </w:r>
            <w:r>
              <w:rPr>
                <w:rFonts w:hint="eastAsia" w:ascii="宋体" w:hAnsi="宋体"/>
                <w:sz w:val="24"/>
                <w:szCs w:val="24"/>
              </w:rPr>
              <w:t>路演活动</w:t>
            </w:r>
          </w:p>
          <w:p w14:paraId="6746533B">
            <w:pPr>
              <w:tabs>
                <w:tab w:val="left" w:pos="3045"/>
                <w:tab w:val="center" w:pos="3199"/>
              </w:tabs>
              <w:spacing w:line="470" w:lineRule="exact"/>
              <w:rPr>
                <w:rFonts w:ascii="宋体" w:hAnsi="宋体"/>
                <w:sz w:val="24"/>
                <w:szCs w:val="24"/>
              </w:rPr>
            </w:pPr>
            <w:r>
              <w:rPr>
                <w:rFonts w:ascii="Arial" w:hAnsi="Arial" w:cs="Arial"/>
                <w:bCs/>
                <w:iCs/>
                <w:sz w:val="24"/>
                <w:szCs w:val="24"/>
              </w:rPr>
              <w:t>√</w:t>
            </w:r>
            <w:r>
              <w:rPr>
                <w:rFonts w:hint="eastAsia" w:ascii="宋体" w:hAnsi="宋体"/>
                <w:sz w:val="24"/>
                <w:szCs w:val="24"/>
              </w:rPr>
              <w:t xml:space="preserve">现场参观            </w:t>
            </w:r>
            <w:r>
              <w:rPr>
                <w:rFonts w:ascii="Arial" w:hAnsi="Arial" w:cs="Arial"/>
                <w:bCs/>
                <w:iCs/>
                <w:sz w:val="24"/>
                <w:szCs w:val="24"/>
              </w:rPr>
              <w:t>√</w:t>
            </w:r>
            <w:r>
              <w:rPr>
                <w:rFonts w:hint="eastAsia" w:ascii="宋体" w:hAnsi="宋体"/>
                <w:sz w:val="24"/>
                <w:szCs w:val="24"/>
              </w:rPr>
              <w:t>电话会议</w:t>
            </w:r>
          </w:p>
          <w:p w14:paraId="0FF3DBCC">
            <w:pPr>
              <w:tabs>
                <w:tab w:val="left" w:pos="3045"/>
                <w:tab w:val="center" w:pos="3199"/>
              </w:tabs>
              <w:spacing w:line="470" w:lineRule="exact"/>
              <w:rPr>
                <w:rFonts w:ascii="宋体" w:hAnsi="宋体"/>
                <w:b/>
                <w:bCs/>
                <w:iCs/>
                <w:sz w:val="24"/>
                <w:szCs w:val="24"/>
              </w:rPr>
            </w:pPr>
            <w:r>
              <w:rPr>
                <w:rFonts w:hint="eastAsia" w:ascii="宋体" w:hAnsi="宋体"/>
                <w:bCs/>
                <w:iCs/>
                <w:sz w:val="24"/>
                <w:szCs w:val="24"/>
              </w:rPr>
              <w:t>□</w:t>
            </w:r>
            <w:r>
              <w:rPr>
                <w:rFonts w:hint="eastAsia" w:ascii="宋体" w:hAnsi="宋体"/>
                <w:sz w:val="24"/>
                <w:szCs w:val="24"/>
              </w:rPr>
              <w:t>其他</w:t>
            </w:r>
          </w:p>
        </w:tc>
      </w:tr>
      <w:tr w14:paraId="4548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413" w:type="dxa"/>
            <w:vAlign w:val="center"/>
          </w:tcPr>
          <w:p w14:paraId="5C1C7AB2">
            <w:pPr>
              <w:spacing w:line="470" w:lineRule="exact"/>
              <w:rPr>
                <w:rFonts w:ascii="宋体" w:hAnsi="宋体"/>
                <w:b/>
                <w:bCs/>
                <w:iCs/>
                <w:sz w:val="24"/>
                <w:szCs w:val="24"/>
              </w:rPr>
            </w:pPr>
            <w:r>
              <w:rPr>
                <w:rFonts w:hint="eastAsia" w:ascii="宋体" w:hAnsi="宋体"/>
                <w:b/>
                <w:bCs/>
                <w:iCs/>
                <w:sz w:val="24"/>
                <w:szCs w:val="24"/>
              </w:rPr>
              <w:t>活动参与机构名称</w:t>
            </w:r>
          </w:p>
        </w:tc>
        <w:tc>
          <w:tcPr>
            <w:tcW w:w="6967" w:type="dxa"/>
            <w:vAlign w:val="center"/>
          </w:tcPr>
          <w:p w14:paraId="4B90C35F">
            <w:pPr>
              <w:numPr>
                <w:ilvl w:val="0"/>
                <w:numId w:val="0"/>
              </w:numPr>
              <w:spacing w:line="360" w:lineRule="auto"/>
              <w:rPr>
                <w:rFonts w:hint="default" w:ascii="宋体" w:hAnsi="宋体"/>
                <w:sz w:val="24"/>
                <w:szCs w:val="24"/>
                <w:lang w:val="en-US" w:eastAsia="zh-CN"/>
              </w:rPr>
            </w:pPr>
            <w:r>
              <w:rPr>
                <w:rFonts w:hint="eastAsia" w:ascii="宋体" w:hAnsi="宋体"/>
                <w:sz w:val="24"/>
                <w:szCs w:val="24"/>
                <w:lang w:val="en-US" w:eastAsia="zh-CN"/>
              </w:rPr>
              <w:t>见附表；</w:t>
            </w:r>
          </w:p>
        </w:tc>
      </w:tr>
      <w:tr w14:paraId="24DD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jc w:val="center"/>
        </w:trPr>
        <w:tc>
          <w:tcPr>
            <w:tcW w:w="1413" w:type="dxa"/>
            <w:vAlign w:val="center"/>
          </w:tcPr>
          <w:p w14:paraId="5A54A7A8">
            <w:pPr>
              <w:spacing w:line="470" w:lineRule="exact"/>
              <w:rPr>
                <w:rFonts w:ascii="宋体" w:hAnsi="宋体"/>
                <w:b/>
                <w:bCs/>
                <w:iCs/>
                <w:sz w:val="24"/>
                <w:szCs w:val="24"/>
              </w:rPr>
            </w:pPr>
            <w:r>
              <w:rPr>
                <w:rFonts w:ascii="宋体" w:hAnsi="宋体"/>
                <w:b/>
                <w:bCs/>
                <w:iCs/>
                <w:sz w:val="24"/>
                <w:szCs w:val="24"/>
              </w:rPr>
              <w:t>公司接待人员</w:t>
            </w:r>
          </w:p>
        </w:tc>
        <w:tc>
          <w:tcPr>
            <w:tcW w:w="6967" w:type="dxa"/>
            <w:vAlign w:val="center"/>
          </w:tcPr>
          <w:p w14:paraId="7CB0C75F">
            <w:pPr>
              <w:autoSpaceDE w:val="0"/>
              <w:autoSpaceDN w:val="0"/>
              <w:adjustRightInd w:val="0"/>
              <w:spacing w:line="360" w:lineRule="auto"/>
              <w:jc w:val="left"/>
              <w:rPr>
                <w:rFonts w:hint="eastAsia" w:ascii="宋体" w:hAnsi="宋体"/>
                <w:bCs/>
                <w:iCs/>
                <w:sz w:val="24"/>
                <w:szCs w:val="24"/>
                <w:lang w:eastAsia="zh-CN"/>
              </w:rPr>
            </w:pPr>
            <w:r>
              <w:rPr>
                <w:rFonts w:ascii="宋体" w:hAnsi="宋体"/>
                <w:bCs/>
                <w:iCs/>
                <w:sz w:val="24"/>
                <w:szCs w:val="24"/>
              </w:rPr>
              <w:t>董事会秘书</w:t>
            </w:r>
            <w:r>
              <w:rPr>
                <w:rFonts w:hint="eastAsia" w:ascii="宋体" w:hAnsi="宋体"/>
                <w:bCs/>
                <w:iCs/>
                <w:sz w:val="24"/>
                <w:szCs w:val="24"/>
                <w:lang w:val="en-US" w:eastAsia="zh-CN"/>
              </w:rPr>
              <w:t xml:space="preserve"> </w:t>
            </w:r>
            <w:r>
              <w:rPr>
                <w:rFonts w:hint="eastAsia" w:ascii="宋体" w:hAnsi="宋体"/>
                <w:bCs/>
                <w:iCs/>
                <w:sz w:val="24"/>
                <w:szCs w:val="24"/>
              </w:rPr>
              <w:t>胡芳芳</w:t>
            </w:r>
            <w:r>
              <w:rPr>
                <w:rFonts w:ascii="宋体" w:hAnsi="宋体"/>
                <w:bCs/>
                <w:iCs/>
                <w:sz w:val="24"/>
                <w:szCs w:val="24"/>
              </w:rPr>
              <w:t>女士</w:t>
            </w:r>
            <w:r>
              <w:rPr>
                <w:rFonts w:hint="eastAsia" w:ascii="宋体" w:hAnsi="宋体"/>
                <w:bCs/>
                <w:iCs/>
                <w:sz w:val="24"/>
                <w:szCs w:val="24"/>
                <w:lang w:eastAsia="zh-CN"/>
              </w:rPr>
              <w:t>；</w:t>
            </w:r>
          </w:p>
          <w:p w14:paraId="08AF7BB3">
            <w:pPr>
              <w:autoSpaceDE w:val="0"/>
              <w:autoSpaceDN w:val="0"/>
              <w:adjustRightInd w:val="0"/>
              <w:spacing w:line="360" w:lineRule="auto"/>
              <w:jc w:val="left"/>
              <w:rPr>
                <w:rFonts w:hint="default" w:ascii="宋体" w:hAnsi="宋体"/>
                <w:bCs/>
                <w:iCs/>
                <w:sz w:val="24"/>
                <w:szCs w:val="24"/>
                <w:lang w:val="en-US" w:eastAsia="zh-CN"/>
              </w:rPr>
            </w:pPr>
            <w:r>
              <w:rPr>
                <w:rFonts w:hint="eastAsia" w:ascii="宋体" w:hAnsi="宋体"/>
                <w:bCs/>
                <w:iCs/>
                <w:sz w:val="24"/>
                <w:szCs w:val="24"/>
                <w:lang w:val="en-US" w:eastAsia="zh-CN"/>
              </w:rPr>
              <w:t>湖北通格微半导体SBU总经理 魏炳义先生；</w:t>
            </w:r>
          </w:p>
          <w:p w14:paraId="457CA257">
            <w:pPr>
              <w:autoSpaceDE w:val="0"/>
              <w:autoSpaceDN w:val="0"/>
              <w:adjustRightInd w:val="0"/>
              <w:spacing w:line="360" w:lineRule="auto"/>
              <w:jc w:val="left"/>
              <w:rPr>
                <w:rFonts w:hint="default" w:ascii="宋体" w:hAnsi="宋体"/>
                <w:bCs/>
                <w:iCs/>
                <w:sz w:val="24"/>
                <w:szCs w:val="24"/>
                <w:lang w:val="en-US" w:eastAsia="zh-CN"/>
              </w:rPr>
            </w:pPr>
            <w:r>
              <w:rPr>
                <w:rFonts w:hint="eastAsia" w:ascii="宋体" w:hAnsi="宋体"/>
                <w:bCs/>
                <w:iCs/>
                <w:sz w:val="24"/>
                <w:szCs w:val="24"/>
                <w:lang w:val="en-US" w:eastAsia="zh-CN"/>
              </w:rPr>
              <w:t>国内销售中心总经理 荆海先生；</w:t>
            </w:r>
          </w:p>
        </w:tc>
      </w:tr>
      <w:tr w14:paraId="5845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13" w:type="dxa"/>
            <w:vAlign w:val="center"/>
          </w:tcPr>
          <w:p w14:paraId="17894E58">
            <w:pPr>
              <w:spacing w:line="470" w:lineRule="exact"/>
              <w:rPr>
                <w:rFonts w:ascii="宋体" w:hAnsi="宋体"/>
                <w:b/>
                <w:bCs/>
                <w:iCs/>
                <w:sz w:val="24"/>
                <w:szCs w:val="24"/>
              </w:rPr>
            </w:pPr>
            <w:r>
              <w:rPr>
                <w:rFonts w:hint="eastAsia" w:ascii="宋体" w:hAnsi="宋体"/>
                <w:b/>
                <w:bCs/>
                <w:iCs/>
                <w:sz w:val="24"/>
                <w:szCs w:val="24"/>
              </w:rPr>
              <w:t>时间</w:t>
            </w:r>
          </w:p>
        </w:tc>
        <w:tc>
          <w:tcPr>
            <w:tcW w:w="6967" w:type="dxa"/>
            <w:vAlign w:val="center"/>
          </w:tcPr>
          <w:p w14:paraId="098F448A">
            <w:pPr>
              <w:spacing w:line="470" w:lineRule="exact"/>
              <w:rPr>
                <w:bCs/>
                <w:iCs/>
                <w:sz w:val="24"/>
                <w:szCs w:val="24"/>
              </w:rPr>
            </w:pPr>
            <w:r>
              <w:rPr>
                <w:rFonts w:hint="eastAsia"/>
                <w:bCs/>
                <w:iCs/>
                <w:sz w:val="24"/>
                <w:szCs w:val="24"/>
              </w:rPr>
              <w:t>202</w:t>
            </w:r>
            <w:r>
              <w:rPr>
                <w:rFonts w:hint="eastAsia"/>
                <w:bCs/>
                <w:iCs/>
                <w:sz w:val="24"/>
                <w:szCs w:val="24"/>
                <w:lang w:val="en-US" w:eastAsia="zh-CN"/>
              </w:rPr>
              <w:t>4</w:t>
            </w:r>
            <w:r>
              <w:rPr>
                <w:rFonts w:hint="eastAsia"/>
                <w:bCs/>
                <w:iCs/>
                <w:sz w:val="24"/>
                <w:szCs w:val="24"/>
              </w:rPr>
              <w:t>年</w:t>
            </w:r>
            <w:r>
              <w:rPr>
                <w:bCs/>
                <w:iCs/>
                <w:sz w:val="24"/>
                <w:szCs w:val="24"/>
              </w:rPr>
              <w:t>1</w:t>
            </w:r>
            <w:r>
              <w:rPr>
                <w:rFonts w:hint="eastAsia"/>
                <w:bCs/>
                <w:iCs/>
                <w:sz w:val="24"/>
                <w:szCs w:val="24"/>
                <w:lang w:val="en-US" w:eastAsia="zh-CN"/>
              </w:rPr>
              <w:t>1</w:t>
            </w:r>
            <w:r>
              <w:rPr>
                <w:rFonts w:hint="eastAsia"/>
                <w:bCs/>
                <w:iCs/>
                <w:sz w:val="24"/>
                <w:szCs w:val="24"/>
              </w:rPr>
              <w:t>月</w:t>
            </w:r>
            <w:r>
              <w:rPr>
                <w:bCs/>
                <w:iCs/>
                <w:sz w:val="24"/>
                <w:szCs w:val="24"/>
              </w:rPr>
              <w:t>1</w:t>
            </w:r>
            <w:r>
              <w:rPr>
                <w:rFonts w:hint="eastAsia"/>
                <w:bCs/>
                <w:iCs/>
                <w:sz w:val="24"/>
                <w:szCs w:val="24"/>
                <w:lang w:val="en-US" w:eastAsia="zh-CN"/>
              </w:rPr>
              <w:t>5</w:t>
            </w:r>
            <w:r>
              <w:rPr>
                <w:rFonts w:hint="eastAsia"/>
                <w:bCs/>
                <w:iCs/>
                <w:sz w:val="24"/>
                <w:szCs w:val="24"/>
              </w:rPr>
              <w:t>日至2</w:t>
            </w:r>
            <w:r>
              <w:rPr>
                <w:bCs/>
                <w:iCs/>
                <w:sz w:val="24"/>
                <w:szCs w:val="24"/>
              </w:rPr>
              <w:t>02</w:t>
            </w:r>
            <w:r>
              <w:rPr>
                <w:rFonts w:hint="eastAsia"/>
                <w:bCs/>
                <w:iCs/>
                <w:sz w:val="24"/>
                <w:szCs w:val="24"/>
                <w:lang w:val="en-US" w:eastAsia="zh-CN"/>
              </w:rPr>
              <w:t>5</w:t>
            </w:r>
            <w:r>
              <w:rPr>
                <w:rFonts w:hint="eastAsia"/>
                <w:bCs/>
                <w:iCs/>
                <w:sz w:val="24"/>
                <w:szCs w:val="24"/>
              </w:rPr>
              <w:t>年1月</w:t>
            </w:r>
            <w:r>
              <w:rPr>
                <w:rFonts w:hint="eastAsia"/>
                <w:bCs/>
                <w:iCs/>
                <w:sz w:val="24"/>
                <w:szCs w:val="24"/>
                <w:lang w:val="en-US" w:eastAsia="zh-CN"/>
              </w:rPr>
              <w:t>6</w:t>
            </w:r>
            <w:r>
              <w:rPr>
                <w:rFonts w:hint="eastAsia"/>
                <w:bCs/>
                <w:iCs/>
                <w:sz w:val="24"/>
                <w:szCs w:val="24"/>
              </w:rPr>
              <w:t xml:space="preserve">日 </w:t>
            </w:r>
          </w:p>
        </w:tc>
      </w:tr>
      <w:tr w14:paraId="7A9B9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413" w:type="dxa"/>
            <w:vAlign w:val="center"/>
          </w:tcPr>
          <w:p w14:paraId="6B750933">
            <w:pPr>
              <w:spacing w:line="460" w:lineRule="atLeast"/>
              <w:rPr>
                <w:b/>
                <w:sz w:val="24"/>
                <w:szCs w:val="24"/>
              </w:rPr>
            </w:pPr>
            <w:r>
              <w:rPr>
                <w:rFonts w:hint="eastAsia"/>
                <w:b/>
                <w:sz w:val="24"/>
                <w:szCs w:val="24"/>
              </w:rPr>
              <w:t>地点</w:t>
            </w:r>
          </w:p>
        </w:tc>
        <w:tc>
          <w:tcPr>
            <w:tcW w:w="6967" w:type="dxa"/>
            <w:vAlign w:val="center"/>
          </w:tcPr>
          <w:p w14:paraId="03EEC8D7">
            <w:pPr>
              <w:pStyle w:val="12"/>
              <w:spacing w:line="360" w:lineRule="auto"/>
              <w:rPr>
                <w:rFonts w:hAnsi="宋体" w:cs="Times New Roman"/>
                <w:bCs/>
                <w:iCs/>
                <w:color w:val="auto"/>
                <w:kern w:val="2"/>
              </w:rPr>
            </w:pPr>
            <w:r>
              <w:rPr>
                <w:rFonts w:hint="eastAsia" w:hAnsi="宋体" w:cs="Times New Roman"/>
                <w:bCs/>
                <w:iCs/>
                <w:color w:val="auto"/>
                <w:kern w:val="2"/>
                <w:lang w:val="en-US" w:eastAsia="zh-CN"/>
              </w:rPr>
              <w:t>线上：电话</w:t>
            </w:r>
            <w:r>
              <w:rPr>
                <w:rFonts w:hint="eastAsia" w:hAnsi="宋体" w:cs="Times New Roman"/>
                <w:bCs/>
                <w:iCs/>
                <w:color w:val="auto"/>
                <w:kern w:val="2"/>
              </w:rPr>
              <w:t>会议</w:t>
            </w:r>
            <w:r>
              <w:rPr>
                <w:rFonts w:hint="eastAsia" w:hAnsi="宋体" w:cs="Times New Roman"/>
                <w:bCs/>
                <w:iCs/>
                <w:color w:val="auto"/>
                <w:kern w:val="2"/>
                <w:lang w:eastAsia="zh-CN"/>
              </w:rPr>
              <w:t>；</w:t>
            </w:r>
            <w:r>
              <w:rPr>
                <w:rFonts w:hint="eastAsia" w:hAnsi="宋体" w:cs="Times New Roman"/>
                <w:bCs/>
                <w:iCs/>
                <w:color w:val="auto"/>
                <w:kern w:val="2"/>
                <w:lang w:val="en-US" w:eastAsia="zh-CN"/>
              </w:rPr>
              <w:t>线下：</w:t>
            </w:r>
            <w:r>
              <w:rPr>
                <w:rFonts w:hint="eastAsia" w:hAnsi="宋体" w:cs="Times New Roman"/>
                <w:bCs/>
                <w:iCs/>
                <w:color w:val="auto"/>
                <w:kern w:val="2"/>
              </w:rPr>
              <w:t>东莞松山湖区沃格光电南方基地、</w:t>
            </w:r>
            <w:r>
              <w:rPr>
                <w:rFonts w:hint="eastAsia" w:hAnsi="宋体" w:cs="Times New Roman"/>
                <w:bCs/>
                <w:iCs/>
                <w:color w:val="auto"/>
                <w:kern w:val="2"/>
                <w:lang w:val="en-US" w:eastAsia="zh-CN"/>
              </w:rPr>
              <w:t>湖北通格微电路科技有限公司、香港反路演</w:t>
            </w:r>
            <w:r>
              <w:rPr>
                <w:rFonts w:hint="eastAsia" w:hAnsi="宋体" w:cs="Times New Roman"/>
                <w:bCs/>
                <w:iCs/>
                <w:color w:val="auto"/>
                <w:kern w:val="2"/>
              </w:rPr>
              <w:t>；</w:t>
            </w:r>
          </w:p>
        </w:tc>
      </w:tr>
      <w:tr w14:paraId="7D88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413" w:type="dxa"/>
            <w:vAlign w:val="center"/>
          </w:tcPr>
          <w:p w14:paraId="3DBE89B3">
            <w:pPr>
              <w:spacing w:line="460" w:lineRule="exact"/>
              <w:rPr>
                <w:rFonts w:ascii="宋体" w:hAnsi="宋体"/>
                <w:b/>
                <w:bCs/>
                <w:iCs/>
                <w:sz w:val="24"/>
                <w:szCs w:val="24"/>
              </w:rPr>
            </w:pPr>
            <w:r>
              <w:rPr>
                <w:rFonts w:hint="eastAsia" w:ascii="宋体" w:hAnsi="宋体"/>
                <w:b/>
                <w:bCs/>
                <w:iCs/>
                <w:sz w:val="24"/>
                <w:szCs w:val="24"/>
              </w:rPr>
              <w:t>交流内容及具体问答记录</w:t>
            </w:r>
          </w:p>
        </w:tc>
        <w:tc>
          <w:tcPr>
            <w:tcW w:w="6967" w:type="dxa"/>
            <w:vAlign w:val="center"/>
          </w:tcPr>
          <w:p w14:paraId="2A534A9D">
            <w:pPr>
              <w:spacing w:line="360" w:lineRule="auto"/>
              <w:ind w:firstLine="482" w:firstLineChars="200"/>
              <w:rPr>
                <w:rFonts w:hint="default" w:ascii="宋体" w:hAnsi="宋体" w:eastAsia="宋体"/>
                <w:b/>
                <w:bCs w:val="0"/>
                <w:sz w:val="24"/>
                <w:lang w:val="en-US" w:eastAsia="zh-CN"/>
              </w:rPr>
            </w:pPr>
            <w:r>
              <w:rPr>
                <w:rFonts w:hint="eastAsia" w:ascii="宋体" w:hAnsi="宋体"/>
                <w:b/>
                <w:bCs w:val="0"/>
                <w:sz w:val="24"/>
              </w:rPr>
              <w:t>一、</w:t>
            </w:r>
            <w:r>
              <w:rPr>
                <w:rFonts w:hint="eastAsia" w:ascii="宋体" w:hAnsi="宋体"/>
                <w:b/>
                <w:bCs w:val="0"/>
                <w:sz w:val="24"/>
                <w:lang w:val="en-US" w:eastAsia="zh-CN"/>
              </w:rPr>
              <w:t>业务和产品介绍环节</w:t>
            </w:r>
          </w:p>
          <w:p w14:paraId="51B55B63">
            <w:pPr>
              <w:spacing w:line="360" w:lineRule="auto"/>
              <w:ind w:firstLine="480" w:firstLineChars="200"/>
              <w:rPr>
                <w:rFonts w:ascii="宋体" w:hAnsi="宋体"/>
                <w:b w:val="0"/>
                <w:bCs/>
                <w:sz w:val="24"/>
              </w:rPr>
            </w:pPr>
            <w:r>
              <w:rPr>
                <w:rFonts w:hint="eastAsia" w:ascii="宋体" w:hAnsi="宋体"/>
                <w:b w:val="0"/>
                <w:bCs/>
                <w:sz w:val="24"/>
              </w:rPr>
              <w:t>交流活动开始时，公司董事会秘书向投资者</w:t>
            </w:r>
            <w:r>
              <w:rPr>
                <w:rFonts w:ascii="宋体" w:hAnsi="宋体"/>
                <w:b w:val="0"/>
                <w:bCs/>
                <w:sz w:val="24"/>
              </w:rPr>
              <w:t>介绍了公司</w:t>
            </w:r>
            <w:r>
              <w:rPr>
                <w:rFonts w:hint="eastAsia" w:ascii="宋体" w:hAnsi="宋体"/>
                <w:b w:val="0"/>
                <w:bCs/>
                <w:sz w:val="24"/>
                <w:lang w:val="en-US" w:eastAsia="zh-CN"/>
              </w:rPr>
              <w:t>主营业务构成</w:t>
            </w:r>
            <w:r>
              <w:rPr>
                <w:rFonts w:ascii="宋体" w:hAnsi="宋体"/>
                <w:b w:val="0"/>
                <w:bCs/>
                <w:sz w:val="24"/>
              </w:rPr>
              <w:t>情况</w:t>
            </w:r>
            <w:r>
              <w:rPr>
                <w:rFonts w:hint="eastAsia" w:ascii="宋体" w:hAnsi="宋体"/>
                <w:b w:val="0"/>
                <w:bCs/>
                <w:sz w:val="24"/>
                <w:lang w:eastAsia="zh-CN"/>
              </w:rPr>
              <w:t>，</w:t>
            </w:r>
            <w:r>
              <w:rPr>
                <w:rFonts w:hint="eastAsia" w:ascii="宋体" w:hAnsi="宋体"/>
                <w:b w:val="0"/>
                <w:bCs/>
                <w:sz w:val="24"/>
                <w:lang w:val="en-US" w:eastAsia="zh-CN"/>
              </w:rPr>
              <w:t>展示了公司玻璃基Mini LED背光、玻璃基Micro LED直显以及半导体先进封装TGV载板等产品。同时介绍了</w:t>
            </w:r>
            <w:r>
              <w:rPr>
                <w:rFonts w:ascii="宋体" w:hAnsi="宋体"/>
                <w:b w:val="0"/>
                <w:bCs/>
                <w:sz w:val="24"/>
              </w:rPr>
              <w:t>公司所处行业的概况、公司总体战略规划和</w:t>
            </w:r>
            <w:r>
              <w:rPr>
                <w:rFonts w:hint="eastAsia" w:ascii="宋体" w:hAnsi="宋体"/>
                <w:b w:val="0"/>
                <w:bCs/>
                <w:sz w:val="24"/>
                <w:lang w:val="en-US" w:eastAsia="zh-CN"/>
              </w:rPr>
              <w:t>各</w:t>
            </w:r>
            <w:r>
              <w:rPr>
                <w:rFonts w:ascii="宋体" w:hAnsi="宋体"/>
                <w:b w:val="0"/>
                <w:bCs/>
                <w:sz w:val="24"/>
              </w:rPr>
              <w:t>业务进展</w:t>
            </w:r>
            <w:r>
              <w:rPr>
                <w:rFonts w:hint="eastAsia" w:ascii="宋体" w:hAnsi="宋体"/>
                <w:b w:val="0"/>
                <w:bCs/>
                <w:sz w:val="24"/>
                <w:lang w:val="en-US" w:eastAsia="zh-CN"/>
              </w:rPr>
              <w:t>情况</w:t>
            </w:r>
            <w:r>
              <w:rPr>
                <w:rFonts w:ascii="宋体" w:hAnsi="宋体"/>
                <w:b w:val="0"/>
                <w:bCs/>
                <w:sz w:val="24"/>
              </w:rPr>
              <w:t>。会议采取问答的形式，公司就机构投资者关注的问题给予详细解答，帮助投资者更全面地了解公司的</w:t>
            </w:r>
            <w:r>
              <w:rPr>
                <w:rFonts w:hint="eastAsia" w:ascii="宋体" w:hAnsi="宋体"/>
                <w:b w:val="0"/>
                <w:bCs/>
                <w:sz w:val="24"/>
              </w:rPr>
              <w:t>产品和业务</w:t>
            </w:r>
            <w:r>
              <w:rPr>
                <w:rFonts w:ascii="宋体" w:hAnsi="宋体"/>
                <w:b w:val="0"/>
                <w:bCs/>
                <w:sz w:val="24"/>
              </w:rPr>
              <w:t>情况。</w:t>
            </w:r>
          </w:p>
          <w:p w14:paraId="0C8A343F">
            <w:pPr>
              <w:tabs>
                <w:tab w:val="left" w:pos="1872"/>
              </w:tabs>
              <w:spacing w:line="360" w:lineRule="auto"/>
              <w:ind w:firstLine="482" w:firstLineChars="200"/>
              <w:rPr>
                <w:rFonts w:ascii="宋体" w:hAnsi="宋体"/>
                <w:b/>
                <w:sz w:val="24"/>
                <w:szCs w:val="24"/>
              </w:rPr>
            </w:pPr>
            <w:r>
              <w:rPr>
                <w:rFonts w:hint="eastAsia" w:ascii="宋体" w:hAnsi="宋体"/>
                <w:b/>
                <w:sz w:val="24"/>
                <w:szCs w:val="24"/>
              </w:rPr>
              <w:t>二、问答环节</w:t>
            </w:r>
          </w:p>
          <w:p w14:paraId="732B19F2">
            <w:pPr>
              <w:spacing w:line="360" w:lineRule="auto"/>
              <w:ind w:firstLine="482" w:firstLineChars="200"/>
              <w:rPr>
                <w:rFonts w:hint="default" w:ascii="宋体" w:hAnsi="宋体" w:eastAsia="宋体"/>
                <w:b/>
                <w:bCs/>
                <w:sz w:val="24"/>
                <w:szCs w:val="24"/>
                <w:lang w:val="en-US" w:eastAsia="zh-CN"/>
              </w:rPr>
            </w:pPr>
            <w:r>
              <w:rPr>
                <w:rFonts w:hint="eastAsia" w:ascii="宋体" w:hAnsi="宋体"/>
                <w:b/>
                <w:bCs/>
                <w:sz w:val="24"/>
                <w:szCs w:val="24"/>
              </w:rPr>
              <w:t>1、</w:t>
            </w:r>
            <w:r>
              <w:rPr>
                <w:rFonts w:hint="eastAsia" w:ascii="宋体" w:hAnsi="宋体"/>
                <w:b/>
                <w:bCs/>
                <w:sz w:val="24"/>
                <w:szCs w:val="24"/>
                <w:lang w:val="en-US" w:eastAsia="zh-CN"/>
              </w:rPr>
              <w:t>公司业务主要包括显示和半导体两块，半导体方面，我们注意到目前全球高度关注玻璃基TGV技术在半导体先进封装和光模块/CPO等领域的应用，并且多家龙头企业在不断加大该领域的研发和持续投入，对此，公司怎么看？公司子公司湖北通格微公司生产的玻璃基线路板在上述领域的应用目前处于什么阶段？</w:t>
            </w:r>
          </w:p>
          <w:p w14:paraId="23410CBB">
            <w:pPr>
              <w:spacing w:line="360" w:lineRule="auto"/>
              <w:ind w:firstLine="480" w:firstLineChars="200"/>
              <w:rPr>
                <w:rFonts w:hint="eastAsia" w:ascii="宋体" w:hAnsi="宋体"/>
                <w:b w:val="0"/>
                <w:bCs w:val="0"/>
                <w:sz w:val="24"/>
                <w:szCs w:val="24"/>
                <w:lang w:val="en-US" w:eastAsia="zh-CN"/>
              </w:rPr>
            </w:pPr>
            <w:r>
              <w:rPr>
                <w:rFonts w:hint="eastAsia" w:ascii="宋体" w:hAnsi="宋体"/>
                <w:b w:val="0"/>
                <w:bCs w:val="0"/>
                <w:sz w:val="24"/>
                <w:szCs w:val="24"/>
                <w:lang w:val="en-US" w:eastAsia="zh-CN"/>
              </w:rPr>
              <w:t>回复：全球加快推动玻璃基线路板在半导体2.5D/3D封装的应用，将有助于半导体行业在前制程放缓的情况下，通过提升后段封装制程良率，结合玻璃基独有的物理性能优势，实现大算力芯片、光模块等产品在AI存储、AI推理、数据中心、自动驾驶、机器人等领域应用。由于玻璃基TGV多层线路板涉及到材料、工艺、设备等全体系解决方案，在产品过程中需要不断研发投入，技术和工艺难度极高。出于AI/半导体终端产品应用需求，全球各龙头企业对于TGV技术的开发和应用列上了重要日程。</w:t>
            </w:r>
          </w:p>
          <w:p w14:paraId="1B36AA7D">
            <w:pPr>
              <w:spacing w:line="360" w:lineRule="auto"/>
              <w:ind w:firstLine="480" w:firstLineChars="200"/>
              <w:rPr>
                <w:rFonts w:hint="default" w:ascii="宋体" w:hAnsi="宋体"/>
                <w:b w:val="0"/>
                <w:bCs w:val="0"/>
                <w:sz w:val="24"/>
                <w:szCs w:val="24"/>
                <w:lang w:val="en-US"/>
              </w:rPr>
            </w:pPr>
            <w:r>
              <w:rPr>
                <w:rFonts w:hint="eastAsia" w:ascii="宋体" w:hAnsi="宋体"/>
                <w:b w:val="0"/>
                <w:bCs w:val="0"/>
                <w:sz w:val="24"/>
                <w:szCs w:val="24"/>
                <w:lang w:val="en-US" w:eastAsia="zh-CN"/>
              </w:rPr>
              <w:t>公司在15年发展过程中储备了大量与玻璃薄化、镀膜以及各种材料开发工艺，并于2019年起与行业知名客户正式展开玻璃基线路板相关产品应用合作开发，至今持续了多年时间。目前公司在材料、工艺以及核心装备二次开发形成了自身核心技术能力，并具备成熟工艺制程能力。公司子公司湖北通格微公司玻璃基多层线路板产品已具备批量生产能力，在半导体领域，与多家半导体知名企业合作开发，利用公司对玻璃基载板产品的性能理解，结合自身技术能力，参与到IC设计、封装、应用等全产业链；在光通讯领域，和行业著名企业合作开发，加快1.6T以上光模块应用，参与产业链关于CPO的研发和应用；在射频领域，与行业著名企业合作开发下一代6G射频天线；在微流控领域，与国际客户联合开发新一代玻璃载板，已逐步进入批量发货阶段。目前，各个行业进度比预想中更加快速落地。</w:t>
            </w:r>
          </w:p>
          <w:p w14:paraId="0F830336">
            <w:pPr>
              <w:spacing w:line="360" w:lineRule="auto"/>
              <w:ind w:firstLine="482" w:firstLineChars="200"/>
              <w:rPr>
                <w:rFonts w:ascii="宋体" w:hAnsi="宋体"/>
                <w:b/>
                <w:bCs/>
                <w:sz w:val="24"/>
                <w:szCs w:val="24"/>
              </w:rPr>
            </w:pPr>
            <w:r>
              <w:rPr>
                <w:rFonts w:hint="eastAsia" w:ascii="宋体" w:hAnsi="宋体"/>
                <w:b/>
                <w:bCs/>
                <w:sz w:val="24"/>
                <w:szCs w:val="24"/>
                <w:lang w:val="en-US" w:eastAsia="zh-CN"/>
              </w:rPr>
              <w:t>2、在显示方面，我们注意到公司全资子公司江西德虹显示在2022年底发布了玻璃基0OD 1152分区的显示器产品，并且目前已具备年产100万平米玻璃基Mini LED线路板产能，请问如何看Mini LED背光的市场前景，尤其对于玻璃基替代其他线路板材料的市场认可情况，可否详细介绍下</w:t>
            </w:r>
            <w:r>
              <w:rPr>
                <w:rFonts w:hint="eastAsia" w:ascii="宋体" w:hAnsi="宋体"/>
                <w:b/>
                <w:bCs/>
                <w:sz w:val="24"/>
                <w:szCs w:val="24"/>
              </w:rPr>
              <w:t>？</w:t>
            </w:r>
          </w:p>
          <w:p w14:paraId="14B25BA3">
            <w:pPr>
              <w:numPr>
                <w:ilvl w:val="0"/>
                <w:numId w:val="0"/>
              </w:numPr>
              <w:spacing w:line="360" w:lineRule="auto"/>
              <w:ind w:firstLine="481"/>
              <w:rPr>
                <w:rFonts w:hint="default" w:ascii="宋体" w:hAnsi="宋体"/>
                <w:b w:val="0"/>
                <w:bCs w:val="0"/>
                <w:sz w:val="24"/>
                <w:szCs w:val="24"/>
                <w:lang w:val="en-US" w:eastAsia="zh-CN"/>
              </w:rPr>
            </w:pPr>
            <w:r>
              <w:rPr>
                <w:rFonts w:hint="eastAsia" w:ascii="宋体" w:hAnsi="宋体"/>
                <w:b w:val="0"/>
                <w:bCs w:val="0"/>
                <w:sz w:val="24"/>
                <w:szCs w:val="24"/>
                <w:lang w:val="en-US" w:eastAsia="zh-CN"/>
              </w:rPr>
              <w:t>回复：目前针对消费电子产品的显示技术业内展现出多种形态，总体可分为LCD显示、OLED显示、Mini/Micro LED RGB直显。随着消费者和各大品牌终端对显示效果的极致追求，国际电信联盟在2012年推出了针对4K/8K时代的Rec.2020（又称BT.2020）标准色域。据行业公开资讯，LCD液晶屏现有产能为3.69亿平米，占据显示市场最大体量，采用Mini LED背光的Local Dimming技术通过动态控制背光区域的亮度，能够实现更广色域和更精准的色彩显示，被行业公认是LCD显示必然发展趋势和方向。而采用玻璃基板作为Mini LED背光封装载板一直备受行业关注。</w:t>
            </w:r>
          </w:p>
          <w:p w14:paraId="168E7BB6">
            <w:pPr>
              <w:numPr>
                <w:ilvl w:val="0"/>
                <w:numId w:val="0"/>
              </w:numPr>
              <w:spacing w:line="360" w:lineRule="auto"/>
              <w:ind w:firstLine="481"/>
              <w:rPr>
                <w:rFonts w:hint="default" w:ascii="宋体" w:hAnsi="宋体"/>
                <w:b w:val="0"/>
                <w:bCs w:val="0"/>
                <w:sz w:val="24"/>
                <w:szCs w:val="24"/>
                <w:lang w:val="en-US" w:eastAsia="zh-CN"/>
              </w:rPr>
            </w:pPr>
            <w:r>
              <w:rPr>
                <w:rFonts w:hint="eastAsia" w:ascii="宋体" w:hAnsi="宋体"/>
                <w:b w:val="0"/>
                <w:bCs w:val="0"/>
                <w:sz w:val="24"/>
                <w:szCs w:val="24"/>
                <w:lang w:val="en-US" w:eastAsia="zh-CN"/>
              </w:rPr>
              <w:t xml:space="preserve"> 玻璃基线路板与其他基板材料相比，由于产品结构和工艺制程能以更低成本实现更细线路，同时由于其与芯片硅基几乎一致的热膨胀系数，能提升下游芯片封装良率，并且可以封装更小的发光芯片，从而在高分区、超薄显示产品领域能不断实现降本和节能降耗，显示效果达到与OLED媲美，并在亮度、寿命、护眼功能，以及成本方面与OLED显示形成一定竞争优势。玻璃基Mini LED背光技术在1000分区到2000分区甚至更高分区数的推出，有望使LCD显示进入BT.2020的4K/8K时代，形成千亿级市场应用空间。</w:t>
            </w:r>
          </w:p>
          <w:p w14:paraId="1F88BD83">
            <w:pPr>
              <w:numPr>
                <w:ilvl w:val="0"/>
                <w:numId w:val="0"/>
              </w:numPr>
              <w:spacing w:line="360" w:lineRule="auto"/>
              <w:ind w:firstLine="481"/>
              <w:rPr>
                <w:rFonts w:hint="eastAsia" w:ascii="宋体" w:hAnsi="宋体"/>
                <w:b w:val="0"/>
                <w:bCs w:val="0"/>
                <w:sz w:val="24"/>
                <w:szCs w:val="24"/>
                <w:lang w:val="en-US" w:eastAsia="zh-CN"/>
              </w:rPr>
            </w:pPr>
            <w:r>
              <w:rPr>
                <w:rFonts w:hint="eastAsia" w:ascii="宋体" w:hAnsi="宋体"/>
                <w:b w:val="0"/>
                <w:bCs w:val="0"/>
                <w:sz w:val="24"/>
                <w:szCs w:val="24"/>
                <w:lang w:val="en-US" w:eastAsia="zh-CN"/>
              </w:rPr>
              <w:t>沃格光电公司利用其核心自主掌握的玻璃薄化和镀铜技术，以及材料开发和设备升级能力，具备玻璃基0OD Mini LED背光整机产品全制程解决方案，并不断进行升级。随着玻璃基Mini LED背光产业链和产品不断成熟，目前全球LCD显示应用市场已开始往高分区方向发展，为公司子公司江西德虹显示玻璃基线路板的产业化提供了良好机会。目前公司独家开发的玻璃基Mini LED背光产品方案在客端引起强烈兴趣，2025年将是玻璃基Mini LED背光在LCD显示应用的正式起步阶段，公司将作为重要参与者紧紧抓住这一产业升级机会，助力Mini LED背光新型未来显示产业快速发展。</w:t>
            </w:r>
          </w:p>
          <w:p w14:paraId="0635E885">
            <w:pPr>
              <w:numPr>
                <w:ilvl w:val="0"/>
                <w:numId w:val="0"/>
              </w:numPr>
              <w:spacing w:line="360" w:lineRule="auto"/>
              <w:rPr>
                <w:rFonts w:hint="default" w:ascii="宋体" w:hAnsi="宋体"/>
                <w:b/>
                <w:bCs/>
                <w:sz w:val="24"/>
                <w:szCs w:val="24"/>
                <w:lang w:val="en-US" w:eastAsia="zh-CN"/>
              </w:rPr>
            </w:pPr>
            <w:r>
              <w:rPr>
                <w:rFonts w:hint="eastAsia" w:ascii="宋体" w:hAnsi="宋体"/>
                <w:b/>
                <w:bCs/>
                <w:sz w:val="24"/>
                <w:szCs w:val="24"/>
                <w:lang w:val="en-US" w:eastAsia="zh-CN"/>
              </w:rPr>
              <w:t xml:space="preserve">   3、对于玻璃基板在Micro LED直显产品上的应用前景，市场应用趋势是否有发生一些变化？公司产品在该领域的应用目前处于什么节点？</w:t>
            </w:r>
          </w:p>
          <w:p w14:paraId="05D1337B">
            <w:pPr>
              <w:spacing w:line="360" w:lineRule="auto"/>
              <w:ind w:firstLine="481"/>
              <w:rPr>
                <w:rFonts w:hint="default" w:ascii="宋体" w:hAnsi="宋体"/>
                <w:b w:val="0"/>
                <w:bCs w:val="0"/>
                <w:sz w:val="24"/>
                <w:szCs w:val="24"/>
                <w:lang w:val="en-US" w:eastAsia="zh-CN"/>
              </w:rPr>
            </w:pPr>
            <w:r>
              <w:rPr>
                <w:rFonts w:hint="eastAsia" w:ascii="宋体" w:hAnsi="宋体"/>
                <w:b w:val="0"/>
                <w:bCs w:val="0"/>
                <w:sz w:val="24"/>
                <w:szCs w:val="24"/>
                <w:lang w:val="en-US" w:eastAsia="zh-CN"/>
              </w:rPr>
              <w:t>回复:受限于LCD显示屏尺寸大小，在120寸以上的室内大屏高清显示是全球显示市场重点关注领域，玻璃基TGV线路板在P0.6-P0.95的Micro LED直显产品的应用将有望打开该市场应用空间。</w:t>
            </w:r>
          </w:p>
          <w:p w14:paraId="469EF224">
            <w:pPr>
              <w:spacing w:line="360" w:lineRule="auto"/>
              <w:ind w:firstLine="481"/>
              <w:rPr>
                <w:rFonts w:hint="eastAsia" w:ascii="宋体" w:hAnsi="宋体"/>
                <w:b w:val="0"/>
                <w:bCs w:val="0"/>
                <w:sz w:val="24"/>
                <w:szCs w:val="24"/>
              </w:rPr>
            </w:pPr>
            <w:r>
              <w:rPr>
                <w:rFonts w:hint="eastAsia" w:ascii="宋体" w:hAnsi="宋体"/>
                <w:b w:val="0"/>
                <w:bCs w:val="0"/>
                <w:sz w:val="24"/>
                <w:szCs w:val="24"/>
                <w:lang w:val="en-US" w:eastAsia="zh-CN"/>
              </w:rPr>
              <w:t>和有机基板材料相比，玻璃基平整性和易拼接性，在P1.O以下的微间距显示领域，作为Micro LED芯片封装载板，采用玻璃通孔技术可以大幅降低载板的成本、功耗，同时提升后段封装良率，实现整机产品规模降本。目前，针对公司多个重要合作项目，经过近一年技术攻克，公司突破了P1.0以下多层TGV线路板核心工艺技术难点，并具备批量生产能力，达到全球领先水平，该产品顺利量产将有望打开全球Micro LED直显在P1.0以下室内大屏显示应用空间，随着产业链成本进一步下降，Micro LED直显产品的全球市场渗透率有望实现较大幅度增长。</w:t>
            </w:r>
          </w:p>
          <w:p w14:paraId="36B727D3">
            <w:pPr>
              <w:numPr>
                <w:ilvl w:val="0"/>
                <w:numId w:val="1"/>
              </w:numPr>
              <w:spacing w:line="360" w:lineRule="auto"/>
              <w:ind w:firstLine="481"/>
              <w:rPr>
                <w:rFonts w:hint="default" w:ascii="宋体" w:hAnsi="宋体"/>
                <w:b/>
                <w:bCs/>
                <w:sz w:val="24"/>
                <w:szCs w:val="24"/>
                <w:lang w:val="en-US" w:eastAsia="zh-CN"/>
              </w:rPr>
            </w:pPr>
            <w:r>
              <w:rPr>
                <w:rFonts w:hint="eastAsia" w:ascii="宋体" w:hAnsi="宋体"/>
                <w:b/>
                <w:bCs/>
                <w:sz w:val="24"/>
                <w:szCs w:val="24"/>
                <w:lang w:val="en-US" w:eastAsia="zh-CN"/>
              </w:rPr>
              <w:t>我们注意到公司子公司北京宝昂近几年业绩持续增长，可以介绍下这家公司吗？</w:t>
            </w:r>
          </w:p>
          <w:p w14:paraId="61799E4A">
            <w:pPr>
              <w:spacing w:line="360" w:lineRule="auto"/>
              <w:ind w:firstLine="480" w:firstLineChars="200"/>
              <w:rPr>
                <w:rFonts w:hint="eastAsia" w:ascii="宋体" w:hAnsi="宋体"/>
                <w:b w:val="0"/>
                <w:bCs w:val="0"/>
                <w:sz w:val="24"/>
                <w:szCs w:val="24"/>
              </w:rPr>
            </w:pPr>
            <w:r>
              <w:rPr>
                <w:rFonts w:hint="eastAsia" w:ascii="宋体" w:hAnsi="宋体"/>
                <w:b w:val="0"/>
                <w:bCs w:val="0"/>
                <w:sz w:val="24"/>
                <w:szCs w:val="24"/>
                <w:lang w:val="en-US" w:eastAsia="zh-CN"/>
              </w:rPr>
              <w:t>回复：北京宝昂公司致力于在光电显示领域深耕细作，为客户提供以光学膜材为核心的一体化解决方案。主营业务涵盖LCD、OLED、M-LED显示类型产品中所用多种光学膜产品的生产和销售。结合自身多年行业经验积累及对客户需求的深入了解，不断推动国内、国际优秀合作伙伴技术与产品的导入和应用，加速产业链、商业链的发展。目前公司已在河北、湖北、四川、安徽等地设立项目公司，为客户提供更贴心、迅捷的现地服务。随着新型显示技术和产品应用的发展，将对北京宝昂业务增长产生积极影响。</w:t>
            </w:r>
          </w:p>
          <w:p w14:paraId="1388F1E2">
            <w:pPr>
              <w:spacing w:line="360" w:lineRule="auto"/>
              <w:ind w:firstLine="482" w:firstLineChars="200"/>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w:t>
            </w:r>
            <w:r>
              <w:rPr>
                <w:rFonts w:ascii="宋体" w:hAnsi="宋体"/>
                <w:b/>
                <w:bCs/>
                <w:sz w:val="24"/>
                <w:szCs w:val="24"/>
              </w:rPr>
              <w:t>从</w:t>
            </w:r>
            <w:r>
              <w:rPr>
                <w:rFonts w:hint="eastAsia" w:ascii="宋体" w:hAnsi="宋体"/>
                <w:b/>
                <w:bCs/>
                <w:sz w:val="24"/>
                <w:szCs w:val="24"/>
                <w:lang w:val="en-US" w:eastAsia="zh-CN"/>
              </w:rPr>
              <w:t>截至2024年</w:t>
            </w:r>
            <w:r>
              <w:rPr>
                <w:rFonts w:ascii="宋体" w:hAnsi="宋体"/>
                <w:b/>
                <w:bCs/>
                <w:sz w:val="24"/>
                <w:szCs w:val="24"/>
              </w:rPr>
              <w:t>三季度看，公司营收同比增长，但归母净利润</w:t>
            </w:r>
            <w:r>
              <w:rPr>
                <w:rFonts w:hint="eastAsia" w:ascii="宋体" w:hAnsi="宋体"/>
                <w:b/>
                <w:bCs/>
                <w:sz w:val="24"/>
                <w:szCs w:val="24"/>
              </w:rPr>
              <w:t>出现亏损</w:t>
            </w:r>
            <w:r>
              <w:rPr>
                <w:rFonts w:ascii="宋体" w:hAnsi="宋体"/>
                <w:b/>
                <w:bCs/>
                <w:sz w:val="24"/>
                <w:szCs w:val="24"/>
              </w:rPr>
              <w:t>，能说下主要原因吗？</w:t>
            </w:r>
            <w:r>
              <w:rPr>
                <w:rFonts w:hint="eastAsia" w:ascii="宋体" w:hAnsi="宋体"/>
                <w:b/>
                <w:bCs/>
                <w:sz w:val="24"/>
                <w:szCs w:val="24"/>
              </w:rPr>
              <w:t>可否对明年</w:t>
            </w:r>
            <w:r>
              <w:rPr>
                <w:rFonts w:hint="eastAsia" w:ascii="宋体" w:hAnsi="宋体"/>
                <w:b/>
                <w:bCs/>
                <w:sz w:val="24"/>
                <w:szCs w:val="24"/>
                <w:lang w:val="en-US" w:eastAsia="zh-CN"/>
              </w:rPr>
              <w:t>以及接下来两年</w:t>
            </w:r>
            <w:r>
              <w:rPr>
                <w:rFonts w:hint="eastAsia" w:ascii="宋体" w:hAnsi="宋体"/>
                <w:b/>
                <w:bCs/>
                <w:sz w:val="24"/>
                <w:szCs w:val="24"/>
              </w:rPr>
              <w:t>业绩情况进行一下展望？</w:t>
            </w:r>
          </w:p>
          <w:p w14:paraId="5DCA4732">
            <w:pPr>
              <w:spacing w:line="360" w:lineRule="auto"/>
              <w:ind w:firstLine="480" w:firstLineChars="200"/>
              <w:rPr>
                <w:rFonts w:hint="default" w:ascii="宋体" w:hAnsi="宋体"/>
                <w:bCs/>
                <w:sz w:val="24"/>
                <w:szCs w:val="24"/>
                <w:lang w:val="en-US" w:eastAsia="zh-CN"/>
              </w:rPr>
            </w:pPr>
            <w:r>
              <w:rPr>
                <w:rFonts w:hint="eastAsia" w:ascii="宋体" w:hAnsi="宋体"/>
                <w:bCs/>
                <w:sz w:val="24"/>
                <w:szCs w:val="24"/>
              </w:rPr>
              <w:t>回复：营收增长主要系报告期内</w:t>
            </w:r>
            <w:r>
              <w:rPr>
                <w:rFonts w:hint="eastAsia" w:ascii="宋体" w:hAnsi="宋体"/>
                <w:bCs/>
                <w:sz w:val="24"/>
                <w:szCs w:val="24"/>
                <w:lang w:val="en-US" w:eastAsia="zh-CN"/>
              </w:rPr>
              <w:t>传统光电玻璃精加工业务在报告期内较上年度有所回暖，加上子公司北京宝昂新项目投产贡献了一定营收导致。</w:t>
            </w:r>
            <w:r>
              <w:rPr>
                <w:rFonts w:hint="eastAsia" w:ascii="宋体" w:hAnsi="宋体"/>
                <w:bCs/>
                <w:sz w:val="24"/>
                <w:szCs w:val="24"/>
              </w:rPr>
              <w:t>业绩亏损主要系</w:t>
            </w:r>
            <w:r>
              <w:rPr>
                <w:rFonts w:hint="eastAsia" w:ascii="宋体" w:hAnsi="宋体"/>
                <w:bCs/>
                <w:sz w:val="24"/>
                <w:szCs w:val="24"/>
                <w:lang w:val="en-US" w:eastAsia="zh-CN"/>
              </w:rPr>
              <w:t>报告期内</w:t>
            </w:r>
            <w:r>
              <w:rPr>
                <w:rFonts w:hint="eastAsia" w:ascii="宋体" w:hAnsi="宋体"/>
                <w:bCs/>
                <w:sz w:val="24"/>
                <w:szCs w:val="24"/>
              </w:rPr>
              <w:t>由于</w:t>
            </w:r>
            <w:r>
              <w:rPr>
                <w:rFonts w:hint="eastAsia" w:ascii="宋体" w:hAnsi="宋体"/>
                <w:bCs/>
                <w:sz w:val="24"/>
                <w:szCs w:val="24"/>
                <w:lang w:val="en-US" w:eastAsia="zh-CN"/>
              </w:rPr>
              <w:t>江西德虹显示和湖北通格微项目投建、团队搭建以及客户项目合作</w:t>
            </w:r>
            <w:r>
              <w:rPr>
                <w:rFonts w:hint="eastAsia" w:ascii="宋体" w:hAnsi="宋体"/>
                <w:bCs/>
                <w:sz w:val="24"/>
                <w:szCs w:val="24"/>
              </w:rPr>
              <w:t>过程中前期</w:t>
            </w:r>
            <w:r>
              <w:rPr>
                <w:rFonts w:hint="eastAsia" w:ascii="宋体" w:hAnsi="宋体"/>
                <w:bCs/>
                <w:sz w:val="24"/>
                <w:szCs w:val="24"/>
                <w:lang w:val="en-US" w:eastAsia="zh-CN"/>
              </w:rPr>
              <w:t>产品</w:t>
            </w:r>
            <w:r>
              <w:rPr>
                <w:rFonts w:hint="eastAsia" w:ascii="宋体" w:hAnsi="宋体"/>
                <w:bCs/>
                <w:sz w:val="24"/>
                <w:szCs w:val="24"/>
              </w:rPr>
              <w:t>打样、</w:t>
            </w:r>
            <w:r>
              <w:rPr>
                <w:rFonts w:hint="eastAsia" w:ascii="宋体" w:hAnsi="宋体"/>
                <w:bCs/>
                <w:sz w:val="24"/>
                <w:szCs w:val="24"/>
                <w:lang w:val="en-US" w:eastAsia="zh-CN"/>
              </w:rPr>
              <w:t>研发费用、</w:t>
            </w:r>
            <w:r>
              <w:rPr>
                <w:rFonts w:hint="eastAsia" w:ascii="宋体" w:hAnsi="宋体"/>
                <w:bCs/>
                <w:sz w:val="24"/>
                <w:szCs w:val="24"/>
              </w:rPr>
              <w:t>管理费用以及</w:t>
            </w:r>
            <w:r>
              <w:rPr>
                <w:rFonts w:hint="eastAsia" w:ascii="宋体" w:hAnsi="宋体"/>
                <w:bCs/>
                <w:sz w:val="24"/>
                <w:szCs w:val="24"/>
                <w:lang w:val="en-US" w:eastAsia="zh-CN"/>
              </w:rPr>
              <w:t>固定资产</w:t>
            </w:r>
            <w:r>
              <w:rPr>
                <w:rFonts w:hint="eastAsia" w:ascii="宋体" w:hAnsi="宋体"/>
                <w:bCs/>
                <w:sz w:val="24"/>
                <w:szCs w:val="24"/>
              </w:rPr>
              <w:t>折旧增加，导致成本上升，</w:t>
            </w:r>
            <w:r>
              <w:rPr>
                <w:rFonts w:hint="eastAsia" w:ascii="宋体" w:hAnsi="宋体"/>
                <w:bCs/>
                <w:sz w:val="24"/>
                <w:szCs w:val="24"/>
                <w:lang w:val="en-US" w:eastAsia="zh-CN"/>
              </w:rPr>
              <w:t>加上报告期内新建项目处于投建和稼动率爬坡阶段，</w:t>
            </w:r>
            <w:r>
              <w:rPr>
                <w:rFonts w:hint="eastAsia" w:ascii="宋体" w:hAnsi="宋体"/>
                <w:bCs/>
                <w:sz w:val="24"/>
                <w:szCs w:val="24"/>
              </w:rPr>
              <w:t>最终导致截至2</w:t>
            </w:r>
            <w:r>
              <w:rPr>
                <w:rFonts w:ascii="宋体" w:hAnsi="宋体"/>
                <w:bCs/>
                <w:sz w:val="24"/>
                <w:szCs w:val="24"/>
              </w:rPr>
              <w:t>02</w:t>
            </w:r>
            <w:r>
              <w:rPr>
                <w:rFonts w:hint="eastAsia" w:ascii="宋体" w:hAnsi="宋体"/>
                <w:bCs/>
                <w:sz w:val="24"/>
                <w:szCs w:val="24"/>
                <w:lang w:val="en-US" w:eastAsia="zh-CN"/>
              </w:rPr>
              <w:t>4</w:t>
            </w:r>
            <w:r>
              <w:rPr>
                <w:rFonts w:hint="eastAsia" w:ascii="宋体" w:hAnsi="宋体"/>
                <w:bCs/>
                <w:sz w:val="24"/>
                <w:szCs w:val="24"/>
              </w:rPr>
              <w:t>年三季度出现亏损。目前看，随着</w:t>
            </w:r>
            <w:r>
              <w:rPr>
                <w:rFonts w:hint="eastAsia" w:ascii="宋体" w:hAnsi="宋体"/>
                <w:bCs/>
                <w:sz w:val="24"/>
                <w:szCs w:val="24"/>
                <w:lang w:val="en-US" w:eastAsia="zh-CN"/>
              </w:rPr>
              <w:t>消费电子</w:t>
            </w:r>
            <w:r>
              <w:rPr>
                <w:rFonts w:hint="eastAsia" w:ascii="宋体" w:hAnsi="宋体"/>
                <w:bCs/>
                <w:sz w:val="24"/>
                <w:szCs w:val="24"/>
              </w:rPr>
              <w:t>行业回暖预期，</w:t>
            </w:r>
            <w:r>
              <w:rPr>
                <w:rFonts w:hint="eastAsia" w:ascii="宋体" w:hAnsi="宋体"/>
                <w:bCs/>
                <w:sz w:val="24"/>
                <w:szCs w:val="24"/>
                <w:lang w:val="en-US" w:eastAsia="zh-CN"/>
              </w:rPr>
              <w:t>尤其在车载显示领域，</w:t>
            </w:r>
            <w:r>
              <w:rPr>
                <w:rFonts w:hint="eastAsia" w:ascii="宋体" w:hAnsi="宋体"/>
                <w:bCs/>
                <w:sz w:val="24"/>
                <w:szCs w:val="24"/>
              </w:rPr>
              <w:t>预计2</w:t>
            </w:r>
            <w:r>
              <w:rPr>
                <w:rFonts w:ascii="宋体" w:hAnsi="宋体"/>
                <w:bCs/>
                <w:sz w:val="24"/>
                <w:szCs w:val="24"/>
              </w:rPr>
              <w:t>02</w:t>
            </w:r>
            <w:r>
              <w:rPr>
                <w:rFonts w:hint="eastAsia" w:ascii="宋体" w:hAnsi="宋体"/>
                <w:bCs/>
                <w:sz w:val="24"/>
                <w:szCs w:val="24"/>
                <w:lang w:val="en-US" w:eastAsia="zh-CN"/>
              </w:rPr>
              <w:t>5</w:t>
            </w:r>
            <w:r>
              <w:rPr>
                <w:rFonts w:hint="eastAsia" w:ascii="宋体" w:hAnsi="宋体"/>
                <w:bCs/>
                <w:sz w:val="24"/>
                <w:szCs w:val="24"/>
              </w:rPr>
              <w:t>年公司（含子公司）</w:t>
            </w:r>
            <w:r>
              <w:rPr>
                <w:rFonts w:hint="eastAsia" w:ascii="宋体" w:hAnsi="宋体"/>
                <w:bCs/>
                <w:sz w:val="24"/>
                <w:szCs w:val="24"/>
                <w:lang w:val="en-US" w:eastAsia="zh-CN"/>
              </w:rPr>
              <w:t>传统</w:t>
            </w:r>
            <w:r>
              <w:rPr>
                <w:rFonts w:hint="eastAsia" w:ascii="宋体" w:hAnsi="宋体"/>
                <w:bCs/>
                <w:sz w:val="24"/>
                <w:szCs w:val="24"/>
              </w:rPr>
              <w:t>业务</w:t>
            </w:r>
            <w:r>
              <w:rPr>
                <w:rFonts w:hint="eastAsia" w:ascii="宋体" w:hAnsi="宋体"/>
                <w:bCs/>
                <w:sz w:val="24"/>
                <w:szCs w:val="24"/>
                <w:lang w:val="en-US" w:eastAsia="zh-CN"/>
              </w:rPr>
              <w:t>营收和利润</w:t>
            </w:r>
            <w:r>
              <w:rPr>
                <w:rFonts w:hint="eastAsia" w:ascii="宋体" w:hAnsi="宋体"/>
                <w:bCs/>
                <w:sz w:val="24"/>
                <w:szCs w:val="24"/>
              </w:rPr>
              <w:t>将</w:t>
            </w:r>
            <w:r>
              <w:rPr>
                <w:rFonts w:hint="eastAsia" w:ascii="宋体" w:hAnsi="宋体"/>
                <w:bCs/>
                <w:sz w:val="24"/>
                <w:szCs w:val="24"/>
                <w:lang w:val="en-US" w:eastAsia="zh-CN"/>
              </w:rPr>
              <w:t>逐步</w:t>
            </w:r>
            <w:r>
              <w:rPr>
                <w:rFonts w:hint="eastAsia" w:ascii="宋体" w:hAnsi="宋体"/>
                <w:bCs/>
                <w:sz w:val="24"/>
                <w:szCs w:val="24"/>
              </w:rPr>
              <w:t>得到一定</w:t>
            </w:r>
            <w:r>
              <w:rPr>
                <w:rFonts w:hint="eastAsia" w:ascii="宋体" w:hAnsi="宋体"/>
                <w:bCs/>
                <w:sz w:val="24"/>
                <w:szCs w:val="24"/>
                <w:lang w:val="en-US" w:eastAsia="zh-CN"/>
              </w:rPr>
              <w:t>修复</w:t>
            </w:r>
            <w:r>
              <w:rPr>
                <w:rFonts w:hint="eastAsia" w:ascii="宋体" w:hAnsi="宋体"/>
                <w:bCs/>
                <w:sz w:val="24"/>
                <w:szCs w:val="24"/>
              </w:rPr>
              <w:t>，较往年预计有所提升，同时</w:t>
            </w:r>
            <w:r>
              <w:rPr>
                <w:rFonts w:hint="eastAsia" w:ascii="宋体" w:hAnsi="宋体"/>
                <w:bCs/>
                <w:sz w:val="24"/>
                <w:szCs w:val="24"/>
                <w:lang w:eastAsia="zh-CN"/>
              </w:rPr>
              <w:t>，</w:t>
            </w:r>
            <w:r>
              <w:rPr>
                <w:rFonts w:hint="eastAsia" w:ascii="宋体" w:hAnsi="宋体"/>
                <w:bCs/>
                <w:sz w:val="24"/>
                <w:szCs w:val="24"/>
                <w:lang w:val="en-US" w:eastAsia="zh-CN"/>
              </w:rPr>
              <w:t>现有客户合作项目</w:t>
            </w:r>
            <w:r>
              <w:rPr>
                <w:rFonts w:hint="eastAsia" w:ascii="宋体" w:hAnsi="宋体"/>
                <w:bCs/>
                <w:sz w:val="24"/>
                <w:szCs w:val="24"/>
              </w:rPr>
              <w:t>玻璃基</w:t>
            </w:r>
            <w:r>
              <w:rPr>
                <w:rFonts w:hint="eastAsia" w:ascii="宋体" w:hAnsi="宋体"/>
                <w:bCs/>
                <w:sz w:val="24"/>
                <w:szCs w:val="24"/>
                <w:lang w:val="en-US" w:eastAsia="zh-CN"/>
              </w:rPr>
              <w:t>Mini LED背光以及玻璃基TGV载板在第三代半导体显示、医疗检测、通信和半导体封装等领域应用如</w:t>
            </w:r>
            <w:r>
              <w:rPr>
                <w:rFonts w:hint="eastAsia" w:ascii="宋体" w:hAnsi="宋体"/>
                <w:bCs/>
                <w:sz w:val="24"/>
                <w:szCs w:val="24"/>
              </w:rPr>
              <w:t>实现</w:t>
            </w:r>
            <w:r>
              <w:rPr>
                <w:rFonts w:hint="eastAsia" w:ascii="宋体" w:hAnsi="宋体"/>
                <w:bCs/>
                <w:sz w:val="24"/>
                <w:szCs w:val="24"/>
                <w:lang w:val="en-US" w:eastAsia="zh-CN"/>
              </w:rPr>
              <w:t>小批量或批量</w:t>
            </w:r>
            <w:r>
              <w:rPr>
                <w:rFonts w:hint="eastAsia" w:ascii="宋体" w:hAnsi="宋体"/>
                <w:bCs/>
                <w:sz w:val="24"/>
                <w:szCs w:val="24"/>
              </w:rPr>
              <w:t>量产，将对公司</w:t>
            </w:r>
            <w:r>
              <w:rPr>
                <w:rFonts w:hint="eastAsia" w:ascii="宋体" w:hAnsi="宋体"/>
                <w:bCs/>
                <w:sz w:val="24"/>
                <w:szCs w:val="24"/>
                <w:lang w:val="en-US" w:eastAsia="zh-CN"/>
              </w:rPr>
              <w:t>2025年营收</w:t>
            </w:r>
            <w:r>
              <w:rPr>
                <w:rFonts w:hint="eastAsia" w:ascii="宋体" w:hAnsi="宋体"/>
                <w:bCs/>
                <w:sz w:val="24"/>
                <w:szCs w:val="24"/>
              </w:rPr>
              <w:t>产生积极影响</w:t>
            </w:r>
            <w:r>
              <w:rPr>
                <w:rFonts w:hint="eastAsia" w:ascii="宋体" w:hAnsi="宋体"/>
                <w:bCs/>
                <w:sz w:val="24"/>
                <w:szCs w:val="24"/>
                <w:lang w:eastAsia="zh-CN"/>
              </w:rPr>
              <w:t>，</w:t>
            </w:r>
            <w:r>
              <w:rPr>
                <w:rFonts w:hint="eastAsia" w:ascii="宋体" w:hAnsi="宋体"/>
                <w:bCs/>
                <w:sz w:val="24"/>
                <w:szCs w:val="24"/>
                <w:lang w:val="en-US" w:eastAsia="zh-CN"/>
              </w:rPr>
              <w:t>在此基础上为未来3到5年业绩增长提供持续动力，公司将努力加快推动这一进程，以回报广大投资者。具体</w:t>
            </w:r>
            <w:r>
              <w:rPr>
                <w:rFonts w:hint="eastAsia" w:ascii="宋体" w:hAnsi="宋体"/>
                <w:bCs/>
                <w:sz w:val="24"/>
                <w:szCs w:val="24"/>
              </w:rPr>
              <w:t>请以公司</w:t>
            </w:r>
            <w:r>
              <w:rPr>
                <w:rFonts w:hint="eastAsia" w:ascii="宋体" w:hAnsi="宋体"/>
                <w:bCs/>
                <w:sz w:val="24"/>
                <w:szCs w:val="24"/>
                <w:lang w:val="en-US" w:eastAsia="zh-CN"/>
              </w:rPr>
              <w:t>披露的定期报告</w:t>
            </w:r>
            <w:r>
              <w:rPr>
                <w:rFonts w:hint="eastAsia" w:ascii="宋体" w:hAnsi="宋体"/>
                <w:bCs/>
                <w:sz w:val="24"/>
                <w:szCs w:val="24"/>
              </w:rPr>
              <w:t>为准</w:t>
            </w:r>
            <w:r>
              <w:rPr>
                <w:rFonts w:hint="eastAsia" w:ascii="宋体" w:hAnsi="宋体"/>
                <w:bCs/>
                <w:sz w:val="24"/>
                <w:szCs w:val="24"/>
                <w:lang w:eastAsia="zh-CN"/>
              </w:rPr>
              <w:t>，</w:t>
            </w:r>
            <w:r>
              <w:rPr>
                <w:rFonts w:hint="eastAsia" w:ascii="宋体" w:hAnsi="宋体"/>
                <w:bCs/>
                <w:sz w:val="24"/>
                <w:szCs w:val="24"/>
                <w:lang w:val="en-US" w:eastAsia="zh-CN"/>
              </w:rPr>
              <w:t>并注意投资风险。</w:t>
            </w:r>
            <w:bookmarkStart w:id="0" w:name="_GoBack"/>
            <w:bookmarkEnd w:id="0"/>
          </w:p>
        </w:tc>
      </w:tr>
      <w:tr w14:paraId="4154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413" w:type="dxa"/>
            <w:vAlign w:val="center"/>
          </w:tcPr>
          <w:p w14:paraId="69A178D2">
            <w:pPr>
              <w:spacing w:line="460" w:lineRule="exact"/>
              <w:rPr>
                <w:rFonts w:ascii="宋体" w:hAnsi="宋体"/>
                <w:b/>
                <w:bCs/>
                <w:iCs/>
                <w:sz w:val="24"/>
                <w:szCs w:val="24"/>
              </w:rPr>
            </w:pPr>
            <w:r>
              <w:rPr>
                <w:rFonts w:hint="eastAsia" w:ascii="宋体" w:hAnsi="宋体"/>
                <w:b/>
                <w:bCs/>
                <w:iCs/>
                <w:sz w:val="24"/>
                <w:szCs w:val="24"/>
              </w:rPr>
              <w:t>关于本次活动是否涉及应披露重大信息的说明</w:t>
            </w:r>
          </w:p>
        </w:tc>
        <w:tc>
          <w:tcPr>
            <w:tcW w:w="6967" w:type="dxa"/>
            <w:vAlign w:val="center"/>
          </w:tcPr>
          <w:p w14:paraId="72A50F97">
            <w:pPr>
              <w:spacing w:line="360" w:lineRule="auto"/>
              <w:rPr>
                <w:rFonts w:ascii="宋体" w:hAnsi="宋体"/>
                <w:sz w:val="24"/>
              </w:rPr>
            </w:pPr>
            <w:r>
              <w:rPr>
                <w:rFonts w:hint="eastAsia" w:ascii="宋体" w:hAnsi="宋体"/>
                <w:sz w:val="24"/>
              </w:rPr>
              <w:t>无</w:t>
            </w:r>
          </w:p>
        </w:tc>
      </w:tr>
      <w:tr w14:paraId="4E7C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413" w:type="dxa"/>
            <w:vAlign w:val="center"/>
          </w:tcPr>
          <w:p w14:paraId="4F508F44">
            <w:pPr>
              <w:spacing w:line="470" w:lineRule="exact"/>
              <w:rPr>
                <w:rFonts w:ascii="宋体" w:hAnsi="宋体"/>
                <w:b/>
                <w:bCs/>
                <w:iCs/>
                <w:sz w:val="24"/>
                <w:szCs w:val="24"/>
              </w:rPr>
            </w:pPr>
            <w:r>
              <w:rPr>
                <w:rFonts w:ascii="宋体" w:hAnsi="宋体"/>
                <w:b/>
                <w:bCs/>
                <w:iCs/>
                <w:sz w:val="24"/>
                <w:szCs w:val="24"/>
              </w:rPr>
              <w:t>活动过程中所使用的演示文稿、文档等附件（如有）</w:t>
            </w:r>
          </w:p>
        </w:tc>
        <w:tc>
          <w:tcPr>
            <w:tcW w:w="6967" w:type="dxa"/>
            <w:vAlign w:val="center"/>
          </w:tcPr>
          <w:p w14:paraId="6094FB5E">
            <w:pPr>
              <w:spacing w:line="470" w:lineRule="exact"/>
              <w:rPr>
                <w:rFonts w:ascii="宋体" w:hAnsi="宋体"/>
                <w:bCs/>
                <w:iCs/>
                <w:sz w:val="24"/>
                <w:szCs w:val="24"/>
              </w:rPr>
            </w:pPr>
            <w:r>
              <w:rPr>
                <w:rFonts w:hint="eastAsia" w:ascii="宋体" w:hAnsi="宋体"/>
                <w:bCs/>
                <w:iCs/>
                <w:sz w:val="24"/>
                <w:szCs w:val="24"/>
              </w:rPr>
              <w:t>无</w:t>
            </w:r>
          </w:p>
        </w:tc>
      </w:tr>
    </w:tbl>
    <w:p w14:paraId="0DBA3F2F"/>
    <w:p w14:paraId="0019EA87"/>
    <w:p w14:paraId="4379DE8D"/>
    <w:p w14:paraId="2FEB7C72"/>
    <w:p w14:paraId="5F036529"/>
    <w:p w14:paraId="3A7138B5"/>
    <w:p w14:paraId="780564B2"/>
    <w:p w14:paraId="5684335E"/>
    <w:p w14:paraId="7C80EE8A"/>
    <w:p w14:paraId="5D36BE67"/>
    <w:p w14:paraId="44730785"/>
    <w:p w14:paraId="68D8B784"/>
    <w:p w14:paraId="626A46C6"/>
    <w:p w14:paraId="11B88C31"/>
    <w:p w14:paraId="508C5505"/>
    <w:p w14:paraId="327FF300">
      <w:r>
        <w:rPr>
          <w:rFonts w:hint="eastAsia" w:ascii="宋体" w:hAnsi="宋体"/>
          <w:b/>
          <w:bCs/>
          <w:iCs/>
          <w:sz w:val="24"/>
          <w:szCs w:val="24"/>
        </w:rPr>
        <w:t>附件：活动参与机构名称（排名不分先后）</w:t>
      </w:r>
    </w:p>
    <w:p w14:paraId="0E18775B"/>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6"/>
        <w:gridCol w:w="3281"/>
        <w:gridCol w:w="696"/>
        <w:gridCol w:w="3811"/>
      </w:tblGrid>
      <w:tr w14:paraId="36C15F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52855E38">
            <w:pPr>
              <w:jc w:val="center"/>
              <w:rPr>
                <w:b/>
              </w:rPr>
            </w:pPr>
            <w:r>
              <w:rPr>
                <w:rFonts w:hint="eastAsia"/>
                <w:b/>
              </w:rPr>
              <w:t>序号</w:t>
            </w:r>
          </w:p>
        </w:tc>
        <w:tc>
          <w:tcPr>
            <w:tcW w:w="3281" w:type="dxa"/>
            <w:vAlign w:val="center"/>
          </w:tcPr>
          <w:p w14:paraId="617C6288">
            <w:pPr>
              <w:jc w:val="center"/>
              <w:rPr>
                <w:b/>
              </w:rPr>
            </w:pPr>
            <w:r>
              <w:rPr>
                <w:rFonts w:hint="eastAsia"/>
                <w:b/>
                <w:lang w:val="en-US" w:eastAsia="zh-CN"/>
              </w:rPr>
              <w:t>机构</w:t>
            </w:r>
            <w:r>
              <w:rPr>
                <w:rFonts w:hint="eastAsia"/>
                <w:b/>
              </w:rPr>
              <w:t>名称</w:t>
            </w:r>
          </w:p>
        </w:tc>
        <w:tc>
          <w:tcPr>
            <w:tcW w:w="696" w:type="dxa"/>
            <w:vAlign w:val="center"/>
          </w:tcPr>
          <w:p w14:paraId="77C58681">
            <w:pPr>
              <w:jc w:val="center"/>
              <w:rPr>
                <w:b/>
              </w:rPr>
            </w:pPr>
            <w:r>
              <w:rPr>
                <w:rFonts w:hint="eastAsia"/>
                <w:b/>
              </w:rPr>
              <w:t>序号</w:t>
            </w:r>
          </w:p>
        </w:tc>
        <w:tc>
          <w:tcPr>
            <w:tcW w:w="3811" w:type="dxa"/>
            <w:vAlign w:val="center"/>
          </w:tcPr>
          <w:p w14:paraId="3C9F86C3">
            <w:pPr>
              <w:jc w:val="center"/>
              <w:rPr>
                <w:b/>
              </w:rPr>
            </w:pPr>
            <w:r>
              <w:rPr>
                <w:rFonts w:hint="eastAsia"/>
                <w:b/>
                <w:lang w:val="en-US" w:eastAsia="zh-CN"/>
              </w:rPr>
              <w:t>机构</w:t>
            </w:r>
            <w:r>
              <w:rPr>
                <w:rFonts w:hint="eastAsia"/>
                <w:b/>
              </w:rPr>
              <w:t>名称</w:t>
            </w:r>
          </w:p>
        </w:tc>
      </w:tr>
      <w:tr w14:paraId="6D54C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3385E277">
            <w:pPr>
              <w:jc w:val="center"/>
            </w:pPr>
            <w:r>
              <w:rPr>
                <w:rFonts w:hint="eastAsia"/>
              </w:rPr>
              <w:t>1</w:t>
            </w:r>
          </w:p>
        </w:tc>
        <w:tc>
          <w:tcPr>
            <w:tcW w:w="3281" w:type="dxa"/>
            <w:vAlign w:val="center"/>
          </w:tcPr>
          <w:p w14:paraId="324DCDA4">
            <w:pPr>
              <w:rPr>
                <w:rFonts w:hint="default" w:eastAsia="宋体"/>
                <w:lang w:val="en-US" w:eastAsia="zh-CN"/>
              </w:rPr>
            </w:pPr>
            <w:r>
              <w:rPr>
                <w:rFonts w:hint="eastAsia"/>
                <w:lang w:val="en-US" w:eastAsia="zh-CN"/>
              </w:rPr>
              <w:t>长城基金</w:t>
            </w:r>
          </w:p>
        </w:tc>
        <w:tc>
          <w:tcPr>
            <w:tcW w:w="696" w:type="dxa"/>
            <w:vAlign w:val="center"/>
          </w:tcPr>
          <w:p w14:paraId="16B61FDD">
            <w:pPr>
              <w:jc w:val="center"/>
              <w:rPr>
                <w:rFonts w:hint="default" w:eastAsia="宋体"/>
                <w:lang w:val="en-US" w:eastAsia="zh-CN"/>
              </w:rPr>
            </w:pPr>
            <w:r>
              <w:rPr>
                <w:rFonts w:hint="eastAsia"/>
                <w:lang w:val="en-US" w:eastAsia="zh-CN"/>
              </w:rPr>
              <w:t>17</w:t>
            </w:r>
          </w:p>
        </w:tc>
        <w:tc>
          <w:tcPr>
            <w:tcW w:w="3811" w:type="dxa"/>
            <w:vAlign w:val="center"/>
          </w:tcPr>
          <w:p w14:paraId="11946186">
            <w:r>
              <w:rPr>
                <w:rFonts w:hint="eastAsia"/>
                <w:lang w:val="en-US" w:eastAsia="zh-CN"/>
              </w:rPr>
              <w:t>HSBC Global AM HK</w:t>
            </w:r>
          </w:p>
        </w:tc>
      </w:tr>
      <w:tr w14:paraId="766C9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682F17E4">
            <w:pPr>
              <w:jc w:val="center"/>
            </w:pPr>
            <w:r>
              <w:rPr>
                <w:rFonts w:hint="eastAsia"/>
              </w:rPr>
              <w:t>2</w:t>
            </w:r>
          </w:p>
        </w:tc>
        <w:tc>
          <w:tcPr>
            <w:tcW w:w="3281" w:type="dxa"/>
            <w:vAlign w:val="center"/>
          </w:tcPr>
          <w:p w14:paraId="71B474A5">
            <w:pPr>
              <w:rPr>
                <w:rFonts w:hint="default" w:eastAsia="宋体"/>
                <w:lang w:val="en-US" w:eastAsia="zh-CN"/>
              </w:rPr>
            </w:pPr>
            <w:r>
              <w:rPr>
                <w:rFonts w:hint="eastAsia"/>
                <w:lang w:val="en-US" w:eastAsia="zh-CN"/>
              </w:rPr>
              <w:t>鹏华基金</w:t>
            </w:r>
          </w:p>
        </w:tc>
        <w:tc>
          <w:tcPr>
            <w:tcW w:w="696" w:type="dxa"/>
            <w:vAlign w:val="center"/>
          </w:tcPr>
          <w:p w14:paraId="31C4D960">
            <w:pPr>
              <w:jc w:val="center"/>
              <w:rPr>
                <w:rFonts w:hint="default" w:eastAsia="宋体"/>
                <w:lang w:val="en-US" w:eastAsia="zh-CN"/>
              </w:rPr>
            </w:pPr>
            <w:r>
              <w:rPr>
                <w:rFonts w:hint="eastAsia"/>
                <w:lang w:val="en-US" w:eastAsia="zh-CN"/>
              </w:rPr>
              <w:t>18</w:t>
            </w:r>
          </w:p>
        </w:tc>
        <w:tc>
          <w:tcPr>
            <w:tcW w:w="3811" w:type="dxa"/>
            <w:vAlign w:val="center"/>
          </w:tcPr>
          <w:p w14:paraId="0CE81446">
            <w:r>
              <w:rPr>
                <w:rFonts w:hint="eastAsia"/>
                <w:lang w:val="en-US" w:eastAsia="zh-CN"/>
              </w:rPr>
              <w:t>Manulife Asset Mgmt (HK) Ltd</w:t>
            </w:r>
          </w:p>
        </w:tc>
      </w:tr>
      <w:tr w14:paraId="20E01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3F45E899">
            <w:pPr>
              <w:jc w:val="center"/>
            </w:pPr>
            <w:r>
              <w:rPr>
                <w:rFonts w:hint="eastAsia"/>
              </w:rPr>
              <w:t>3</w:t>
            </w:r>
          </w:p>
        </w:tc>
        <w:tc>
          <w:tcPr>
            <w:tcW w:w="3281" w:type="dxa"/>
            <w:vAlign w:val="center"/>
          </w:tcPr>
          <w:p w14:paraId="77F909E0">
            <w:pPr>
              <w:rPr>
                <w:rFonts w:hint="default" w:eastAsia="宋体"/>
                <w:lang w:val="en-US" w:eastAsia="zh-CN"/>
              </w:rPr>
            </w:pPr>
            <w:r>
              <w:rPr>
                <w:rFonts w:hint="eastAsia"/>
                <w:lang w:val="en-US" w:eastAsia="zh-CN"/>
              </w:rPr>
              <w:t>易方达基金</w:t>
            </w:r>
          </w:p>
        </w:tc>
        <w:tc>
          <w:tcPr>
            <w:tcW w:w="696" w:type="dxa"/>
            <w:vAlign w:val="center"/>
          </w:tcPr>
          <w:p w14:paraId="4DC9AA60">
            <w:pPr>
              <w:jc w:val="center"/>
              <w:rPr>
                <w:rFonts w:hint="default" w:eastAsia="宋体"/>
                <w:lang w:val="en-US" w:eastAsia="zh-CN"/>
              </w:rPr>
            </w:pPr>
            <w:r>
              <w:rPr>
                <w:rFonts w:hint="eastAsia"/>
                <w:lang w:val="en-US" w:eastAsia="zh-CN"/>
              </w:rPr>
              <w:t>19</w:t>
            </w:r>
          </w:p>
        </w:tc>
        <w:tc>
          <w:tcPr>
            <w:tcW w:w="3811" w:type="dxa"/>
            <w:vAlign w:val="center"/>
          </w:tcPr>
          <w:p w14:paraId="4A21E9A8">
            <w:r>
              <w:rPr>
                <w:rFonts w:hint="eastAsia"/>
                <w:lang w:val="en-US" w:eastAsia="zh-CN"/>
              </w:rPr>
              <w:t>Neuberger &amp; Berman</w:t>
            </w:r>
          </w:p>
        </w:tc>
      </w:tr>
      <w:tr w14:paraId="02B66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501B34E9">
            <w:pPr>
              <w:jc w:val="center"/>
            </w:pPr>
            <w:r>
              <w:rPr>
                <w:rFonts w:hint="eastAsia"/>
              </w:rPr>
              <w:t>4</w:t>
            </w:r>
          </w:p>
        </w:tc>
        <w:tc>
          <w:tcPr>
            <w:tcW w:w="3281" w:type="dxa"/>
            <w:vAlign w:val="center"/>
          </w:tcPr>
          <w:p w14:paraId="3EC9BE5D">
            <w:pPr>
              <w:rPr>
                <w:rFonts w:hint="default" w:eastAsia="宋体"/>
                <w:lang w:val="en-US" w:eastAsia="zh-CN"/>
              </w:rPr>
            </w:pPr>
            <w:r>
              <w:rPr>
                <w:rFonts w:hint="eastAsia"/>
                <w:lang w:val="en-US" w:eastAsia="zh-CN"/>
              </w:rPr>
              <w:t>长信基金</w:t>
            </w:r>
          </w:p>
        </w:tc>
        <w:tc>
          <w:tcPr>
            <w:tcW w:w="696" w:type="dxa"/>
            <w:vAlign w:val="center"/>
          </w:tcPr>
          <w:p w14:paraId="4CC76D64">
            <w:pPr>
              <w:jc w:val="center"/>
              <w:rPr>
                <w:rFonts w:hint="default" w:eastAsia="宋体"/>
                <w:lang w:val="en-US" w:eastAsia="zh-CN"/>
              </w:rPr>
            </w:pPr>
            <w:r>
              <w:rPr>
                <w:rFonts w:hint="eastAsia"/>
                <w:lang w:val="en-US" w:eastAsia="zh-CN"/>
              </w:rPr>
              <w:t>20</w:t>
            </w:r>
          </w:p>
        </w:tc>
        <w:tc>
          <w:tcPr>
            <w:tcW w:w="3811" w:type="dxa"/>
            <w:vAlign w:val="center"/>
          </w:tcPr>
          <w:p w14:paraId="34223DAE">
            <w:r>
              <w:rPr>
                <w:rFonts w:hint="eastAsia"/>
                <w:lang w:val="en-US" w:eastAsia="zh-CN"/>
              </w:rPr>
              <w:t>PingAn Ins Group Co of China</w:t>
            </w:r>
          </w:p>
        </w:tc>
      </w:tr>
      <w:tr w14:paraId="61028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2AB4507C">
            <w:pPr>
              <w:jc w:val="center"/>
            </w:pPr>
            <w:r>
              <w:rPr>
                <w:rFonts w:hint="eastAsia"/>
              </w:rPr>
              <w:t>5</w:t>
            </w:r>
          </w:p>
        </w:tc>
        <w:tc>
          <w:tcPr>
            <w:tcW w:w="3281" w:type="dxa"/>
            <w:vAlign w:val="center"/>
          </w:tcPr>
          <w:p w14:paraId="62806975">
            <w:pPr>
              <w:rPr>
                <w:rFonts w:hint="default" w:eastAsia="宋体"/>
                <w:lang w:val="en-US" w:eastAsia="zh-CN"/>
              </w:rPr>
            </w:pPr>
            <w:r>
              <w:rPr>
                <w:rFonts w:hint="eastAsia"/>
                <w:lang w:val="en-US" w:eastAsia="zh-CN"/>
              </w:rPr>
              <w:t>博道基金</w:t>
            </w:r>
          </w:p>
        </w:tc>
        <w:tc>
          <w:tcPr>
            <w:tcW w:w="696" w:type="dxa"/>
            <w:vAlign w:val="center"/>
          </w:tcPr>
          <w:p w14:paraId="6D7A50DC">
            <w:pPr>
              <w:jc w:val="center"/>
              <w:rPr>
                <w:rFonts w:hint="default" w:eastAsia="宋体"/>
                <w:lang w:val="en-US" w:eastAsia="zh-CN"/>
              </w:rPr>
            </w:pPr>
            <w:r>
              <w:rPr>
                <w:rFonts w:hint="eastAsia"/>
                <w:lang w:val="en-US" w:eastAsia="zh-CN"/>
              </w:rPr>
              <w:t>21</w:t>
            </w:r>
          </w:p>
        </w:tc>
        <w:tc>
          <w:tcPr>
            <w:tcW w:w="3811" w:type="dxa"/>
            <w:vAlign w:val="center"/>
          </w:tcPr>
          <w:p w14:paraId="78AD7DFF">
            <w:r>
              <w:rPr>
                <w:rFonts w:hint="eastAsia"/>
                <w:lang w:val="en-US" w:eastAsia="zh-CN"/>
              </w:rPr>
              <w:t>Point72 Asset Management</w:t>
            </w:r>
          </w:p>
        </w:tc>
      </w:tr>
      <w:tr w14:paraId="7ACDBF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6B3A7404">
            <w:pPr>
              <w:jc w:val="center"/>
            </w:pPr>
            <w:r>
              <w:rPr>
                <w:rFonts w:hint="eastAsia"/>
              </w:rPr>
              <w:t>6</w:t>
            </w:r>
          </w:p>
        </w:tc>
        <w:tc>
          <w:tcPr>
            <w:tcW w:w="3281" w:type="dxa"/>
            <w:vAlign w:val="center"/>
          </w:tcPr>
          <w:p w14:paraId="3C81AD06">
            <w:pPr>
              <w:rPr>
                <w:rFonts w:hint="default" w:eastAsia="宋体"/>
                <w:lang w:val="en-US" w:eastAsia="zh-CN"/>
              </w:rPr>
            </w:pPr>
            <w:r>
              <w:rPr>
                <w:rFonts w:hint="eastAsia"/>
                <w:lang w:val="en-US" w:eastAsia="zh-CN"/>
              </w:rPr>
              <w:t>万家基金</w:t>
            </w:r>
          </w:p>
        </w:tc>
        <w:tc>
          <w:tcPr>
            <w:tcW w:w="696" w:type="dxa"/>
            <w:vAlign w:val="center"/>
          </w:tcPr>
          <w:p w14:paraId="3CAB2808">
            <w:pPr>
              <w:jc w:val="center"/>
              <w:rPr>
                <w:rFonts w:hint="default" w:eastAsia="宋体"/>
                <w:lang w:val="en-US" w:eastAsia="zh-CN"/>
              </w:rPr>
            </w:pPr>
            <w:r>
              <w:rPr>
                <w:rFonts w:hint="eastAsia"/>
                <w:lang w:val="en-US" w:eastAsia="zh-CN"/>
              </w:rPr>
              <w:t>22</w:t>
            </w:r>
          </w:p>
        </w:tc>
        <w:tc>
          <w:tcPr>
            <w:tcW w:w="3811" w:type="dxa"/>
            <w:vAlign w:val="center"/>
          </w:tcPr>
          <w:p w14:paraId="2B7A78D3">
            <w:r>
              <w:rPr>
                <w:rFonts w:hint="eastAsia"/>
                <w:lang w:val="en-US" w:eastAsia="zh-CN"/>
              </w:rPr>
              <w:t>浦银国际</w:t>
            </w:r>
          </w:p>
        </w:tc>
      </w:tr>
      <w:tr w14:paraId="580A5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0BC137BD">
            <w:pPr>
              <w:jc w:val="center"/>
            </w:pPr>
            <w:r>
              <w:rPr>
                <w:rFonts w:hint="eastAsia"/>
              </w:rPr>
              <w:t>7</w:t>
            </w:r>
          </w:p>
        </w:tc>
        <w:tc>
          <w:tcPr>
            <w:tcW w:w="3281" w:type="dxa"/>
            <w:vAlign w:val="center"/>
          </w:tcPr>
          <w:p w14:paraId="0E84070F">
            <w:pPr>
              <w:rPr>
                <w:rFonts w:hint="default" w:eastAsia="宋体"/>
                <w:lang w:val="en-US" w:eastAsia="zh-CN"/>
              </w:rPr>
            </w:pPr>
            <w:r>
              <w:rPr>
                <w:rFonts w:hint="eastAsia"/>
                <w:lang w:val="en-US" w:eastAsia="zh-CN"/>
              </w:rPr>
              <w:t>广发基金</w:t>
            </w:r>
          </w:p>
        </w:tc>
        <w:tc>
          <w:tcPr>
            <w:tcW w:w="696" w:type="dxa"/>
            <w:vAlign w:val="center"/>
          </w:tcPr>
          <w:p w14:paraId="5BB9D7C6">
            <w:pPr>
              <w:jc w:val="center"/>
              <w:rPr>
                <w:rFonts w:hint="default" w:eastAsia="宋体"/>
                <w:lang w:val="en-US" w:eastAsia="zh-CN"/>
              </w:rPr>
            </w:pPr>
            <w:r>
              <w:rPr>
                <w:rFonts w:hint="eastAsia"/>
                <w:lang w:val="en-US" w:eastAsia="zh-CN"/>
              </w:rPr>
              <w:t>23</w:t>
            </w:r>
          </w:p>
        </w:tc>
        <w:tc>
          <w:tcPr>
            <w:tcW w:w="3811" w:type="dxa"/>
            <w:shd w:val="clear" w:color="auto" w:fill="auto"/>
            <w:vAlign w:val="center"/>
          </w:tcPr>
          <w:p w14:paraId="281437C0">
            <w:pPr>
              <w:rPr>
                <w:rFonts w:hint="default" w:ascii="Times New Roman" w:hAnsi="Times New Roman" w:eastAsia="宋体" w:cs="Times New Roman"/>
                <w:kern w:val="2"/>
                <w:sz w:val="21"/>
                <w:szCs w:val="22"/>
                <w:lang w:val="en-US" w:eastAsia="zh-CN" w:bidi="ar-SA"/>
              </w:rPr>
            </w:pPr>
            <w:r>
              <w:rPr>
                <w:rFonts w:hint="eastAsia"/>
                <w:lang w:val="en-US" w:eastAsia="zh-CN"/>
              </w:rPr>
              <w:t>深圳创富兆业金融管理有限公司</w:t>
            </w:r>
          </w:p>
        </w:tc>
      </w:tr>
      <w:tr w14:paraId="54091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224C7D33">
            <w:pPr>
              <w:jc w:val="center"/>
            </w:pPr>
            <w:r>
              <w:rPr>
                <w:rFonts w:hint="eastAsia"/>
              </w:rPr>
              <w:t>8</w:t>
            </w:r>
          </w:p>
        </w:tc>
        <w:tc>
          <w:tcPr>
            <w:tcW w:w="3281" w:type="dxa"/>
            <w:vAlign w:val="center"/>
          </w:tcPr>
          <w:p w14:paraId="6B6BDBAD">
            <w:pPr>
              <w:rPr>
                <w:rFonts w:hint="default" w:eastAsia="宋体"/>
                <w:lang w:val="en-US" w:eastAsia="zh-CN"/>
              </w:rPr>
            </w:pPr>
            <w:r>
              <w:rPr>
                <w:rFonts w:hint="eastAsia"/>
                <w:lang w:val="en-US" w:eastAsia="zh-CN"/>
              </w:rPr>
              <w:t>兴全基金</w:t>
            </w:r>
          </w:p>
        </w:tc>
        <w:tc>
          <w:tcPr>
            <w:tcW w:w="696" w:type="dxa"/>
            <w:vAlign w:val="center"/>
          </w:tcPr>
          <w:p w14:paraId="6C66C712">
            <w:pPr>
              <w:jc w:val="center"/>
              <w:rPr>
                <w:rFonts w:hint="default" w:eastAsia="宋体"/>
                <w:lang w:val="en-US" w:eastAsia="zh-CN"/>
              </w:rPr>
            </w:pPr>
            <w:r>
              <w:rPr>
                <w:rFonts w:hint="eastAsia"/>
                <w:lang w:val="en-US" w:eastAsia="zh-CN"/>
              </w:rPr>
              <w:t>24</w:t>
            </w:r>
          </w:p>
        </w:tc>
        <w:tc>
          <w:tcPr>
            <w:tcW w:w="3811" w:type="dxa"/>
            <w:shd w:val="clear" w:color="auto" w:fill="auto"/>
            <w:vAlign w:val="center"/>
          </w:tcPr>
          <w:p w14:paraId="137ECE3B">
            <w:pPr>
              <w:rPr>
                <w:rFonts w:hint="default" w:ascii="Times New Roman" w:hAnsi="Times New Roman" w:eastAsia="宋体" w:cs="Times New Roman"/>
                <w:kern w:val="2"/>
                <w:sz w:val="21"/>
                <w:szCs w:val="22"/>
                <w:lang w:val="en-US" w:eastAsia="zh-CN" w:bidi="ar-SA"/>
              </w:rPr>
            </w:pPr>
            <w:r>
              <w:rPr>
                <w:rFonts w:hint="eastAsia"/>
                <w:lang w:val="en-US" w:eastAsia="zh-CN"/>
              </w:rPr>
              <w:t>华西证券</w:t>
            </w:r>
          </w:p>
        </w:tc>
      </w:tr>
      <w:tr w14:paraId="232E53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28DBC5F3">
            <w:pPr>
              <w:jc w:val="center"/>
            </w:pPr>
            <w:r>
              <w:rPr>
                <w:rFonts w:hint="eastAsia"/>
              </w:rPr>
              <w:t>9</w:t>
            </w:r>
          </w:p>
        </w:tc>
        <w:tc>
          <w:tcPr>
            <w:tcW w:w="3281" w:type="dxa"/>
            <w:vAlign w:val="center"/>
          </w:tcPr>
          <w:p w14:paraId="1245BCD8">
            <w:pPr>
              <w:rPr>
                <w:rFonts w:hint="default" w:eastAsia="宋体"/>
                <w:lang w:val="en-US" w:eastAsia="zh-CN"/>
              </w:rPr>
            </w:pPr>
            <w:r>
              <w:rPr>
                <w:rFonts w:hint="eastAsia"/>
                <w:lang w:val="en-US" w:eastAsia="zh-CN"/>
              </w:rPr>
              <w:t>前海开源基金</w:t>
            </w:r>
          </w:p>
        </w:tc>
        <w:tc>
          <w:tcPr>
            <w:tcW w:w="696" w:type="dxa"/>
            <w:vAlign w:val="center"/>
          </w:tcPr>
          <w:p w14:paraId="385F70F2">
            <w:pPr>
              <w:jc w:val="center"/>
              <w:rPr>
                <w:rFonts w:hint="default" w:eastAsia="宋体"/>
                <w:lang w:val="en-US" w:eastAsia="zh-CN"/>
              </w:rPr>
            </w:pPr>
            <w:r>
              <w:rPr>
                <w:rFonts w:hint="eastAsia"/>
                <w:lang w:val="en-US" w:eastAsia="zh-CN"/>
              </w:rPr>
              <w:t>25</w:t>
            </w:r>
          </w:p>
        </w:tc>
        <w:tc>
          <w:tcPr>
            <w:tcW w:w="3811" w:type="dxa"/>
            <w:shd w:val="clear" w:color="auto" w:fill="auto"/>
            <w:vAlign w:val="center"/>
          </w:tcPr>
          <w:p w14:paraId="4366B958">
            <w:pPr>
              <w:rPr>
                <w:rFonts w:hint="default" w:ascii="Times New Roman" w:hAnsi="Times New Roman" w:eastAsia="宋体" w:cs="Times New Roman"/>
                <w:kern w:val="2"/>
                <w:sz w:val="21"/>
                <w:szCs w:val="22"/>
                <w:lang w:val="en-US" w:eastAsia="zh-CN" w:bidi="ar-SA"/>
              </w:rPr>
            </w:pPr>
            <w:r>
              <w:rPr>
                <w:rFonts w:hint="eastAsia" w:cs="Times New Roman"/>
                <w:kern w:val="2"/>
                <w:sz w:val="21"/>
                <w:szCs w:val="22"/>
                <w:lang w:val="en-US" w:eastAsia="zh-CN" w:bidi="ar-SA"/>
              </w:rPr>
              <w:t>深圳中锦程</w:t>
            </w:r>
          </w:p>
        </w:tc>
      </w:tr>
      <w:tr w14:paraId="4F053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777BB982">
            <w:pPr>
              <w:jc w:val="center"/>
            </w:pPr>
            <w:r>
              <w:rPr>
                <w:rFonts w:hint="eastAsia"/>
              </w:rPr>
              <w:t>1</w:t>
            </w:r>
            <w:r>
              <w:t>0</w:t>
            </w:r>
          </w:p>
        </w:tc>
        <w:tc>
          <w:tcPr>
            <w:tcW w:w="3281" w:type="dxa"/>
            <w:shd w:val="clear" w:color="auto" w:fill="auto"/>
            <w:vAlign w:val="center"/>
          </w:tcPr>
          <w:p w14:paraId="6088A0B1">
            <w:pPr>
              <w:rPr>
                <w:rFonts w:hint="default" w:ascii="Times New Roman" w:hAnsi="Times New Roman" w:eastAsia="宋体" w:cs="Times New Roman"/>
                <w:kern w:val="2"/>
                <w:sz w:val="21"/>
                <w:szCs w:val="22"/>
                <w:lang w:val="en-US" w:eastAsia="zh-CN" w:bidi="ar-SA"/>
              </w:rPr>
            </w:pPr>
            <w:r>
              <w:rPr>
                <w:rFonts w:hint="eastAsia"/>
                <w:lang w:val="en-US" w:eastAsia="zh-CN"/>
              </w:rPr>
              <w:t>博时基金</w:t>
            </w:r>
          </w:p>
        </w:tc>
        <w:tc>
          <w:tcPr>
            <w:tcW w:w="696" w:type="dxa"/>
            <w:vAlign w:val="center"/>
          </w:tcPr>
          <w:p w14:paraId="0C2DF679">
            <w:pPr>
              <w:jc w:val="center"/>
              <w:rPr>
                <w:rFonts w:hint="default" w:eastAsia="宋体"/>
                <w:lang w:val="en-US" w:eastAsia="zh-CN"/>
              </w:rPr>
            </w:pPr>
            <w:r>
              <w:rPr>
                <w:rFonts w:hint="eastAsia"/>
                <w:lang w:val="en-US" w:eastAsia="zh-CN"/>
              </w:rPr>
              <w:t>26</w:t>
            </w:r>
          </w:p>
        </w:tc>
        <w:tc>
          <w:tcPr>
            <w:tcW w:w="3811" w:type="dxa"/>
            <w:shd w:val="clear" w:color="auto" w:fill="auto"/>
            <w:vAlign w:val="center"/>
          </w:tcPr>
          <w:p w14:paraId="176D73D2">
            <w:pPr>
              <w:rPr>
                <w:rFonts w:hint="default" w:ascii="Times New Roman" w:hAnsi="Times New Roman" w:eastAsia="宋体" w:cs="Times New Roman"/>
                <w:kern w:val="2"/>
                <w:sz w:val="21"/>
                <w:szCs w:val="22"/>
                <w:lang w:val="en-US" w:eastAsia="zh-CN" w:bidi="ar-SA"/>
              </w:rPr>
            </w:pPr>
            <w:r>
              <w:rPr>
                <w:rFonts w:hint="eastAsia"/>
              </w:rPr>
              <w:t>北京楚昌私募基金</w:t>
            </w:r>
          </w:p>
        </w:tc>
      </w:tr>
      <w:tr w14:paraId="2A5C1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1C6FC2A9">
            <w:pPr>
              <w:jc w:val="center"/>
            </w:pPr>
            <w:r>
              <w:rPr>
                <w:rFonts w:hint="eastAsia"/>
              </w:rPr>
              <w:t>1</w:t>
            </w:r>
            <w:r>
              <w:t>1</w:t>
            </w:r>
          </w:p>
        </w:tc>
        <w:tc>
          <w:tcPr>
            <w:tcW w:w="3281" w:type="dxa"/>
            <w:shd w:val="clear" w:color="auto" w:fill="auto"/>
            <w:vAlign w:val="center"/>
          </w:tcPr>
          <w:p w14:paraId="068B957B">
            <w:pPr>
              <w:rPr>
                <w:rFonts w:hint="default" w:ascii="Times New Roman" w:hAnsi="Times New Roman" w:eastAsia="宋体" w:cs="Times New Roman"/>
                <w:kern w:val="2"/>
                <w:sz w:val="21"/>
                <w:szCs w:val="22"/>
                <w:lang w:val="en-US" w:eastAsia="zh-CN" w:bidi="ar-SA"/>
              </w:rPr>
            </w:pPr>
            <w:r>
              <w:rPr>
                <w:rFonts w:hint="eastAsia"/>
                <w:lang w:val="en-US" w:eastAsia="zh-CN"/>
              </w:rPr>
              <w:t>光宝资产</w:t>
            </w:r>
          </w:p>
        </w:tc>
        <w:tc>
          <w:tcPr>
            <w:tcW w:w="696" w:type="dxa"/>
            <w:vAlign w:val="center"/>
          </w:tcPr>
          <w:p w14:paraId="136646B2">
            <w:pPr>
              <w:jc w:val="center"/>
              <w:rPr>
                <w:rFonts w:hint="default" w:eastAsia="宋体"/>
                <w:lang w:val="en-US" w:eastAsia="zh-CN"/>
              </w:rPr>
            </w:pPr>
            <w:r>
              <w:rPr>
                <w:rFonts w:hint="eastAsia"/>
                <w:lang w:val="en-US" w:eastAsia="zh-CN"/>
              </w:rPr>
              <w:t>27</w:t>
            </w:r>
          </w:p>
        </w:tc>
        <w:tc>
          <w:tcPr>
            <w:tcW w:w="3811" w:type="dxa"/>
            <w:shd w:val="clear" w:color="auto" w:fill="auto"/>
            <w:vAlign w:val="center"/>
          </w:tcPr>
          <w:p w14:paraId="0A11C7FF">
            <w:pPr>
              <w:rPr>
                <w:rFonts w:hint="default" w:ascii="Times New Roman" w:hAnsi="Times New Roman" w:eastAsia="宋体" w:cs="Times New Roman"/>
                <w:kern w:val="2"/>
                <w:sz w:val="21"/>
                <w:szCs w:val="22"/>
                <w:lang w:val="en-US" w:eastAsia="zh-CN" w:bidi="ar-SA"/>
              </w:rPr>
            </w:pPr>
            <w:r>
              <w:rPr>
                <w:rFonts w:hint="eastAsia"/>
                <w:lang w:val="en-US" w:eastAsia="zh-CN"/>
              </w:rPr>
              <w:t>上海仙人掌私募基金</w:t>
            </w:r>
          </w:p>
        </w:tc>
      </w:tr>
      <w:tr w14:paraId="702D2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6A4D7C14">
            <w:pPr>
              <w:jc w:val="center"/>
            </w:pPr>
            <w:r>
              <w:rPr>
                <w:rFonts w:hint="eastAsia"/>
              </w:rPr>
              <w:t>1</w:t>
            </w:r>
            <w:r>
              <w:t>2</w:t>
            </w:r>
          </w:p>
        </w:tc>
        <w:tc>
          <w:tcPr>
            <w:tcW w:w="3281" w:type="dxa"/>
            <w:vAlign w:val="center"/>
          </w:tcPr>
          <w:p w14:paraId="399DFE35">
            <w:pPr>
              <w:rPr>
                <w:rFonts w:hint="default"/>
                <w:lang w:val="en-US" w:eastAsia="zh-CN"/>
              </w:rPr>
            </w:pPr>
            <w:r>
              <w:rPr>
                <w:rFonts w:hint="eastAsia"/>
                <w:lang w:val="en-US" w:eastAsia="zh-CN"/>
              </w:rPr>
              <w:t>华创证券</w:t>
            </w:r>
          </w:p>
        </w:tc>
        <w:tc>
          <w:tcPr>
            <w:tcW w:w="696" w:type="dxa"/>
            <w:vAlign w:val="center"/>
          </w:tcPr>
          <w:p w14:paraId="4850249A">
            <w:pPr>
              <w:jc w:val="center"/>
              <w:rPr>
                <w:rFonts w:hint="default" w:eastAsia="宋体"/>
                <w:lang w:val="en-US" w:eastAsia="zh-CN"/>
              </w:rPr>
            </w:pPr>
            <w:r>
              <w:rPr>
                <w:rFonts w:hint="eastAsia"/>
                <w:lang w:val="en-US" w:eastAsia="zh-CN"/>
              </w:rPr>
              <w:t>28</w:t>
            </w:r>
          </w:p>
        </w:tc>
        <w:tc>
          <w:tcPr>
            <w:tcW w:w="3811" w:type="dxa"/>
            <w:shd w:val="clear" w:color="auto" w:fill="auto"/>
            <w:vAlign w:val="center"/>
          </w:tcPr>
          <w:p w14:paraId="0DECD709">
            <w:pPr>
              <w:rPr>
                <w:rFonts w:hint="eastAsia" w:ascii="Times New Roman" w:hAnsi="Times New Roman" w:eastAsia="宋体" w:cs="Times New Roman"/>
                <w:kern w:val="2"/>
                <w:sz w:val="21"/>
                <w:szCs w:val="22"/>
                <w:lang w:val="en-US" w:eastAsia="zh-CN" w:bidi="ar-SA"/>
              </w:rPr>
            </w:pPr>
            <w:r>
              <w:rPr>
                <w:rFonts w:hint="eastAsia"/>
                <w:lang w:val="en-US" w:eastAsia="zh-CN"/>
              </w:rPr>
              <w:t>龙赢富泽资产管理（北京）有限公司</w:t>
            </w:r>
          </w:p>
        </w:tc>
      </w:tr>
      <w:tr w14:paraId="3943B9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495A4B3C">
            <w:pPr>
              <w:jc w:val="center"/>
            </w:pPr>
            <w:r>
              <w:rPr>
                <w:rFonts w:hint="eastAsia"/>
              </w:rPr>
              <w:t>1</w:t>
            </w:r>
            <w:r>
              <w:t>3</w:t>
            </w:r>
          </w:p>
        </w:tc>
        <w:tc>
          <w:tcPr>
            <w:tcW w:w="3281" w:type="dxa"/>
            <w:shd w:val="clear" w:color="auto" w:fill="auto"/>
            <w:vAlign w:val="center"/>
          </w:tcPr>
          <w:p w14:paraId="28052433">
            <w:pPr>
              <w:rPr>
                <w:rFonts w:hint="eastAsia" w:ascii="Times New Roman" w:hAnsi="Times New Roman" w:eastAsia="宋体" w:cs="Times New Roman"/>
                <w:kern w:val="2"/>
                <w:sz w:val="21"/>
                <w:szCs w:val="22"/>
                <w:lang w:val="en-US" w:eastAsia="zh-CN" w:bidi="ar-SA"/>
              </w:rPr>
            </w:pPr>
            <w:r>
              <w:rPr>
                <w:rFonts w:hint="eastAsia"/>
                <w:lang w:val="en-US" w:eastAsia="zh-CN"/>
              </w:rPr>
              <w:t>安信基金</w:t>
            </w:r>
          </w:p>
        </w:tc>
        <w:tc>
          <w:tcPr>
            <w:tcW w:w="696" w:type="dxa"/>
            <w:vAlign w:val="center"/>
          </w:tcPr>
          <w:p w14:paraId="1B2B1F15">
            <w:pPr>
              <w:jc w:val="center"/>
              <w:rPr>
                <w:rFonts w:hint="eastAsia" w:eastAsia="宋体"/>
                <w:lang w:val="en-US" w:eastAsia="zh-CN"/>
              </w:rPr>
            </w:pPr>
          </w:p>
        </w:tc>
        <w:tc>
          <w:tcPr>
            <w:tcW w:w="3811" w:type="dxa"/>
            <w:vAlign w:val="center"/>
          </w:tcPr>
          <w:p w14:paraId="390ECCCD"/>
        </w:tc>
      </w:tr>
      <w:tr w14:paraId="49C11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1E47AFC5">
            <w:pPr>
              <w:jc w:val="center"/>
            </w:pPr>
            <w:r>
              <w:rPr>
                <w:rFonts w:hint="eastAsia"/>
              </w:rPr>
              <w:t>1</w:t>
            </w:r>
            <w:r>
              <w:t>4</w:t>
            </w:r>
          </w:p>
        </w:tc>
        <w:tc>
          <w:tcPr>
            <w:tcW w:w="3281" w:type="dxa"/>
            <w:shd w:val="clear" w:color="auto" w:fill="auto"/>
            <w:vAlign w:val="center"/>
          </w:tcPr>
          <w:p w14:paraId="3F2EE033">
            <w:pPr>
              <w:rPr>
                <w:rFonts w:hint="eastAsia" w:ascii="Times New Roman" w:hAnsi="Times New Roman" w:eastAsia="宋体" w:cs="Times New Roman"/>
                <w:kern w:val="2"/>
                <w:sz w:val="21"/>
                <w:szCs w:val="22"/>
                <w:lang w:val="en-US" w:eastAsia="zh-CN" w:bidi="ar-SA"/>
              </w:rPr>
            </w:pPr>
            <w:r>
              <w:rPr>
                <w:rFonts w:hint="eastAsia"/>
                <w:lang w:val="en-US" w:eastAsia="zh-CN"/>
              </w:rPr>
              <w:t>中海基金</w:t>
            </w:r>
          </w:p>
        </w:tc>
        <w:tc>
          <w:tcPr>
            <w:tcW w:w="696" w:type="dxa"/>
            <w:vAlign w:val="center"/>
          </w:tcPr>
          <w:p w14:paraId="14E9B371">
            <w:pPr>
              <w:jc w:val="center"/>
              <w:rPr>
                <w:rFonts w:hint="eastAsia" w:eastAsia="宋体"/>
                <w:lang w:val="en-US" w:eastAsia="zh-CN"/>
              </w:rPr>
            </w:pPr>
          </w:p>
        </w:tc>
        <w:tc>
          <w:tcPr>
            <w:tcW w:w="3811" w:type="dxa"/>
            <w:vAlign w:val="center"/>
          </w:tcPr>
          <w:p w14:paraId="5ADF3241"/>
        </w:tc>
      </w:tr>
      <w:tr w14:paraId="13196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671A5395">
            <w:pPr>
              <w:jc w:val="center"/>
            </w:pPr>
            <w:r>
              <w:rPr>
                <w:rFonts w:hint="eastAsia"/>
              </w:rPr>
              <w:t>1</w:t>
            </w:r>
            <w:r>
              <w:t>5</w:t>
            </w:r>
          </w:p>
        </w:tc>
        <w:tc>
          <w:tcPr>
            <w:tcW w:w="3281" w:type="dxa"/>
            <w:shd w:val="clear" w:color="auto" w:fill="auto"/>
            <w:vAlign w:val="center"/>
          </w:tcPr>
          <w:p w14:paraId="78057B2E">
            <w:pPr>
              <w:rPr>
                <w:rFonts w:hint="eastAsia" w:ascii="Times New Roman" w:hAnsi="Times New Roman" w:eastAsia="宋体" w:cs="Times New Roman"/>
                <w:kern w:val="2"/>
                <w:sz w:val="21"/>
                <w:szCs w:val="22"/>
                <w:lang w:val="en-US" w:eastAsia="zh-CN" w:bidi="ar-SA"/>
              </w:rPr>
            </w:pPr>
            <w:r>
              <w:rPr>
                <w:rFonts w:hint="eastAsia"/>
                <w:lang w:val="en-US" w:eastAsia="zh-CN"/>
              </w:rPr>
              <w:t>融通基金</w:t>
            </w:r>
          </w:p>
        </w:tc>
        <w:tc>
          <w:tcPr>
            <w:tcW w:w="696" w:type="dxa"/>
            <w:vAlign w:val="center"/>
          </w:tcPr>
          <w:p w14:paraId="5E13C083">
            <w:pPr>
              <w:jc w:val="center"/>
              <w:rPr>
                <w:rFonts w:hint="eastAsia" w:eastAsia="宋体"/>
                <w:lang w:val="en-US" w:eastAsia="zh-CN"/>
              </w:rPr>
            </w:pPr>
          </w:p>
        </w:tc>
        <w:tc>
          <w:tcPr>
            <w:tcW w:w="3811" w:type="dxa"/>
            <w:vAlign w:val="center"/>
          </w:tcPr>
          <w:p w14:paraId="407FDBCA"/>
        </w:tc>
      </w:tr>
      <w:tr w14:paraId="73D05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6" w:type="dxa"/>
            <w:vAlign w:val="center"/>
          </w:tcPr>
          <w:p w14:paraId="16C23307">
            <w:pPr>
              <w:jc w:val="center"/>
            </w:pPr>
            <w:r>
              <w:rPr>
                <w:rFonts w:hint="eastAsia"/>
              </w:rPr>
              <w:t>1</w:t>
            </w:r>
            <w:r>
              <w:t>6</w:t>
            </w:r>
          </w:p>
        </w:tc>
        <w:tc>
          <w:tcPr>
            <w:tcW w:w="3281" w:type="dxa"/>
            <w:shd w:val="clear" w:color="auto" w:fill="auto"/>
            <w:vAlign w:val="center"/>
          </w:tcPr>
          <w:p w14:paraId="332C5422">
            <w:pPr>
              <w:rPr>
                <w:rFonts w:hint="eastAsia" w:ascii="Times New Roman" w:hAnsi="Times New Roman" w:eastAsia="宋体" w:cs="Times New Roman"/>
                <w:kern w:val="2"/>
                <w:sz w:val="21"/>
                <w:szCs w:val="22"/>
                <w:lang w:val="en-US" w:eastAsia="zh-CN" w:bidi="ar-SA"/>
              </w:rPr>
            </w:pPr>
            <w:r>
              <w:rPr>
                <w:rFonts w:hint="eastAsia"/>
                <w:lang w:val="en-US" w:eastAsia="zh-CN"/>
              </w:rPr>
              <w:t>东方证券</w:t>
            </w:r>
          </w:p>
        </w:tc>
        <w:tc>
          <w:tcPr>
            <w:tcW w:w="696" w:type="dxa"/>
            <w:vAlign w:val="center"/>
          </w:tcPr>
          <w:p w14:paraId="7E75AE34">
            <w:pPr>
              <w:jc w:val="center"/>
              <w:rPr>
                <w:rFonts w:hint="eastAsia" w:eastAsia="宋体"/>
                <w:lang w:val="en-US" w:eastAsia="zh-CN"/>
              </w:rPr>
            </w:pPr>
          </w:p>
        </w:tc>
        <w:tc>
          <w:tcPr>
            <w:tcW w:w="3811" w:type="dxa"/>
            <w:vAlign w:val="center"/>
          </w:tcPr>
          <w:p w14:paraId="4E1B1600"/>
        </w:tc>
      </w:tr>
    </w:tbl>
    <w:p w14:paraId="4FDC10B2"/>
    <w:sectPr>
      <w:footerReference r:id="rId3" w:type="default"/>
      <w:pgSz w:w="11906" w:h="16838"/>
      <w:pgMar w:top="1247" w:right="1701" w:bottom="124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53316"/>
    </w:sdtPr>
    <w:sdtContent>
      <w:sdt>
        <w:sdtPr>
          <w:id w:val="98381352"/>
        </w:sdtPr>
        <w:sdtContent>
          <w:p w14:paraId="012B2AFF">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14:paraId="701D1B5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991AE"/>
    <w:multiLevelType w:val="singleLevel"/>
    <w:tmpl w:val="CC9991AE"/>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03"/>
    <w:rsid w:val="00021748"/>
    <w:rsid w:val="0004054B"/>
    <w:rsid w:val="000670F9"/>
    <w:rsid w:val="00067BB7"/>
    <w:rsid w:val="000807D5"/>
    <w:rsid w:val="00090EAD"/>
    <w:rsid w:val="00094C17"/>
    <w:rsid w:val="000B3AB8"/>
    <w:rsid w:val="000B5BDB"/>
    <w:rsid w:val="000B7001"/>
    <w:rsid w:val="000B74B8"/>
    <w:rsid w:val="000C4B06"/>
    <w:rsid w:val="000C6415"/>
    <w:rsid w:val="000C662D"/>
    <w:rsid w:val="000F16F8"/>
    <w:rsid w:val="000F3803"/>
    <w:rsid w:val="000F5E3C"/>
    <w:rsid w:val="000F6388"/>
    <w:rsid w:val="001113BD"/>
    <w:rsid w:val="001277C7"/>
    <w:rsid w:val="00136971"/>
    <w:rsid w:val="00153571"/>
    <w:rsid w:val="001639B5"/>
    <w:rsid w:val="001660B2"/>
    <w:rsid w:val="00172A69"/>
    <w:rsid w:val="001931D3"/>
    <w:rsid w:val="001A2FD6"/>
    <w:rsid w:val="001A411A"/>
    <w:rsid w:val="001B2C9D"/>
    <w:rsid w:val="001D04CE"/>
    <w:rsid w:val="001D34EE"/>
    <w:rsid w:val="001D6E95"/>
    <w:rsid w:val="00203D35"/>
    <w:rsid w:val="002420A2"/>
    <w:rsid w:val="00253A58"/>
    <w:rsid w:val="00255E23"/>
    <w:rsid w:val="002C1352"/>
    <w:rsid w:val="002C2DB3"/>
    <w:rsid w:val="002D04AA"/>
    <w:rsid w:val="002D1962"/>
    <w:rsid w:val="00301156"/>
    <w:rsid w:val="00310D79"/>
    <w:rsid w:val="00321210"/>
    <w:rsid w:val="0033437F"/>
    <w:rsid w:val="003477D2"/>
    <w:rsid w:val="00353C84"/>
    <w:rsid w:val="00357D44"/>
    <w:rsid w:val="0036016F"/>
    <w:rsid w:val="00362391"/>
    <w:rsid w:val="003B66DE"/>
    <w:rsid w:val="003C4784"/>
    <w:rsid w:val="003C597F"/>
    <w:rsid w:val="003E6A7E"/>
    <w:rsid w:val="003F067F"/>
    <w:rsid w:val="004009D4"/>
    <w:rsid w:val="004029C1"/>
    <w:rsid w:val="004134B8"/>
    <w:rsid w:val="00415486"/>
    <w:rsid w:val="00415502"/>
    <w:rsid w:val="0042577F"/>
    <w:rsid w:val="00430F62"/>
    <w:rsid w:val="004330BF"/>
    <w:rsid w:val="004343D6"/>
    <w:rsid w:val="004479E3"/>
    <w:rsid w:val="00471706"/>
    <w:rsid w:val="00473545"/>
    <w:rsid w:val="00486AF0"/>
    <w:rsid w:val="004A17BF"/>
    <w:rsid w:val="004C0F3D"/>
    <w:rsid w:val="004C6F96"/>
    <w:rsid w:val="004D3CCE"/>
    <w:rsid w:val="004D59E1"/>
    <w:rsid w:val="004D78A6"/>
    <w:rsid w:val="004F05E9"/>
    <w:rsid w:val="004F75B9"/>
    <w:rsid w:val="00512AB3"/>
    <w:rsid w:val="00515C45"/>
    <w:rsid w:val="00521449"/>
    <w:rsid w:val="00523DA0"/>
    <w:rsid w:val="00525D43"/>
    <w:rsid w:val="00527AF9"/>
    <w:rsid w:val="00534922"/>
    <w:rsid w:val="00545382"/>
    <w:rsid w:val="0055144D"/>
    <w:rsid w:val="00552753"/>
    <w:rsid w:val="005673BE"/>
    <w:rsid w:val="00580524"/>
    <w:rsid w:val="00585DE6"/>
    <w:rsid w:val="005876AD"/>
    <w:rsid w:val="005A044B"/>
    <w:rsid w:val="005A5903"/>
    <w:rsid w:val="005B3FA0"/>
    <w:rsid w:val="005C4577"/>
    <w:rsid w:val="005D0D60"/>
    <w:rsid w:val="005D64C8"/>
    <w:rsid w:val="00623068"/>
    <w:rsid w:val="0062631E"/>
    <w:rsid w:val="00637594"/>
    <w:rsid w:val="00663473"/>
    <w:rsid w:val="00681CEC"/>
    <w:rsid w:val="00684F71"/>
    <w:rsid w:val="00685711"/>
    <w:rsid w:val="00692883"/>
    <w:rsid w:val="006C15C6"/>
    <w:rsid w:val="006C4448"/>
    <w:rsid w:val="006D76CA"/>
    <w:rsid w:val="006F374F"/>
    <w:rsid w:val="00702B95"/>
    <w:rsid w:val="00721786"/>
    <w:rsid w:val="00734AB1"/>
    <w:rsid w:val="00742CFC"/>
    <w:rsid w:val="00744E5B"/>
    <w:rsid w:val="00762A9E"/>
    <w:rsid w:val="00765B6D"/>
    <w:rsid w:val="00771CAF"/>
    <w:rsid w:val="00775920"/>
    <w:rsid w:val="00782728"/>
    <w:rsid w:val="00790964"/>
    <w:rsid w:val="00794707"/>
    <w:rsid w:val="007C18FD"/>
    <w:rsid w:val="007D7346"/>
    <w:rsid w:val="007F3930"/>
    <w:rsid w:val="00823531"/>
    <w:rsid w:val="00834E6C"/>
    <w:rsid w:val="00845316"/>
    <w:rsid w:val="00855243"/>
    <w:rsid w:val="00866388"/>
    <w:rsid w:val="00876E9D"/>
    <w:rsid w:val="008771CD"/>
    <w:rsid w:val="0088395B"/>
    <w:rsid w:val="008869DF"/>
    <w:rsid w:val="008A080F"/>
    <w:rsid w:val="008A3158"/>
    <w:rsid w:val="008B0969"/>
    <w:rsid w:val="008B61D3"/>
    <w:rsid w:val="008C6C96"/>
    <w:rsid w:val="008D18B9"/>
    <w:rsid w:val="008D22BF"/>
    <w:rsid w:val="008D44C7"/>
    <w:rsid w:val="00905663"/>
    <w:rsid w:val="009416FC"/>
    <w:rsid w:val="009436D6"/>
    <w:rsid w:val="00946E0A"/>
    <w:rsid w:val="009659EC"/>
    <w:rsid w:val="00967876"/>
    <w:rsid w:val="00985150"/>
    <w:rsid w:val="009A0BB3"/>
    <w:rsid w:val="009A4C59"/>
    <w:rsid w:val="009B0EEE"/>
    <w:rsid w:val="009C1B0C"/>
    <w:rsid w:val="009C670F"/>
    <w:rsid w:val="009D17D5"/>
    <w:rsid w:val="009D4E02"/>
    <w:rsid w:val="009D4FAA"/>
    <w:rsid w:val="00A14C83"/>
    <w:rsid w:val="00A1655C"/>
    <w:rsid w:val="00A16733"/>
    <w:rsid w:val="00A17B46"/>
    <w:rsid w:val="00A23DDD"/>
    <w:rsid w:val="00A54188"/>
    <w:rsid w:val="00A64D42"/>
    <w:rsid w:val="00A67493"/>
    <w:rsid w:val="00A8014A"/>
    <w:rsid w:val="00A9594C"/>
    <w:rsid w:val="00AA66FA"/>
    <w:rsid w:val="00AB06EF"/>
    <w:rsid w:val="00AB4FE8"/>
    <w:rsid w:val="00AC61AF"/>
    <w:rsid w:val="00AE3030"/>
    <w:rsid w:val="00AE57B0"/>
    <w:rsid w:val="00AF2526"/>
    <w:rsid w:val="00AF7890"/>
    <w:rsid w:val="00B00A01"/>
    <w:rsid w:val="00B02130"/>
    <w:rsid w:val="00B024D9"/>
    <w:rsid w:val="00B10330"/>
    <w:rsid w:val="00B26FFA"/>
    <w:rsid w:val="00B41B03"/>
    <w:rsid w:val="00B42F14"/>
    <w:rsid w:val="00BD0F40"/>
    <w:rsid w:val="00BD3101"/>
    <w:rsid w:val="00BE3890"/>
    <w:rsid w:val="00C07B37"/>
    <w:rsid w:val="00C1374E"/>
    <w:rsid w:val="00C25589"/>
    <w:rsid w:val="00C412DC"/>
    <w:rsid w:val="00C4182C"/>
    <w:rsid w:val="00C66671"/>
    <w:rsid w:val="00C867AE"/>
    <w:rsid w:val="00C94AE0"/>
    <w:rsid w:val="00CA118E"/>
    <w:rsid w:val="00CA28B3"/>
    <w:rsid w:val="00CC3F3B"/>
    <w:rsid w:val="00CC6B54"/>
    <w:rsid w:val="00D07837"/>
    <w:rsid w:val="00D319D3"/>
    <w:rsid w:val="00D55046"/>
    <w:rsid w:val="00D60AC3"/>
    <w:rsid w:val="00D74536"/>
    <w:rsid w:val="00D819A0"/>
    <w:rsid w:val="00D81EB0"/>
    <w:rsid w:val="00D92B49"/>
    <w:rsid w:val="00DA51E4"/>
    <w:rsid w:val="00DA775F"/>
    <w:rsid w:val="00DB3621"/>
    <w:rsid w:val="00DC26A2"/>
    <w:rsid w:val="00DC2836"/>
    <w:rsid w:val="00DE49F7"/>
    <w:rsid w:val="00DF4BD3"/>
    <w:rsid w:val="00DF72F5"/>
    <w:rsid w:val="00E057D2"/>
    <w:rsid w:val="00E11016"/>
    <w:rsid w:val="00E25B61"/>
    <w:rsid w:val="00E32B59"/>
    <w:rsid w:val="00E407D9"/>
    <w:rsid w:val="00E54D1E"/>
    <w:rsid w:val="00E641DD"/>
    <w:rsid w:val="00E70492"/>
    <w:rsid w:val="00E752A3"/>
    <w:rsid w:val="00E7762E"/>
    <w:rsid w:val="00E82CA5"/>
    <w:rsid w:val="00E93C29"/>
    <w:rsid w:val="00EA4A55"/>
    <w:rsid w:val="00EA55F3"/>
    <w:rsid w:val="00EA5FE0"/>
    <w:rsid w:val="00EB1870"/>
    <w:rsid w:val="00EB22A6"/>
    <w:rsid w:val="00EB716B"/>
    <w:rsid w:val="00ED25AB"/>
    <w:rsid w:val="00ED551A"/>
    <w:rsid w:val="00EE5355"/>
    <w:rsid w:val="00EE6622"/>
    <w:rsid w:val="00EE7B2E"/>
    <w:rsid w:val="00F110B9"/>
    <w:rsid w:val="00F266A9"/>
    <w:rsid w:val="00F31501"/>
    <w:rsid w:val="00F3402D"/>
    <w:rsid w:val="00F34E41"/>
    <w:rsid w:val="00F43C85"/>
    <w:rsid w:val="00F66BA5"/>
    <w:rsid w:val="00F746B3"/>
    <w:rsid w:val="00F82C22"/>
    <w:rsid w:val="00FC1398"/>
    <w:rsid w:val="00FC3039"/>
    <w:rsid w:val="00FC381D"/>
    <w:rsid w:val="00FC388D"/>
    <w:rsid w:val="02D23086"/>
    <w:rsid w:val="04131BA8"/>
    <w:rsid w:val="04C42EA2"/>
    <w:rsid w:val="061834A6"/>
    <w:rsid w:val="06AE7966"/>
    <w:rsid w:val="076D15CF"/>
    <w:rsid w:val="07FB4E2D"/>
    <w:rsid w:val="08510EF1"/>
    <w:rsid w:val="086C1887"/>
    <w:rsid w:val="0CFD1647"/>
    <w:rsid w:val="0F0C791F"/>
    <w:rsid w:val="0FFB370F"/>
    <w:rsid w:val="10AA38BB"/>
    <w:rsid w:val="11AC7198"/>
    <w:rsid w:val="12F62DC0"/>
    <w:rsid w:val="14A10B0A"/>
    <w:rsid w:val="156C2EC6"/>
    <w:rsid w:val="178C3CF3"/>
    <w:rsid w:val="18243F2C"/>
    <w:rsid w:val="1A587EBD"/>
    <w:rsid w:val="1C0D4CD7"/>
    <w:rsid w:val="20053523"/>
    <w:rsid w:val="20275CE4"/>
    <w:rsid w:val="214B077B"/>
    <w:rsid w:val="217E0CD6"/>
    <w:rsid w:val="227710FC"/>
    <w:rsid w:val="231F5A1C"/>
    <w:rsid w:val="25657932"/>
    <w:rsid w:val="28186EDD"/>
    <w:rsid w:val="28AD1D1C"/>
    <w:rsid w:val="2A0E67EA"/>
    <w:rsid w:val="2ACB7241"/>
    <w:rsid w:val="2B0D2567"/>
    <w:rsid w:val="2CFE2B46"/>
    <w:rsid w:val="2D0839C4"/>
    <w:rsid w:val="2D6A1F89"/>
    <w:rsid w:val="2F063F34"/>
    <w:rsid w:val="2F3C1703"/>
    <w:rsid w:val="31AC198D"/>
    <w:rsid w:val="337C084E"/>
    <w:rsid w:val="3388777A"/>
    <w:rsid w:val="33AD497E"/>
    <w:rsid w:val="344965DF"/>
    <w:rsid w:val="36BE50F4"/>
    <w:rsid w:val="390D04A7"/>
    <w:rsid w:val="3D22462E"/>
    <w:rsid w:val="3E9C5D1B"/>
    <w:rsid w:val="41BD0482"/>
    <w:rsid w:val="434C41B3"/>
    <w:rsid w:val="441A605F"/>
    <w:rsid w:val="44531571"/>
    <w:rsid w:val="445A2900"/>
    <w:rsid w:val="45967968"/>
    <w:rsid w:val="4A111CB3"/>
    <w:rsid w:val="4A3D294C"/>
    <w:rsid w:val="4BA83F51"/>
    <w:rsid w:val="4C7E2F03"/>
    <w:rsid w:val="4DB841F3"/>
    <w:rsid w:val="4F8C3B89"/>
    <w:rsid w:val="52DD286F"/>
    <w:rsid w:val="535A6478"/>
    <w:rsid w:val="58533496"/>
    <w:rsid w:val="5A290952"/>
    <w:rsid w:val="5DDC5CDC"/>
    <w:rsid w:val="5EC56770"/>
    <w:rsid w:val="5F702B80"/>
    <w:rsid w:val="61671D60"/>
    <w:rsid w:val="67982FB2"/>
    <w:rsid w:val="6B52582F"/>
    <w:rsid w:val="6C4E5FF7"/>
    <w:rsid w:val="6DAA54AF"/>
    <w:rsid w:val="6DBE0F5A"/>
    <w:rsid w:val="6E5042A8"/>
    <w:rsid w:val="6FB27E57"/>
    <w:rsid w:val="70451C9F"/>
    <w:rsid w:val="717D77DC"/>
    <w:rsid w:val="72D80D10"/>
    <w:rsid w:val="73B250BD"/>
    <w:rsid w:val="743608B6"/>
    <w:rsid w:val="74477EFB"/>
    <w:rsid w:val="746D092B"/>
    <w:rsid w:val="77E15F71"/>
    <w:rsid w:val="78F46178"/>
    <w:rsid w:val="79D3446D"/>
    <w:rsid w:val="7A960FFF"/>
    <w:rsid w:val="7EC5039A"/>
    <w:rsid w:val="7F3E014D"/>
    <w:rsid w:val="7F79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脚 字符"/>
    <w:basedOn w:val="9"/>
    <w:link w:val="4"/>
    <w:qFormat/>
    <w:uiPriority w:val="0"/>
    <w:rPr>
      <w:rFonts w:ascii="Times New Roman" w:hAnsi="Times New Roman" w:eastAsia="宋体" w:cs="Times New Roman"/>
      <w:sz w:val="18"/>
      <w:szCs w:val="18"/>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3">
    <w:name w:val="页眉 字符"/>
    <w:basedOn w:val="9"/>
    <w:link w:val="5"/>
    <w:qFormat/>
    <w:uiPriority w:val="99"/>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character" w:customStyle="1" w:styleId="15">
    <w:name w:val="highlight"/>
    <w:basedOn w:val="9"/>
    <w:qFormat/>
    <w:uiPriority w:val="0"/>
  </w:style>
  <w:style w:type="paragraph" w:styleId="16">
    <w:name w:val="List Paragraph"/>
    <w:basedOn w:val="1"/>
    <w:qFormat/>
    <w:uiPriority w:val="34"/>
    <w:pPr>
      <w:ind w:firstLine="420" w:firstLineChars="200"/>
    </w:pPr>
  </w:style>
  <w:style w:type="paragraph" w:customStyle="1" w:styleId="17">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18">
    <w:name w:val="批注文字 字符"/>
    <w:basedOn w:val="9"/>
    <w:link w:val="2"/>
    <w:semiHidden/>
    <w:qFormat/>
    <w:uiPriority w:val="99"/>
    <w:rPr>
      <w:rFonts w:ascii="Times New Roman" w:hAnsi="Times New Roman" w:eastAsia="宋体" w:cs="Times New Roman"/>
    </w:rPr>
  </w:style>
  <w:style w:type="character" w:customStyle="1" w:styleId="19">
    <w:name w:val="批注主题 字符"/>
    <w:basedOn w:val="18"/>
    <w:link w:val="6"/>
    <w:semiHidden/>
    <w:qFormat/>
    <w:uiPriority w:val="99"/>
    <w:rPr>
      <w:rFonts w:ascii="Times New Roman" w:hAnsi="Times New Roman" w:eastAsia="宋体"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3189</Words>
  <Characters>3580</Characters>
  <Lines>34</Lines>
  <Paragraphs>9</Paragraphs>
  <TotalTime>435</TotalTime>
  <ScaleCrop>false</ScaleCrop>
  <LinksUpToDate>false</LinksUpToDate>
  <CharactersWithSpaces>3704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2020-12-15T01:18:00Z</dcterms:created>
  <dc:creator>万兵</dc:creator>
  <cp:lastModifiedBy>董办</cp:lastModifiedBy>
  <cp:lastPrinted>2020-08-19T08:50:00Z</cp:lastPrinted>
  <dcterms:modified xsi:type="dcterms:W3CDTF">2025-01-08T02:00:36Z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eyJoZGlkIjoiYzM4OTAwMTJhNDgzYjhlZTU0NTA3NGU0MmYxNzIxZTMiLCJ1c2VySWQiOiIxMDAwMzc2NzY0In0=</vt:lpwstr>
  </property>
  <property fmtid="{D5CDD505-2E9C-101B-9397-08002B2CF9AE}" pid="3" name="KSOProductBuildVer">
    <vt:lpwstr>2052-12.1.0.19770</vt:lpwstr>
  </property>
  <property fmtid="{D5CDD505-2E9C-101B-9397-08002B2CF9AE}" pid="4" name="ICV">
    <vt:lpwstr>87BC0ACD62464F13A40A1CAB2B51CCB3_13</vt:lpwstr>
  </property>
</Properties>
</file>