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B7D3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2FA8D72B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3EFD1701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编号：2025-001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23C8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4AF1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C785ACB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26C5F2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5C40788B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4EE93FF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9C386D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71C5DED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0CF716F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61F4637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315573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CE0713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2CECC13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26E3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23C8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0B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10:30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30</w:t>
            </w:r>
            <w:r>
              <w:rPr>
                <w:rFonts w:hint="eastAsia" w:ascii="Times New Roman" w:hAnsi="Times New Roman"/>
                <w:szCs w:val="21"/>
              </w:rPr>
              <w:t xml:space="preserve">  电话会议</w:t>
            </w:r>
          </w:p>
          <w:p w14:paraId="2E349B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招商证券王先爽、广发基金冉宇航、新华资产张勇、易方达基金沐华、招商基金张贝诗、中欧基金陈巍、汇添富基金吴冠霖、平安资产王可、国寿资产周洁、泰康资产陈功、富国基金徐健荣、兴全基金何悦、平安养老吴绪越</w:t>
            </w:r>
          </w:p>
          <w:p w14:paraId="5455B3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14:00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 xml:space="preserve">  现场会议</w:t>
            </w:r>
          </w:p>
          <w:p w14:paraId="34607E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信达证券张晓辉、国金基金叶思彤、博时基金姚城玉、华夏未来资本王钟琪、首创证券马惠宇、国泰君安证券徐馨依、中金公司程雨婵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14:paraId="4807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D959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7A49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C9C4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61257E5E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副行长、董事会秘书胡金良，以及公司银行部、个人信贷部、风险管理部、计财部、董事会办公室相关人员</w:t>
            </w:r>
          </w:p>
        </w:tc>
      </w:tr>
      <w:tr w14:paraId="0166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C011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7B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422" w:firstLineChars="20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1.请问年初信贷</w:t>
            </w:r>
            <w:r>
              <w:rPr>
                <w:rFonts w:ascii="Times New Roman" w:hAnsi="Times New Roman"/>
                <w:b/>
                <w:bCs/>
              </w:rPr>
              <w:t>投放</w:t>
            </w:r>
            <w:r>
              <w:rPr>
                <w:rFonts w:hint="eastAsia" w:ascii="Times New Roman" w:hAnsi="Times New Roman"/>
                <w:b/>
                <w:bCs/>
              </w:rPr>
              <w:t>情况如何，</w:t>
            </w:r>
            <w:r>
              <w:rPr>
                <w:rFonts w:ascii="Times New Roman" w:hAnsi="Times New Roman"/>
                <w:b/>
                <w:bCs/>
              </w:rPr>
              <w:t>全年有何规划</w:t>
            </w:r>
            <w:r>
              <w:rPr>
                <w:rFonts w:hint="eastAsia" w:ascii="Times New Roman" w:hAnsi="Times New Roman"/>
                <w:b/>
                <w:bCs/>
              </w:rPr>
              <w:t>？</w:t>
            </w:r>
          </w:p>
          <w:p w14:paraId="3CCF4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420" w:firstLineChars="20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答：本行</w:t>
            </w:r>
            <w:r>
              <w:rPr>
                <w:rFonts w:ascii="Times New Roman" w:hAnsi="Times New Roman"/>
              </w:rPr>
              <w:t>坚持早</w:t>
            </w:r>
            <w:r>
              <w:rPr>
                <w:rFonts w:hint="eastAsia" w:ascii="Times New Roman" w:hAnsi="Times New Roman"/>
              </w:rPr>
              <w:t>谋划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hint="eastAsia" w:ascii="Times New Roman" w:hAnsi="Times New Roman"/>
              </w:rPr>
              <w:t>早投放、早落地，推动各</w:t>
            </w:r>
            <w:r>
              <w:rPr>
                <w:rFonts w:ascii="Times New Roman" w:hAnsi="Times New Roman"/>
              </w:rPr>
              <w:t>业务</w:t>
            </w:r>
            <w:r>
              <w:rPr>
                <w:rFonts w:hint="eastAsia" w:ascii="Times New Roman" w:hAnsi="Times New Roman"/>
              </w:rPr>
              <w:t>板块协同发力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hint="eastAsia" w:ascii="Times New Roman" w:hAnsi="Times New Roman"/>
              </w:rPr>
              <w:t>目前项目</w:t>
            </w:r>
            <w:r>
              <w:rPr>
                <w:rFonts w:ascii="Times New Roman" w:hAnsi="Times New Roman"/>
              </w:rPr>
              <w:t>储备</w:t>
            </w:r>
            <w:r>
              <w:rPr>
                <w:rFonts w:hint="eastAsia" w:ascii="Times New Roman" w:hAnsi="Times New Roman"/>
              </w:rPr>
              <w:t>规模高于</w:t>
            </w:r>
            <w:r>
              <w:rPr>
                <w:rFonts w:ascii="Times New Roman" w:hAnsi="Times New Roman"/>
              </w:rPr>
              <w:t>去年同期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信贷投放情况良好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实现良好开局。</w:t>
            </w:r>
            <w:r>
              <w:rPr>
                <w:rFonts w:hint="eastAsia" w:ascii="Times New Roman" w:hAnsi="Times New Roman"/>
              </w:rPr>
              <w:t>下一步，将持续聚焦科创、绿色、普惠、消费等领域，不断丰富产品供给，加大金融支持力度，预计全年信贷投放保持均衡稳定增长。</w:t>
            </w:r>
          </w:p>
          <w:p w14:paraId="00E1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422" w:firstLineChars="20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2. 如何展望202</w:t>
            </w:r>
            <w:r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hint="eastAsia" w:ascii="Times New Roman" w:hAnsi="Times New Roman"/>
                <w:b/>
                <w:bCs/>
              </w:rPr>
              <w:t>年资产质量</w:t>
            </w:r>
            <w:r>
              <w:rPr>
                <w:rFonts w:ascii="Times New Roman" w:hAnsi="Times New Roman"/>
                <w:b/>
                <w:bCs/>
              </w:rPr>
              <w:t>？</w:t>
            </w:r>
          </w:p>
          <w:p w14:paraId="4A5988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420" w:firstLineChars="20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hint="eastAsia" w:ascii="Times New Roman" w:hAnsi="Times New Roman"/>
              </w:rPr>
              <w:t>本行持续强化风险防控</w:t>
            </w:r>
            <w:r>
              <w:rPr>
                <w:rFonts w:ascii="Times New Roman" w:hAnsi="Times New Roman"/>
              </w:rPr>
              <w:t>和过程管理</w:t>
            </w:r>
            <w:r>
              <w:rPr>
                <w:rFonts w:hint="eastAsia" w:ascii="Times New Roman" w:hAnsi="Times New Roman"/>
              </w:rPr>
              <w:t>，主要资产质量指标连续多年逐季改善。下一步，将进一步完善预警管理机制，加强重点领域和潜在风险管理，推动金融科技建设，不断提升智能风控水平，预计全年资产质量延续向好趋势</w:t>
            </w:r>
            <w:r>
              <w:rPr>
                <w:rFonts w:ascii="Times New Roman" w:hAnsi="Times New Roman"/>
              </w:rPr>
              <w:t>。</w:t>
            </w:r>
          </w:p>
        </w:tc>
      </w:tr>
      <w:tr w14:paraId="5663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2F3C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14:paraId="3284DA20">
      <w:pPr>
        <w:widowControl/>
        <w:jc w:val="lef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6D0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0055C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0055C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88916"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C5F"/>
    <w:rsid w:val="00004450"/>
    <w:rsid w:val="000163C5"/>
    <w:rsid w:val="0002108D"/>
    <w:rsid w:val="00021AB3"/>
    <w:rsid w:val="000327F7"/>
    <w:rsid w:val="0003699D"/>
    <w:rsid w:val="00037382"/>
    <w:rsid w:val="00044A8C"/>
    <w:rsid w:val="00050651"/>
    <w:rsid w:val="000557CB"/>
    <w:rsid w:val="00060EC2"/>
    <w:rsid w:val="0006462C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101ED7"/>
    <w:rsid w:val="00102F9D"/>
    <w:rsid w:val="00103B3B"/>
    <w:rsid w:val="00104152"/>
    <w:rsid w:val="00104EA0"/>
    <w:rsid w:val="0011242B"/>
    <w:rsid w:val="00113E0B"/>
    <w:rsid w:val="00121C9E"/>
    <w:rsid w:val="00130E2A"/>
    <w:rsid w:val="00135729"/>
    <w:rsid w:val="00136E8E"/>
    <w:rsid w:val="0015525B"/>
    <w:rsid w:val="001905A8"/>
    <w:rsid w:val="001913A7"/>
    <w:rsid w:val="001C20EA"/>
    <w:rsid w:val="001C5F3A"/>
    <w:rsid w:val="001E043B"/>
    <w:rsid w:val="001E48D4"/>
    <w:rsid w:val="001F7944"/>
    <w:rsid w:val="00201BC9"/>
    <w:rsid w:val="00205EE8"/>
    <w:rsid w:val="00212D4B"/>
    <w:rsid w:val="00213AFD"/>
    <w:rsid w:val="002210D3"/>
    <w:rsid w:val="00247CFA"/>
    <w:rsid w:val="00271581"/>
    <w:rsid w:val="00277B04"/>
    <w:rsid w:val="002915A4"/>
    <w:rsid w:val="00292FAC"/>
    <w:rsid w:val="002961B7"/>
    <w:rsid w:val="002A0533"/>
    <w:rsid w:val="002B19CB"/>
    <w:rsid w:val="002B3622"/>
    <w:rsid w:val="002B5758"/>
    <w:rsid w:val="002C75FB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82046"/>
    <w:rsid w:val="00386A5D"/>
    <w:rsid w:val="003A1F6F"/>
    <w:rsid w:val="003A3F35"/>
    <w:rsid w:val="003A6FC4"/>
    <w:rsid w:val="003B6AE9"/>
    <w:rsid w:val="003C1DE8"/>
    <w:rsid w:val="003C34DC"/>
    <w:rsid w:val="003D31E1"/>
    <w:rsid w:val="003D4540"/>
    <w:rsid w:val="003E0DEE"/>
    <w:rsid w:val="003F5506"/>
    <w:rsid w:val="00401509"/>
    <w:rsid w:val="00402317"/>
    <w:rsid w:val="00403DEC"/>
    <w:rsid w:val="00404E98"/>
    <w:rsid w:val="004065FA"/>
    <w:rsid w:val="00412B3C"/>
    <w:rsid w:val="00413365"/>
    <w:rsid w:val="004159F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443AF"/>
    <w:rsid w:val="00550EA7"/>
    <w:rsid w:val="00554042"/>
    <w:rsid w:val="005635F7"/>
    <w:rsid w:val="005652E1"/>
    <w:rsid w:val="00570A2E"/>
    <w:rsid w:val="00572275"/>
    <w:rsid w:val="005765A6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C0F52"/>
    <w:rsid w:val="005C3996"/>
    <w:rsid w:val="005C5336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45C1E"/>
    <w:rsid w:val="00855986"/>
    <w:rsid w:val="0085799B"/>
    <w:rsid w:val="00860E21"/>
    <w:rsid w:val="00866464"/>
    <w:rsid w:val="00872123"/>
    <w:rsid w:val="00877A1E"/>
    <w:rsid w:val="00880EF2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607C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3634"/>
    <w:rsid w:val="00A02EB5"/>
    <w:rsid w:val="00A13431"/>
    <w:rsid w:val="00A212C7"/>
    <w:rsid w:val="00A2258D"/>
    <w:rsid w:val="00A27F98"/>
    <w:rsid w:val="00A46E8D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7B92"/>
    <w:rsid w:val="00BA023C"/>
    <w:rsid w:val="00BA277C"/>
    <w:rsid w:val="00BA72C6"/>
    <w:rsid w:val="00BB6EAD"/>
    <w:rsid w:val="00BC1818"/>
    <w:rsid w:val="00BC324F"/>
    <w:rsid w:val="00BC62A8"/>
    <w:rsid w:val="00BD1167"/>
    <w:rsid w:val="00BE7E1F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A8B"/>
    <w:rsid w:val="00CB3265"/>
    <w:rsid w:val="00CB361A"/>
    <w:rsid w:val="00CB49E7"/>
    <w:rsid w:val="00CC1F1D"/>
    <w:rsid w:val="00CC58EF"/>
    <w:rsid w:val="00CC6276"/>
    <w:rsid w:val="00CE2291"/>
    <w:rsid w:val="00CF7890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65A6"/>
    <w:rsid w:val="00DC3D15"/>
    <w:rsid w:val="00DD25E8"/>
    <w:rsid w:val="00DE13B8"/>
    <w:rsid w:val="00DE47CA"/>
    <w:rsid w:val="00DE4EFE"/>
    <w:rsid w:val="00E04B0B"/>
    <w:rsid w:val="00E24A20"/>
    <w:rsid w:val="00E304A7"/>
    <w:rsid w:val="00E3501F"/>
    <w:rsid w:val="00E41520"/>
    <w:rsid w:val="00E519C1"/>
    <w:rsid w:val="00E612AD"/>
    <w:rsid w:val="00E8244E"/>
    <w:rsid w:val="00E8629E"/>
    <w:rsid w:val="00E92DC1"/>
    <w:rsid w:val="00E93AD7"/>
    <w:rsid w:val="00EA3004"/>
    <w:rsid w:val="00EA3373"/>
    <w:rsid w:val="00EB0BD0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4ED6"/>
    <w:rsid w:val="00F37AEC"/>
    <w:rsid w:val="00F40147"/>
    <w:rsid w:val="00F424E0"/>
    <w:rsid w:val="00F4708C"/>
    <w:rsid w:val="00F513A1"/>
    <w:rsid w:val="00F543A8"/>
    <w:rsid w:val="00F616FE"/>
    <w:rsid w:val="00F74CF8"/>
    <w:rsid w:val="00F7530C"/>
    <w:rsid w:val="00F837C0"/>
    <w:rsid w:val="00F8725F"/>
    <w:rsid w:val="00F87AEE"/>
    <w:rsid w:val="00F87B5A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575456B"/>
    <w:rsid w:val="17040C9F"/>
    <w:rsid w:val="17C50FB3"/>
    <w:rsid w:val="18495740"/>
    <w:rsid w:val="18A23CA4"/>
    <w:rsid w:val="18AB3604"/>
    <w:rsid w:val="196A1E12"/>
    <w:rsid w:val="19B47531"/>
    <w:rsid w:val="19DC4392"/>
    <w:rsid w:val="1A355A2D"/>
    <w:rsid w:val="1B13356B"/>
    <w:rsid w:val="1B4B2562"/>
    <w:rsid w:val="1D44297A"/>
    <w:rsid w:val="1D7F7A30"/>
    <w:rsid w:val="1D9E3215"/>
    <w:rsid w:val="1E821BFB"/>
    <w:rsid w:val="1EA062D6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A365403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791103"/>
    <w:rsid w:val="37D7504D"/>
    <w:rsid w:val="38417ADA"/>
    <w:rsid w:val="384F24A7"/>
    <w:rsid w:val="385329E1"/>
    <w:rsid w:val="385E26EA"/>
    <w:rsid w:val="3929719C"/>
    <w:rsid w:val="394A0EC1"/>
    <w:rsid w:val="3B8E46B8"/>
    <w:rsid w:val="3BC31C35"/>
    <w:rsid w:val="3CF25AF7"/>
    <w:rsid w:val="3E693637"/>
    <w:rsid w:val="3EC139D3"/>
    <w:rsid w:val="3F1A1C1B"/>
    <w:rsid w:val="3F7D78FA"/>
    <w:rsid w:val="3FA73C06"/>
    <w:rsid w:val="42A62B07"/>
    <w:rsid w:val="442944F4"/>
    <w:rsid w:val="44780FD8"/>
    <w:rsid w:val="45875BB2"/>
    <w:rsid w:val="45941E41"/>
    <w:rsid w:val="45F07792"/>
    <w:rsid w:val="46821838"/>
    <w:rsid w:val="47FE7C35"/>
    <w:rsid w:val="480D1A37"/>
    <w:rsid w:val="484641FC"/>
    <w:rsid w:val="487970CD"/>
    <w:rsid w:val="48E11CA1"/>
    <w:rsid w:val="48F37297"/>
    <w:rsid w:val="496B24DA"/>
    <w:rsid w:val="49C66341"/>
    <w:rsid w:val="4B1D4687"/>
    <w:rsid w:val="4B6A2C77"/>
    <w:rsid w:val="4C20320A"/>
    <w:rsid w:val="4C620684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F72976"/>
    <w:rsid w:val="70DD4149"/>
    <w:rsid w:val="70E23646"/>
    <w:rsid w:val="71A11903"/>
    <w:rsid w:val="71B46801"/>
    <w:rsid w:val="72B516BA"/>
    <w:rsid w:val="731A1328"/>
    <w:rsid w:val="7424288C"/>
    <w:rsid w:val="767753EB"/>
    <w:rsid w:val="771E0557"/>
    <w:rsid w:val="77446149"/>
    <w:rsid w:val="77C83101"/>
    <w:rsid w:val="78B1701F"/>
    <w:rsid w:val="79250509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643"/>
    </w:p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605</Words>
  <Characters>652</Characters>
  <Lines>5</Lines>
  <Paragraphs>1</Paragraphs>
  <TotalTime>504</TotalTime>
  <ScaleCrop>false</ScaleCrop>
  <LinksUpToDate>false</LinksUpToDate>
  <CharactersWithSpaces>748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明</cp:lastModifiedBy>
  <dcterms:modified xsi:type="dcterms:W3CDTF">2025-01-10T07:44:41Z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5DBC886DFA3C44DA8643123F69C98E02_13</vt:lpwstr>
  </property>
  <property fmtid="{D5CDD505-2E9C-101B-9397-08002B2CF9AE}" pid="4" name="KSOTemplateDocerSaveRecord">
    <vt:lpwstr>eyJoZGlkIjoiOTUwZGViYzZiZjg0OGE4NmU3ZWE0NjVjMzIzNTcyYzciLCJ1c2VySWQiOiI0MjYxNjI1MDUifQ==</vt:lpwstr>
  </property>
</Properties>
</file>