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ascii="宋体" w:hAnsi="宋体"/>
        </w:rPr>
      </w:pPr>
      <w:r>
        <w:rPr>
          <w:rFonts w:hint="eastAsia" w:ascii="宋体" w:hAnsi="宋体"/>
        </w:rPr>
        <w:t>编号：2025-001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adjustRightInd w:val="0"/>
              <w:snapToGrid w:val="0"/>
              <w:spacing w:line="348" w:lineRule="auto"/>
              <w:rPr>
                <w:b/>
                <w:bCs/>
                <w:iCs/>
                <w:sz w:val="24"/>
              </w:rPr>
            </w:pPr>
            <w:r>
              <w:rPr>
                <w:b/>
                <w:bCs/>
                <w:iCs/>
                <w:sz w:val="24"/>
              </w:rPr>
              <w:t>投资者关系活动类别</w:t>
            </w:r>
          </w:p>
        </w:tc>
        <w:tc>
          <w:tcPr>
            <w:tcW w:w="6996" w:type="dxa"/>
            <w:vAlign w:val="center"/>
          </w:tcPr>
          <w:p w14:paraId="27B2D59F">
            <w:pPr>
              <w:adjustRightInd w:val="0"/>
              <w:snapToGrid w:val="0"/>
              <w:spacing w:line="348"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adjustRightInd w:val="0"/>
              <w:snapToGrid w:val="0"/>
              <w:spacing w:line="348" w:lineRule="auto"/>
              <w:rPr>
                <w:bCs/>
                <w:iCs/>
                <w:sz w:val="24"/>
                <w:szCs w:val="24"/>
              </w:rPr>
            </w:pPr>
            <w:bookmarkStart w:id="0" w:name="_GoBack"/>
            <w:bookmarkEnd w:id="0"/>
            <w:r>
              <w:rPr>
                <w:sz w:val="24"/>
                <w:szCs w:val="24"/>
              </w:rPr>
              <w:sym w:font="Wingdings 2" w:char="00A3"/>
            </w:r>
            <w:r>
              <w:rPr>
                <w:sz w:val="24"/>
                <w:szCs w:val="24"/>
              </w:rPr>
              <w:t>电话会议</w:t>
            </w:r>
          </w:p>
          <w:p w14:paraId="3F9F99B1">
            <w:pPr>
              <w:pStyle w:val="25"/>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adjustRightInd w:val="0"/>
              <w:snapToGrid w:val="0"/>
              <w:spacing w:line="348" w:lineRule="auto"/>
              <w:rPr>
                <w:b/>
                <w:bCs/>
                <w:iCs/>
                <w:sz w:val="24"/>
              </w:rPr>
            </w:pPr>
            <w:r>
              <w:rPr>
                <w:b/>
                <w:bCs/>
                <w:iCs/>
                <w:sz w:val="24"/>
              </w:rPr>
              <w:t>参与单位名称及人员姓名</w:t>
            </w:r>
          </w:p>
        </w:tc>
        <w:tc>
          <w:tcPr>
            <w:tcW w:w="6996" w:type="dxa"/>
            <w:vAlign w:val="center"/>
          </w:tcPr>
          <w:p w14:paraId="5454FFE8">
            <w:pPr>
              <w:spacing w:line="348" w:lineRule="auto"/>
              <w:textAlignment w:val="baseline"/>
              <w:rPr>
                <w:rFonts w:ascii="Times New Roman" w:hAnsi="Times New Roman"/>
                <w:sz w:val="24"/>
                <w:szCs w:val="24"/>
              </w:rPr>
            </w:pPr>
            <w:r>
              <w:rPr>
                <w:rFonts w:hint="eastAsia" w:ascii="Times New Roman" w:hAnsi="Times New Roman"/>
                <w:sz w:val="24"/>
                <w:szCs w:val="24"/>
              </w:rPr>
              <w:t>国联证券 叶 鑫</w:t>
            </w:r>
          </w:p>
          <w:p w14:paraId="03F01FBC">
            <w:pPr>
              <w:spacing w:line="348" w:lineRule="auto"/>
              <w:textAlignment w:val="baseline"/>
              <w:rPr>
                <w:rFonts w:ascii="Times New Roman" w:hAnsi="Times New Roman"/>
                <w:sz w:val="24"/>
                <w:szCs w:val="24"/>
              </w:rPr>
            </w:pPr>
            <w:r>
              <w:rPr>
                <w:rFonts w:ascii="Times New Roman" w:hAnsi="Times New Roman"/>
                <w:sz w:val="24"/>
                <w:szCs w:val="24"/>
              </w:rPr>
              <w:t>国信证券</w:t>
            </w:r>
            <w:r>
              <w:rPr>
                <w:rFonts w:hint="eastAsia" w:ascii="Times New Roman" w:hAnsi="Times New Roman"/>
                <w:sz w:val="24"/>
                <w:szCs w:val="24"/>
              </w:rPr>
              <w:t xml:space="preserve"> 王新航</w:t>
            </w:r>
          </w:p>
          <w:p w14:paraId="45D0E86C">
            <w:pPr>
              <w:spacing w:line="348" w:lineRule="auto"/>
              <w:textAlignment w:val="baseline"/>
              <w:rPr>
                <w:rFonts w:ascii="Times New Roman" w:hAnsi="Times New Roman"/>
                <w:sz w:val="24"/>
                <w:szCs w:val="24"/>
              </w:rPr>
            </w:pPr>
            <w:r>
              <w:rPr>
                <w:rFonts w:hint="eastAsia" w:ascii="Times New Roman" w:hAnsi="Times New Roman"/>
                <w:sz w:val="24"/>
                <w:szCs w:val="24"/>
              </w:rPr>
              <w:t>开源证券</w:t>
            </w:r>
            <w:r>
              <w:rPr>
                <w:rFonts w:ascii="Times New Roman" w:hAnsi="Times New Roman"/>
                <w:sz w:val="24"/>
                <w:szCs w:val="24"/>
              </w:rPr>
              <w:t xml:space="preserve"> </w:t>
            </w:r>
            <w:r>
              <w:rPr>
                <w:rFonts w:hint="eastAsia" w:ascii="Times New Roman" w:hAnsi="Times New Roman"/>
                <w:sz w:val="24"/>
                <w:szCs w:val="24"/>
              </w:rPr>
              <w:t>李思佳</w:t>
            </w:r>
          </w:p>
          <w:p w14:paraId="7A71617B">
            <w:pPr>
              <w:spacing w:line="348" w:lineRule="auto"/>
              <w:textAlignment w:val="baseline"/>
              <w:rPr>
                <w:rFonts w:ascii="Times New Roman" w:hAnsi="Times New Roman"/>
                <w:sz w:val="24"/>
                <w:szCs w:val="24"/>
              </w:rPr>
            </w:pPr>
            <w:r>
              <w:rPr>
                <w:rFonts w:hint="eastAsia" w:ascii="Times New Roman" w:hAnsi="Times New Roman"/>
                <w:sz w:val="24"/>
                <w:szCs w:val="24"/>
              </w:rPr>
              <w:t>国泰君安证券 黄 龙</w:t>
            </w:r>
          </w:p>
          <w:p w14:paraId="5411D1EC">
            <w:pPr>
              <w:spacing w:line="348" w:lineRule="auto"/>
              <w:textAlignment w:val="baseline"/>
              <w:rPr>
                <w:rFonts w:ascii="Times New Roman" w:hAnsi="Times New Roman"/>
                <w:sz w:val="24"/>
                <w:szCs w:val="24"/>
              </w:rPr>
            </w:pPr>
            <w:r>
              <w:rPr>
                <w:rFonts w:hint="eastAsia" w:ascii="Times New Roman" w:hAnsi="Times New Roman"/>
                <w:sz w:val="24"/>
                <w:szCs w:val="24"/>
              </w:rPr>
              <w:t>广发证券 史嘉麒</w:t>
            </w:r>
          </w:p>
          <w:p w14:paraId="3E43E3E8">
            <w:pPr>
              <w:spacing w:line="348" w:lineRule="auto"/>
              <w:textAlignment w:val="baseline"/>
              <w:rPr>
                <w:rFonts w:ascii="Times New Roman" w:hAnsi="Times New Roman"/>
                <w:sz w:val="24"/>
                <w:szCs w:val="24"/>
              </w:rPr>
            </w:pPr>
            <w:r>
              <w:rPr>
                <w:rFonts w:hint="eastAsia" w:ascii="Times New Roman" w:hAnsi="Times New Roman"/>
                <w:sz w:val="24"/>
                <w:szCs w:val="24"/>
              </w:rPr>
              <w:t>浙商基金 杜旭赟</w:t>
            </w:r>
          </w:p>
          <w:p w14:paraId="6449C8C3">
            <w:pPr>
              <w:spacing w:line="348" w:lineRule="auto"/>
              <w:textAlignment w:val="baseline"/>
              <w:rPr>
                <w:rFonts w:ascii="Times New Roman" w:hAnsi="Times New Roman"/>
                <w:sz w:val="24"/>
                <w:szCs w:val="24"/>
              </w:rPr>
            </w:pPr>
            <w:r>
              <w:rPr>
                <w:rFonts w:hint="eastAsia" w:ascii="Times New Roman" w:hAnsi="Times New Roman"/>
                <w:sz w:val="24"/>
                <w:szCs w:val="24"/>
              </w:rPr>
              <w:t>泓德基金 刘运昌</w:t>
            </w:r>
          </w:p>
          <w:p w14:paraId="4AC18F0D">
            <w:pPr>
              <w:spacing w:line="348" w:lineRule="auto"/>
              <w:textAlignment w:val="baseline"/>
              <w:rPr>
                <w:rFonts w:ascii="Times New Roman" w:hAnsi="Times New Roman"/>
                <w:sz w:val="24"/>
                <w:szCs w:val="24"/>
              </w:rPr>
            </w:pPr>
            <w:r>
              <w:rPr>
                <w:rFonts w:ascii="Times New Roman" w:hAnsi="Times New Roman"/>
                <w:sz w:val="24"/>
                <w:szCs w:val="24"/>
              </w:rPr>
              <w:t>中华联合人寿保险</w:t>
            </w:r>
            <w:r>
              <w:rPr>
                <w:rFonts w:hint="eastAsia" w:ascii="Times New Roman" w:hAnsi="Times New Roman"/>
                <w:sz w:val="24"/>
                <w:szCs w:val="24"/>
              </w:rPr>
              <w:t xml:space="preserve"> 袁超</w:t>
            </w:r>
          </w:p>
          <w:p w14:paraId="5F479A92">
            <w:pPr>
              <w:spacing w:line="348" w:lineRule="auto"/>
              <w:textAlignment w:val="baseline"/>
              <w:rPr>
                <w:rFonts w:ascii="Times New Roman" w:hAnsi="Times New Roman"/>
                <w:sz w:val="24"/>
                <w:szCs w:val="24"/>
              </w:rPr>
            </w:pPr>
            <w:r>
              <w:rPr>
                <w:rFonts w:hint="eastAsia" w:ascii="Times New Roman" w:hAnsi="Times New Roman"/>
                <w:sz w:val="24"/>
                <w:szCs w:val="24"/>
              </w:rPr>
              <w:t>国信资管 张浩冉</w:t>
            </w:r>
          </w:p>
          <w:p w14:paraId="1368A2FD">
            <w:pPr>
              <w:spacing w:line="348" w:lineRule="auto"/>
              <w:textAlignment w:val="baseline"/>
              <w:rPr>
                <w:rFonts w:ascii="Times New Roman" w:hAnsi="Times New Roman"/>
                <w:sz w:val="24"/>
                <w:szCs w:val="24"/>
              </w:rPr>
            </w:pPr>
            <w:r>
              <w:rPr>
                <w:rFonts w:hint="eastAsia" w:ascii="Times New Roman" w:hAnsi="Times New Roman"/>
                <w:sz w:val="24"/>
                <w:szCs w:val="24"/>
              </w:rPr>
              <w:t>德茂资本 赵启瑞</w:t>
            </w:r>
          </w:p>
          <w:p w14:paraId="2F2CF26E">
            <w:pPr>
              <w:spacing w:line="348" w:lineRule="auto"/>
              <w:textAlignment w:val="baseline"/>
              <w:rPr>
                <w:rFonts w:ascii="Times New Roman" w:hAnsi="Times New Roman"/>
                <w:sz w:val="24"/>
                <w:szCs w:val="24"/>
              </w:rPr>
            </w:pPr>
            <w:r>
              <w:rPr>
                <w:rFonts w:hint="eastAsia" w:ascii="Times New Roman" w:hAnsi="Times New Roman"/>
                <w:sz w:val="24"/>
                <w:szCs w:val="24"/>
              </w:rPr>
              <w:t>中大君悦投资 曲芳 吴季轩</w:t>
            </w:r>
          </w:p>
          <w:p w14:paraId="616F52F6">
            <w:pPr>
              <w:spacing w:line="348" w:lineRule="auto"/>
              <w:textAlignment w:val="baseline"/>
              <w:rPr>
                <w:rFonts w:ascii="Times New Roman" w:hAnsi="Times New Roman"/>
                <w:sz w:val="24"/>
                <w:szCs w:val="24"/>
              </w:rPr>
            </w:pPr>
            <w:r>
              <w:rPr>
                <w:rFonts w:hint="eastAsia" w:ascii="Times New Roman" w:hAnsi="Times New Roman"/>
                <w:sz w:val="24"/>
                <w:szCs w:val="24"/>
              </w:rPr>
              <w:t xml:space="preserve">博衍基金 徐腾达 </w:t>
            </w:r>
          </w:p>
          <w:p w14:paraId="6CF88DB4">
            <w:pPr>
              <w:spacing w:line="348" w:lineRule="auto"/>
              <w:textAlignment w:val="baseline"/>
              <w:rPr>
                <w:rFonts w:ascii="Times New Roman" w:hAnsi="Times New Roman"/>
                <w:sz w:val="24"/>
                <w:szCs w:val="24"/>
              </w:rPr>
            </w:pPr>
            <w:r>
              <w:rPr>
                <w:rFonts w:hint="eastAsia" w:ascii="Times New Roman" w:hAnsi="Times New Roman"/>
                <w:sz w:val="24"/>
                <w:szCs w:val="24"/>
              </w:rPr>
              <w:t>紫薇基金 王冰</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spacing w:line="348" w:lineRule="auto"/>
              <w:rPr>
                <w:rFonts w:ascii="Times New Roman" w:hAnsi="Times New Roman"/>
                <w:iCs/>
                <w:sz w:val="24"/>
              </w:rPr>
            </w:pPr>
            <w:r>
              <w:rPr>
                <w:rFonts w:hint="eastAsia" w:ascii="Times New Roman" w:hAnsi="Times New Roman"/>
                <w:iCs/>
                <w:sz w:val="24"/>
              </w:rPr>
              <w:t>2024年12月19日至2025年1月17日</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spacing w:line="348"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adjustRightInd w:val="0"/>
              <w:snapToGrid w:val="0"/>
              <w:spacing w:line="348" w:lineRule="auto"/>
              <w:rPr>
                <w:b/>
                <w:bCs/>
                <w:iCs/>
                <w:sz w:val="24"/>
              </w:rPr>
            </w:pPr>
            <w:r>
              <w:rPr>
                <w:rFonts w:hint="eastAsia"/>
                <w:b/>
                <w:bCs/>
                <w:iCs/>
                <w:sz w:val="24"/>
              </w:rPr>
              <w:t>投资者关系活动主要内容介绍</w:t>
            </w:r>
          </w:p>
        </w:tc>
        <w:tc>
          <w:tcPr>
            <w:tcW w:w="6996" w:type="dxa"/>
          </w:tcPr>
          <w:p w14:paraId="659160B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首先向投资者简要介绍公司近期经营状况，民爆业务、军工新材料业务情况，随后针对投资者关心的重点问题作了具体交流如下：</w:t>
            </w:r>
          </w:p>
          <w:p w14:paraId="70E7541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1、公司数码电子雷管产销情况，省内及省外的占比情况，有无价格优势？</w:t>
            </w:r>
          </w:p>
          <w:p w14:paraId="46D45B24">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答：2024年前三季度，公司数码电子雷管产量1,990.15万发，销量1,924.65万发，实现营业收入26,879.31万元，公司数码电子雷管在省内及省外的占比约为7:3。</w:t>
            </w:r>
          </w:p>
          <w:p w14:paraId="54F3519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公司是江西省唯一的雷管生产企业，并自主生产雷管脚线（自用及配套其他雷管生产企业）。公司的数码电子雷管布局较早，并在省内外市场大力推广，对省内市场的掌控力较强、对周边市场的覆盖面较广，积累了大批客户资源，</w:t>
            </w:r>
            <w:r>
              <w:rPr>
                <w:rFonts w:ascii="宋体" w:hAnsi="宋体" w:cs="宋体"/>
                <w:sz w:val="24"/>
                <w:szCs w:val="24"/>
              </w:rPr>
              <w:t>具有一定</w:t>
            </w:r>
            <w:r>
              <w:rPr>
                <w:rFonts w:hint="eastAsia" w:ascii="宋体" w:hAnsi="宋体" w:cs="宋体"/>
                <w:sz w:val="24"/>
                <w:szCs w:val="24"/>
              </w:rPr>
              <w:t>的</w:t>
            </w:r>
            <w:r>
              <w:rPr>
                <w:rFonts w:ascii="宋体" w:hAnsi="宋体" w:cs="宋体"/>
                <w:sz w:val="24"/>
                <w:szCs w:val="24"/>
              </w:rPr>
              <w:t>区位优势</w:t>
            </w:r>
            <w:r>
              <w:rPr>
                <w:rFonts w:hint="eastAsia" w:ascii="宋体" w:hAnsi="宋体" w:cs="宋体"/>
                <w:sz w:val="24"/>
                <w:szCs w:val="24"/>
              </w:rPr>
              <w:t>。随着2024年芯片模组招采的价格下浮幅度较大，公司数码电子雷管具有一定的成本优势及竞争优势。</w:t>
            </w:r>
          </w:p>
          <w:p w14:paraId="2ADD640A">
            <w:pPr>
              <w:adjustRightInd w:val="0"/>
              <w:snapToGrid w:val="0"/>
              <w:spacing w:line="336" w:lineRule="auto"/>
              <w:ind w:firstLine="480" w:firstLineChars="200"/>
              <w:rPr>
                <w:rFonts w:ascii="宋体" w:hAnsi="宋体" w:cs="宋体"/>
                <w:sz w:val="24"/>
                <w:szCs w:val="24"/>
              </w:rPr>
            </w:pPr>
          </w:p>
          <w:p w14:paraId="463EEE2E">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2、工业炸药主要原材料硝酸铵价格变化情况如何，对公司炸药产品价格有何影响？</w:t>
            </w:r>
          </w:p>
          <w:p w14:paraId="4C019489">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根据中国爆破行业协会发布的《2024年11月民爆行业运行情况》，11月份，粉状硝酸铵价格为2,438元/吨，环比上升0.04%；多孔粒状硝酸铵价格为2,453元/吨，环比下降1.21%；液态硝酸铵价格为2,264元/吨，环比下降1.18%。当前硝酸铵价格保持平稳，对公司炸药产品价格的影响较小。</w:t>
            </w:r>
          </w:p>
          <w:p w14:paraId="64D3C4F0">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公司将根据原材料价格、所在区域、供求关系等情况，并结合公司各生产点附近区域炸药价格的市场行情对公司炸药产品价格进行调整，稳定市场占有率，保持合理利润水平</w:t>
            </w:r>
            <w:r>
              <w:rPr>
                <w:rFonts w:hint="eastAsia" w:ascii="宋体" w:hAnsi="宋体"/>
                <w:sz w:val="24"/>
              </w:rPr>
              <w:t>。</w:t>
            </w:r>
          </w:p>
          <w:p w14:paraId="0B0D06F7">
            <w:pPr>
              <w:adjustRightInd w:val="0"/>
              <w:snapToGrid w:val="0"/>
              <w:spacing w:line="336" w:lineRule="auto"/>
              <w:ind w:firstLine="480" w:firstLineChars="200"/>
              <w:rPr>
                <w:rFonts w:ascii="宋体" w:hAnsi="宋体" w:cs="宋体"/>
                <w:sz w:val="24"/>
                <w:szCs w:val="24"/>
              </w:rPr>
            </w:pPr>
          </w:p>
          <w:p w14:paraId="7A561B1E">
            <w:pPr>
              <w:widowControl/>
              <w:adjustRightInd w:val="0"/>
              <w:snapToGrid w:val="0"/>
              <w:spacing w:line="360" w:lineRule="auto"/>
              <w:ind w:firstLine="480" w:firstLineChars="200"/>
              <w:rPr>
                <w:rFonts w:ascii="宋体" w:hAnsi="宋体" w:cs="宋体"/>
                <w:sz w:val="24"/>
              </w:rPr>
            </w:pPr>
            <w:r>
              <w:rPr>
                <w:rFonts w:hint="eastAsia" w:ascii="宋体" w:hAnsi="宋体" w:cs="宋体"/>
                <w:sz w:val="24"/>
                <w:szCs w:val="24"/>
              </w:rPr>
              <w:t>3、</w:t>
            </w:r>
            <w:r>
              <w:rPr>
                <w:rFonts w:hint="eastAsia" w:ascii="宋体" w:hAnsi="宋体" w:cs="宋体"/>
                <w:sz w:val="24"/>
              </w:rPr>
              <w:t>2024年赣粤运河工程预可行性研究工作提上日程，公司民爆业务未来在大运河建设</w:t>
            </w:r>
            <w:r>
              <w:rPr>
                <w:rFonts w:hint="eastAsia" w:ascii="宋体" w:hAnsi="宋体" w:cs="宋体"/>
                <w:sz w:val="24"/>
                <w:lang w:val="en-US" w:eastAsia="zh-CN"/>
              </w:rPr>
              <w:t>中</w:t>
            </w:r>
            <w:r>
              <w:rPr>
                <w:rFonts w:hint="eastAsia" w:ascii="宋体" w:hAnsi="宋体" w:cs="宋体"/>
                <w:sz w:val="24"/>
              </w:rPr>
              <w:t>哪些方面会有受益？</w:t>
            </w:r>
          </w:p>
          <w:p w14:paraId="12E1D8CB">
            <w:pPr>
              <w:widowControl/>
              <w:adjustRightInd w:val="0"/>
              <w:snapToGrid w:val="0"/>
              <w:spacing w:line="360" w:lineRule="auto"/>
              <w:ind w:firstLine="480" w:firstLineChars="200"/>
              <w:rPr>
                <w:rFonts w:ascii="宋体" w:hAnsi="宋体" w:cs="宋体"/>
                <w:sz w:val="24"/>
              </w:rPr>
            </w:pPr>
            <w:r>
              <w:rPr>
                <w:rFonts w:hint="eastAsia" w:ascii="宋体" w:hAnsi="宋体" w:cs="宋体"/>
                <w:sz w:val="24"/>
                <w:szCs w:val="24"/>
              </w:rPr>
              <w:t>答：2024年下半年</w:t>
            </w:r>
            <w:r>
              <w:rPr>
                <w:rFonts w:hint="eastAsia" w:ascii="宋体" w:hAnsi="宋体" w:cs="宋体"/>
                <w:sz w:val="24"/>
              </w:rPr>
              <w:t>江西省交通厅发布了关于赣粤运河工程预可行性研究及可行性研究采购项目，这预示着赣粤大运河迈出了实质性一步。公司密切关注浙赣粤运河相关进程，赣粤运河是推进长江、珠江两大水系运河连通的战略性工程，是国家高等级航道网“四纵四横两网”中的重要组成部分。</w:t>
            </w:r>
          </w:p>
          <w:p w14:paraId="1D99B943">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据相关公开信息显示，修建运河主要涉及航道工程、船闸工程和桥梁改扩建工程。航道工程包括拓宽和挖深航道，船闸工程需要建造船闸和坝，桥梁改扩建工程则需要对公路和铁路桥梁进行改造，涉及到爆破工程服务需直接使用炸药、雷管，以及钢材、水泥的原材料制造需要爆破工程服务。</w:t>
            </w:r>
          </w:p>
          <w:p w14:paraId="663361C5">
            <w:pPr>
              <w:adjustRightInd w:val="0"/>
              <w:snapToGrid w:val="0"/>
              <w:spacing w:line="336" w:lineRule="auto"/>
              <w:ind w:firstLine="480" w:firstLineChars="200"/>
              <w:rPr>
                <w:rFonts w:ascii="宋体" w:hAnsi="宋体" w:cs="宋体"/>
                <w:sz w:val="24"/>
                <w:szCs w:val="24"/>
              </w:rPr>
            </w:pPr>
          </w:p>
          <w:p w14:paraId="7A85EC74">
            <w:pPr>
              <w:adjustRightInd w:val="0"/>
              <w:snapToGrid w:val="0"/>
              <w:spacing w:line="360" w:lineRule="auto"/>
              <w:ind w:firstLine="480" w:firstLineChars="200"/>
              <w:textAlignment w:val="baseline"/>
              <w:rPr>
                <w:rFonts w:ascii="宋体" w:hAnsi="宋体"/>
                <w:sz w:val="24"/>
              </w:rPr>
            </w:pPr>
            <w:r>
              <w:rPr>
                <w:rFonts w:hint="eastAsia" w:ascii="宋体" w:hAnsi="宋体" w:cs="宋体"/>
                <w:sz w:val="24"/>
                <w:szCs w:val="24"/>
              </w:rPr>
              <w:t>4、</w:t>
            </w:r>
            <w:r>
              <w:rPr>
                <w:rFonts w:hint="eastAsia" w:ascii="宋体" w:hAnsi="宋体"/>
                <w:sz w:val="24"/>
              </w:rPr>
              <w:t>我国钽铌行业发展现状如何，公司钽铌业务情况及应用领域？</w:t>
            </w:r>
          </w:p>
          <w:p w14:paraId="7ECD09F5">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我国钽铌工业经过60多年的发展，已形成了从采矿、选矿、冶炼、加工到应用较完整的工业体系，高纯氧化钽、高纯氧化铌、高比容钽粉、钽丝、高纯钽铌金属溅射靶材的研究水平达到世界先进水平，我国钽铌工业已经进入了世界钽铌工业大国行列。我国钽铌工业能够批量生产全系列钽铌产品，达40余个系列200余个品种规格，产品质量和档次大幅提高。</w:t>
            </w:r>
          </w:p>
          <w:p w14:paraId="4B6D814B">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公司依托下属子公司三石有色、拓泓新材开展钽铌业务，其主要从事钽铌稀有有色金属湿法冶炼加工销售。拓泓新材主要生产冶金级钽铌氧化物处于稳定量产阶段，三石有色覆盖高纯氧化物及超高纯氧化物等高附加值产品，现处于产量爬坡过程。</w:t>
            </w:r>
          </w:p>
          <w:p w14:paraId="5669220D">
            <w:pPr>
              <w:adjustRightInd w:val="0"/>
              <w:snapToGrid w:val="0"/>
              <w:spacing w:line="336" w:lineRule="auto"/>
              <w:ind w:firstLine="480" w:firstLineChars="200"/>
              <w:rPr>
                <w:rFonts w:ascii="宋体" w:hAnsi="宋体" w:cs="宋体"/>
                <w:sz w:val="24"/>
                <w:szCs w:val="24"/>
              </w:rPr>
            </w:pPr>
            <w:r>
              <w:rPr>
                <w:rFonts w:hint="eastAsia" w:ascii="宋体" w:hAnsi="宋体" w:cs="宋体"/>
                <w:sz w:val="24"/>
              </w:rPr>
              <w:t>稀有金属钽可应用于军工航天、电子信息、半导体、超导等领域；稀有金属铌可应用于军工航天、特种钢材、光学玻璃、三元电池等领域。目前我国军队武器装备的更新迭代正在加快，对特种合金、复合材料及电子元器件的需求大幅增加，需要使用大量的钽铌等稀有金属作为原材料，随着国内工艺技术水平的提升及进口替代的加速，新型复合材料进入军工领域的步伐将加快。</w:t>
            </w:r>
          </w:p>
          <w:p w14:paraId="24FDB931">
            <w:pPr>
              <w:adjustRightInd w:val="0"/>
              <w:snapToGrid w:val="0"/>
              <w:spacing w:line="336" w:lineRule="auto"/>
              <w:ind w:firstLine="480" w:firstLineChars="200"/>
              <w:rPr>
                <w:rFonts w:ascii="宋体" w:hAnsi="宋体" w:cs="宋体"/>
                <w:sz w:val="24"/>
                <w:szCs w:val="24"/>
              </w:rPr>
            </w:pPr>
          </w:p>
          <w:p w14:paraId="1A098DE0">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5、公司高氯酸钾业务情况如何，随着春节临近烟花爆竹的需求增加，对公司高氯酸钾业务有何影响？</w:t>
            </w:r>
          </w:p>
          <w:p w14:paraId="1205701F">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答：公司控股子公司永宁科技是国内高氯酸钾行业标准《HG/T3247-2017》第一起草和修订单位，其</w:t>
            </w:r>
            <w:r>
              <w:rPr>
                <w:rFonts w:hint="eastAsia" w:ascii="宋体" w:hAnsi="宋体" w:cs="宋体"/>
                <w:sz w:val="24"/>
              </w:rPr>
              <w:t>生产的“神鹰”牌工业高氯酸钾属于行业内高端产品，</w:t>
            </w:r>
            <w:r>
              <w:rPr>
                <w:rFonts w:hint="eastAsia" w:ascii="宋体" w:hAnsi="宋体" w:cs="宋体"/>
                <w:sz w:val="24"/>
                <w:szCs w:val="24"/>
              </w:rPr>
              <w:t>主要作为烟花鞭炮的原辅材料，广泛应用于庆典礼花弹、出口烟花等高档烟花上。</w:t>
            </w:r>
            <w:r>
              <w:rPr>
                <w:rFonts w:hint="eastAsia" w:ascii="宋体" w:hAnsi="宋体" w:cs="宋体"/>
                <w:sz w:val="24"/>
              </w:rPr>
              <w:t>“神鹰”牌工业高氯酸钾具有发射能量大、射程高、爆炸力强、响声清脆宏亮的特点，适合生产中空、高空、带响带叫的花炮品种。</w:t>
            </w:r>
            <w:r>
              <w:rPr>
                <w:rFonts w:hint="eastAsia" w:ascii="宋体" w:hAnsi="宋体" w:cs="宋体"/>
                <w:sz w:val="24"/>
                <w:szCs w:val="24"/>
              </w:rPr>
              <w:t xml:space="preserve"> </w:t>
            </w:r>
          </w:p>
          <w:p w14:paraId="79DA7358">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此外，</w:t>
            </w:r>
            <w:r>
              <w:rPr>
                <w:rFonts w:hint="eastAsia" w:ascii="宋体" w:hAnsi="宋体" w:cs="宋体"/>
                <w:sz w:val="24"/>
              </w:rPr>
              <w:t>永宁科技还开发并生产粗颗粒、球形、超细颗粒等特殊规格的产品，具有纯度高、杂质含量低、晶体形状为球形等特点。</w:t>
            </w:r>
            <w:r>
              <w:rPr>
                <w:rFonts w:hint="eastAsia" w:ascii="宋体" w:hAnsi="宋体" w:cs="宋体"/>
                <w:sz w:val="24"/>
                <w:szCs w:val="24"/>
              </w:rPr>
              <w:t>球形高氯酸钾可用于军用推进剂、各种军用点火药、信号弹发光剂；其它规格高氯酸钾可用于汽车安全气囊产气药、二氧化碳激发药及化学试剂等。</w:t>
            </w:r>
          </w:p>
          <w:p w14:paraId="683CBAAA">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随着春节临近，国内烟花鞭炮需求量将相应增加，对永宁科技的高氯酸钾业务将产生积极影响，公司已根据市场需求积极生产组织备货。</w:t>
            </w:r>
          </w:p>
          <w:p w14:paraId="4265ECC5">
            <w:pPr>
              <w:adjustRightInd w:val="0"/>
              <w:snapToGrid w:val="0"/>
              <w:spacing w:line="336" w:lineRule="auto"/>
              <w:ind w:firstLine="480" w:firstLineChars="200"/>
              <w:rPr>
                <w:rFonts w:ascii="宋体" w:hAnsi="宋体" w:cs="宋体"/>
                <w:sz w:val="24"/>
                <w:szCs w:val="24"/>
              </w:rPr>
            </w:pPr>
          </w:p>
          <w:p w14:paraId="0C6C8A8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6、公司含能材料项目建设最新进展情况如何？</w:t>
            </w:r>
          </w:p>
          <w:p w14:paraId="53E8B5AD">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含能材料项目于2024年5月初取得国家有关部门核准批文后，6月19日公司完成对项目实施主体江西九江国泰新材料有限公司注册资本金增至3.5亿元工作，目前该项目进展顺利。截至目前，除完成001线整体施工图设计及主要设备招采工作外，正在积极推进厂房建设等基建工程，计划2025年中产出成品，未来将形成公司发展新动能。</w:t>
            </w:r>
          </w:p>
          <w:p w14:paraId="683710FD">
            <w:pPr>
              <w:adjustRightInd w:val="0"/>
              <w:snapToGrid w:val="0"/>
              <w:spacing w:line="336" w:lineRule="auto"/>
              <w:rPr>
                <w:rFonts w:ascii="宋体" w:hAnsi="宋体" w:cs="宋体"/>
                <w:sz w:val="24"/>
                <w:szCs w:val="24"/>
              </w:rPr>
            </w:pP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spacing w:line="348"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5</w:t>
            </w:r>
            <w:r>
              <w:rPr>
                <w:rFonts w:ascii="Times New Roman" w:hAnsi="Times New Roman"/>
                <w:bCs/>
                <w:iCs/>
                <w:sz w:val="24"/>
              </w:rPr>
              <w:t>年</w:t>
            </w:r>
            <w:r>
              <w:rPr>
                <w:rFonts w:hint="eastAsia" w:ascii="Times New Roman" w:hAnsi="Times New Roman"/>
                <w:bCs/>
                <w:iCs/>
                <w:sz w:val="24"/>
              </w:rPr>
              <w:t>1月20</w:t>
            </w:r>
            <w:r>
              <w:rPr>
                <w:rFonts w:ascii="Times New Roman" w:hAnsi="Times New Roman"/>
                <w:bCs/>
                <w:iCs/>
                <w:sz w:val="24"/>
              </w:rPr>
              <w:t>日</w:t>
            </w:r>
          </w:p>
        </w:tc>
      </w:tr>
    </w:tbl>
    <w:p w14:paraId="44827F39">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1023"/>
    <w:rsid w:val="00012A14"/>
    <w:rsid w:val="00051401"/>
    <w:rsid w:val="000729AD"/>
    <w:rsid w:val="00075373"/>
    <w:rsid w:val="000B3CDB"/>
    <w:rsid w:val="000B5A24"/>
    <w:rsid w:val="000D5F99"/>
    <w:rsid w:val="000E7FD8"/>
    <w:rsid w:val="000F3952"/>
    <w:rsid w:val="00111F29"/>
    <w:rsid w:val="00117DB4"/>
    <w:rsid w:val="001408E3"/>
    <w:rsid w:val="0014474A"/>
    <w:rsid w:val="001508BC"/>
    <w:rsid w:val="001549ED"/>
    <w:rsid w:val="00155533"/>
    <w:rsid w:val="00170126"/>
    <w:rsid w:val="00172134"/>
    <w:rsid w:val="00172A27"/>
    <w:rsid w:val="00173BDF"/>
    <w:rsid w:val="0019468E"/>
    <w:rsid w:val="001A3EA8"/>
    <w:rsid w:val="001C0C03"/>
    <w:rsid w:val="001C5BB5"/>
    <w:rsid w:val="001E1523"/>
    <w:rsid w:val="001F4888"/>
    <w:rsid w:val="002037D4"/>
    <w:rsid w:val="00260223"/>
    <w:rsid w:val="00282BE8"/>
    <w:rsid w:val="002A4B4C"/>
    <w:rsid w:val="002D7F64"/>
    <w:rsid w:val="002F355C"/>
    <w:rsid w:val="00303F67"/>
    <w:rsid w:val="003215D0"/>
    <w:rsid w:val="003333AB"/>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4333A"/>
    <w:rsid w:val="00546F98"/>
    <w:rsid w:val="005508BF"/>
    <w:rsid w:val="005516FE"/>
    <w:rsid w:val="005A56BD"/>
    <w:rsid w:val="005B0351"/>
    <w:rsid w:val="005D311D"/>
    <w:rsid w:val="005D3B41"/>
    <w:rsid w:val="005E6BC9"/>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A6170"/>
    <w:rsid w:val="007D2B30"/>
    <w:rsid w:val="007D484F"/>
    <w:rsid w:val="008063A5"/>
    <w:rsid w:val="00807D0E"/>
    <w:rsid w:val="00837B23"/>
    <w:rsid w:val="00856970"/>
    <w:rsid w:val="00900289"/>
    <w:rsid w:val="009A379D"/>
    <w:rsid w:val="009B4AC3"/>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E6801"/>
    <w:rsid w:val="00BF44E6"/>
    <w:rsid w:val="00C528EC"/>
    <w:rsid w:val="00C5456E"/>
    <w:rsid w:val="00C9040D"/>
    <w:rsid w:val="00C96D4E"/>
    <w:rsid w:val="00CC5CA9"/>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220070B"/>
    <w:rsid w:val="0272649F"/>
    <w:rsid w:val="031B1925"/>
    <w:rsid w:val="040A0C52"/>
    <w:rsid w:val="04414F29"/>
    <w:rsid w:val="057E50FA"/>
    <w:rsid w:val="062E19DF"/>
    <w:rsid w:val="06B74D94"/>
    <w:rsid w:val="079F2DB5"/>
    <w:rsid w:val="07DD5908"/>
    <w:rsid w:val="086C2CFF"/>
    <w:rsid w:val="086F3FA3"/>
    <w:rsid w:val="08C40CF3"/>
    <w:rsid w:val="093D48C6"/>
    <w:rsid w:val="09C6525C"/>
    <w:rsid w:val="09F04B00"/>
    <w:rsid w:val="0A1D72FB"/>
    <w:rsid w:val="0A9172F3"/>
    <w:rsid w:val="0AD97127"/>
    <w:rsid w:val="0C112E71"/>
    <w:rsid w:val="0C702A5E"/>
    <w:rsid w:val="0E776918"/>
    <w:rsid w:val="0E8F0CEC"/>
    <w:rsid w:val="0EA06710"/>
    <w:rsid w:val="0FAE4AFF"/>
    <w:rsid w:val="0FF51325"/>
    <w:rsid w:val="108D02AC"/>
    <w:rsid w:val="109D35C9"/>
    <w:rsid w:val="10A9384D"/>
    <w:rsid w:val="112573D4"/>
    <w:rsid w:val="11882673"/>
    <w:rsid w:val="11975CCC"/>
    <w:rsid w:val="11D230A2"/>
    <w:rsid w:val="126E213E"/>
    <w:rsid w:val="12C41C61"/>
    <w:rsid w:val="12F31613"/>
    <w:rsid w:val="131F6DE2"/>
    <w:rsid w:val="141F5C26"/>
    <w:rsid w:val="1450602A"/>
    <w:rsid w:val="1491634A"/>
    <w:rsid w:val="14D507B4"/>
    <w:rsid w:val="15146085"/>
    <w:rsid w:val="158F0E59"/>
    <w:rsid w:val="15E962C8"/>
    <w:rsid w:val="17090DA6"/>
    <w:rsid w:val="1761330E"/>
    <w:rsid w:val="177855D8"/>
    <w:rsid w:val="187F55E4"/>
    <w:rsid w:val="18EF7F00"/>
    <w:rsid w:val="19297D6C"/>
    <w:rsid w:val="19CC5666"/>
    <w:rsid w:val="1ACA7824"/>
    <w:rsid w:val="1B153B0F"/>
    <w:rsid w:val="1B2D6D86"/>
    <w:rsid w:val="1BD92B22"/>
    <w:rsid w:val="1C986C96"/>
    <w:rsid w:val="1CCF12B9"/>
    <w:rsid w:val="1CEA0CB6"/>
    <w:rsid w:val="1D4721ED"/>
    <w:rsid w:val="1D590854"/>
    <w:rsid w:val="1DB47768"/>
    <w:rsid w:val="1E427427"/>
    <w:rsid w:val="1E7233D8"/>
    <w:rsid w:val="1FED4FD6"/>
    <w:rsid w:val="20333C9A"/>
    <w:rsid w:val="203606F7"/>
    <w:rsid w:val="210420AB"/>
    <w:rsid w:val="213D3241"/>
    <w:rsid w:val="226E1C50"/>
    <w:rsid w:val="232C2FB8"/>
    <w:rsid w:val="23B00D6A"/>
    <w:rsid w:val="23B95E70"/>
    <w:rsid w:val="23C737F1"/>
    <w:rsid w:val="2513238F"/>
    <w:rsid w:val="2522011E"/>
    <w:rsid w:val="26177D1E"/>
    <w:rsid w:val="26FA6683"/>
    <w:rsid w:val="27A41130"/>
    <w:rsid w:val="27E730D2"/>
    <w:rsid w:val="28740B91"/>
    <w:rsid w:val="29333E09"/>
    <w:rsid w:val="293765A7"/>
    <w:rsid w:val="2A396FA8"/>
    <w:rsid w:val="2AC55599"/>
    <w:rsid w:val="2ADE3EBE"/>
    <w:rsid w:val="2B2A2B97"/>
    <w:rsid w:val="2B9E1F94"/>
    <w:rsid w:val="2C742F1C"/>
    <w:rsid w:val="2C8974F1"/>
    <w:rsid w:val="2C8D1007"/>
    <w:rsid w:val="2D4F45EC"/>
    <w:rsid w:val="2DBC19FE"/>
    <w:rsid w:val="2DC07873"/>
    <w:rsid w:val="2E484523"/>
    <w:rsid w:val="2F3274BC"/>
    <w:rsid w:val="30091B5C"/>
    <w:rsid w:val="301402BF"/>
    <w:rsid w:val="30371B9A"/>
    <w:rsid w:val="31A53D8D"/>
    <w:rsid w:val="3208431E"/>
    <w:rsid w:val="3237618E"/>
    <w:rsid w:val="32440EDC"/>
    <w:rsid w:val="32654D10"/>
    <w:rsid w:val="326C0551"/>
    <w:rsid w:val="328C0AF9"/>
    <w:rsid w:val="33690F44"/>
    <w:rsid w:val="33CE2331"/>
    <w:rsid w:val="356B0A3B"/>
    <w:rsid w:val="362C4BA3"/>
    <w:rsid w:val="36704ABB"/>
    <w:rsid w:val="369778A1"/>
    <w:rsid w:val="373C3BA7"/>
    <w:rsid w:val="37A10571"/>
    <w:rsid w:val="37F25E82"/>
    <w:rsid w:val="385653BD"/>
    <w:rsid w:val="38CD681E"/>
    <w:rsid w:val="38DC5496"/>
    <w:rsid w:val="39760E2C"/>
    <w:rsid w:val="39AB7BB1"/>
    <w:rsid w:val="39AE48B3"/>
    <w:rsid w:val="39D37144"/>
    <w:rsid w:val="39D4375B"/>
    <w:rsid w:val="39D964F3"/>
    <w:rsid w:val="39DC36C8"/>
    <w:rsid w:val="3A3042F0"/>
    <w:rsid w:val="3A4D0C68"/>
    <w:rsid w:val="3A5B4367"/>
    <w:rsid w:val="3A811C01"/>
    <w:rsid w:val="3A953F23"/>
    <w:rsid w:val="3ABA309F"/>
    <w:rsid w:val="3BD0316A"/>
    <w:rsid w:val="3BEE40FB"/>
    <w:rsid w:val="3C3C4F74"/>
    <w:rsid w:val="3C5C4961"/>
    <w:rsid w:val="3D9A797A"/>
    <w:rsid w:val="3E7551CA"/>
    <w:rsid w:val="3ED846AD"/>
    <w:rsid w:val="3F827886"/>
    <w:rsid w:val="3FD2226D"/>
    <w:rsid w:val="40095F44"/>
    <w:rsid w:val="401B340B"/>
    <w:rsid w:val="40293542"/>
    <w:rsid w:val="4037674B"/>
    <w:rsid w:val="40F912CC"/>
    <w:rsid w:val="41030C2C"/>
    <w:rsid w:val="41557C10"/>
    <w:rsid w:val="42A329D9"/>
    <w:rsid w:val="431B63A1"/>
    <w:rsid w:val="466934D4"/>
    <w:rsid w:val="469B1418"/>
    <w:rsid w:val="46CE0C62"/>
    <w:rsid w:val="46F56910"/>
    <w:rsid w:val="47413903"/>
    <w:rsid w:val="47D546FC"/>
    <w:rsid w:val="481E5EE0"/>
    <w:rsid w:val="484F0AC7"/>
    <w:rsid w:val="48562A5D"/>
    <w:rsid w:val="48D2515B"/>
    <w:rsid w:val="4933371F"/>
    <w:rsid w:val="49B37CF3"/>
    <w:rsid w:val="4A1C0F29"/>
    <w:rsid w:val="4A9F3C99"/>
    <w:rsid w:val="4B7B1369"/>
    <w:rsid w:val="4BDB5432"/>
    <w:rsid w:val="4C0E4530"/>
    <w:rsid w:val="4D171D2A"/>
    <w:rsid w:val="4D2224A6"/>
    <w:rsid w:val="4D241CFD"/>
    <w:rsid w:val="4D4B521F"/>
    <w:rsid w:val="4DF5519C"/>
    <w:rsid w:val="4E004A5C"/>
    <w:rsid w:val="4E5D1EF1"/>
    <w:rsid w:val="4E9133C2"/>
    <w:rsid w:val="4EED3194"/>
    <w:rsid w:val="4F376605"/>
    <w:rsid w:val="50CE348B"/>
    <w:rsid w:val="51A83C8D"/>
    <w:rsid w:val="524D6C8F"/>
    <w:rsid w:val="53811229"/>
    <w:rsid w:val="53E607EA"/>
    <w:rsid w:val="546F389A"/>
    <w:rsid w:val="554C3B9F"/>
    <w:rsid w:val="557378ED"/>
    <w:rsid w:val="55E40C52"/>
    <w:rsid w:val="57204F99"/>
    <w:rsid w:val="579C7722"/>
    <w:rsid w:val="583F204E"/>
    <w:rsid w:val="58AE5E7C"/>
    <w:rsid w:val="59072908"/>
    <w:rsid w:val="595E459B"/>
    <w:rsid w:val="59817DB6"/>
    <w:rsid w:val="59A74B39"/>
    <w:rsid w:val="5A7D0C9E"/>
    <w:rsid w:val="5A8E4C59"/>
    <w:rsid w:val="5AD41F13"/>
    <w:rsid w:val="5B666B02"/>
    <w:rsid w:val="5BDA230A"/>
    <w:rsid w:val="5BFA6489"/>
    <w:rsid w:val="5BFB3C44"/>
    <w:rsid w:val="5C6B3654"/>
    <w:rsid w:val="5CE91611"/>
    <w:rsid w:val="5D2D269B"/>
    <w:rsid w:val="5D5201C0"/>
    <w:rsid w:val="5DC9716E"/>
    <w:rsid w:val="5DDE5652"/>
    <w:rsid w:val="5E4F3FF8"/>
    <w:rsid w:val="5E613EA4"/>
    <w:rsid w:val="5EDF54D4"/>
    <w:rsid w:val="5F076D88"/>
    <w:rsid w:val="5F8D54E0"/>
    <w:rsid w:val="5FDD409B"/>
    <w:rsid w:val="5FEA56D8"/>
    <w:rsid w:val="607313C1"/>
    <w:rsid w:val="60B66CA4"/>
    <w:rsid w:val="60E640CC"/>
    <w:rsid w:val="60FD3B15"/>
    <w:rsid w:val="62315391"/>
    <w:rsid w:val="62B05907"/>
    <w:rsid w:val="62C108C4"/>
    <w:rsid w:val="634927F8"/>
    <w:rsid w:val="639208BE"/>
    <w:rsid w:val="63921342"/>
    <w:rsid w:val="64086639"/>
    <w:rsid w:val="64287ECD"/>
    <w:rsid w:val="646F429E"/>
    <w:rsid w:val="6498572D"/>
    <w:rsid w:val="64B9162B"/>
    <w:rsid w:val="65D976D1"/>
    <w:rsid w:val="66247BB8"/>
    <w:rsid w:val="663740B6"/>
    <w:rsid w:val="665C68CF"/>
    <w:rsid w:val="66601051"/>
    <w:rsid w:val="667667E2"/>
    <w:rsid w:val="66902670"/>
    <w:rsid w:val="66F75934"/>
    <w:rsid w:val="6710771C"/>
    <w:rsid w:val="678E1D9F"/>
    <w:rsid w:val="679D374F"/>
    <w:rsid w:val="67B13EAA"/>
    <w:rsid w:val="68053E8D"/>
    <w:rsid w:val="684431E4"/>
    <w:rsid w:val="69236347"/>
    <w:rsid w:val="69F65C1A"/>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F433BCC"/>
    <w:rsid w:val="6F595014"/>
    <w:rsid w:val="706A2341"/>
    <w:rsid w:val="713D060F"/>
    <w:rsid w:val="71B6320B"/>
    <w:rsid w:val="72075026"/>
    <w:rsid w:val="722608CA"/>
    <w:rsid w:val="72DF1AB0"/>
    <w:rsid w:val="730B5005"/>
    <w:rsid w:val="732B0626"/>
    <w:rsid w:val="73C4721C"/>
    <w:rsid w:val="73FE0E42"/>
    <w:rsid w:val="74314109"/>
    <w:rsid w:val="745B2A20"/>
    <w:rsid w:val="74911176"/>
    <w:rsid w:val="749E60E7"/>
    <w:rsid w:val="74F846EB"/>
    <w:rsid w:val="755D4A2E"/>
    <w:rsid w:val="76044EAD"/>
    <w:rsid w:val="7614107A"/>
    <w:rsid w:val="763E50EE"/>
    <w:rsid w:val="76D07EF6"/>
    <w:rsid w:val="77565CA2"/>
    <w:rsid w:val="77CA4C87"/>
    <w:rsid w:val="78093CAC"/>
    <w:rsid w:val="78607595"/>
    <w:rsid w:val="788861F9"/>
    <w:rsid w:val="78CA023E"/>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D236D81"/>
    <w:rsid w:val="7D2C2DAC"/>
    <w:rsid w:val="7DA82D60"/>
    <w:rsid w:val="7E1249E7"/>
    <w:rsid w:val="7E8779D6"/>
    <w:rsid w:val="7EEA25C1"/>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2139</Words>
  <Characters>2258</Characters>
  <Lines>68</Lines>
  <Paragraphs>58</Paragraphs>
  <TotalTime>72</TotalTime>
  <ScaleCrop>false</ScaleCrop>
  <LinksUpToDate>false</LinksUpToDate>
  <CharactersWithSpaces>2341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我不能再吃了</cp:lastModifiedBy>
  <cp:lastPrinted>2025-01-20T01:26:00Z</cp:lastPrinted>
  <dcterms:modified xsi:type="dcterms:W3CDTF">2025-01-20T02:40:47Z</dcterms:modified>
  <dc:title>投资者关系活动记录表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98D451E3A06243DBBB7E8319900EE0FA_13</vt:lpwstr>
  </property>
</Properties>
</file>