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52DE">
      <w:pPr>
        <w:spacing w:before="277" w:after="120" w:afterLines="50" w:line="360" w:lineRule="auto"/>
        <w:ind w:left="10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证券代码：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600060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      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证券简称：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海信视像</w:t>
      </w:r>
    </w:p>
    <w:p w14:paraId="4A63CD70">
      <w:pPr>
        <w:spacing w:before="204" w:line="225" w:lineRule="auto"/>
        <w:jc w:val="center"/>
        <w:outlineLvl w:val="0"/>
        <w:rPr>
          <w:rFonts w:ascii="宋体" w:hAnsi="宋体" w:eastAsia="宋体" w:cs="宋体"/>
          <w:b/>
          <w:bCs/>
          <w:spacing w:val="7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eastAsia="zh-CN"/>
        </w:rPr>
        <w:t>海信视像科技</w:t>
      </w:r>
      <w:r>
        <w:rPr>
          <w:rFonts w:ascii="宋体" w:hAnsi="宋体" w:eastAsia="宋体" w:cs="宋体"/>
          <w:b/>
          <w:bCs/>
          <w:spacing w:val="7"/>
          <w:sz w:val="31"/>
          <w:szCs w:val="31"/>
          <w:lang w:eastAsia="zh-CN"/>
        </w:rPr>
        <w:t>股份有限公司</w:t>
      </w: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eastAsia="zh-CN"/>
        </w:rPr>
        <w:t>投资者关系活动记录表</w:t>
      </w:r>
    </w:p>
    <w:p w14:paraId="65E20D7D">
      <w:pPr>
        <w:spacing w:before="204" w:line="225" w:lineRule="auto"/>
        <w:jc w:val="right"/>
        <w:outlineLvl w:val="0"/>
        <w:rPr>
          <w:rFonts w:ascii="宋体" w:hAnsi="宋体" w:eastAsia="宋体" w:cs="宋体"/>
          <w:spacing w:val="-7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7"/>
          <w:sz w:val="24"/>
          <w:szCs w:val="24"/>
          <w:lang w:eastAsia="zh-CN"/>
        </w:rPr>
        <w:t>编号：</w:t>
      </w:r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t>202</w:t>
      </w:r>
      <w:r>
        <w:rPr>
          <w:rFonts w:ascii="宋体" w:hAnsi="宋体" w:eastAsia="宋体" w:cs="宋体"/>
          <w:spacing w:val="-7"/>
          <w:sz w:val="24"/>
          <w:szCs w:val="24"/>
          <w:lang w:eastAsia="zh-CN"/>
        </w:rPr>
        <w:t>5-01</w:t>
      </w:r>
    </w:p>
    <w:p w14:paraId="2C2C54D8">
      <w:pPr>
        <w:spacing w:line="27" w:lineRule="auto"/>
        <w:rPr>
          <w:sz w:val="2"/>
          <w:lang w:eastAsia="zh-CN"/>
        </w:rPr>
      </w:pPr>
    </w:p>
    <w:tbl>
      <w:tblPr>
        <w:tblStyle w:val="12"/>
        <w:tblW w:w="600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3749"/>
        <w:gridCol w:w="4499"/>
      </w:tblGrid>
      <w:tr w14:paraId="4BDF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969" w:type="pct"/>
            <w:vAlign w:val="center"/>
          </w:tcPr>
          <w:p w14:paraId="3BBFB38B">
            <w:pPr>
              <w:spacing w:line="272" w:lineRule="auto"/>
              <w:jc w:val="center"/>
              <w:rPr>
                <w:lang w:eastAsia="zh-CN"/>
              </w:rPr>
            </w:pPr>
          </w:p>
          <w:p w14:paraId="4457A381">
            <w:pPr>
              <w:spacing w:line="272" w:lineRule="auto"/>
              <w:jc w:val="center"/>
              <w:rPr>
                <w:lang w:eastAsia="zh-CN"/>
              </w:rPr>
            </w:pPr>
          </w:p>
          <w:p w14:paraId="712854B1">
            <w:pPr>
              <w:pStyle w:val="13"/>
              <w:spacing w:before="78" w:line="356" w:lineRule="auto"/>
              <w:ind w:left="118" w:right="110" w:firstLine="1"/>
              <w:jc w:val="center"/>
            </w:pPr>
            <w:r>
              <w:rPr>
                <w:spacing w:val="4"/>
              </w:rPr>
              <w:t>投资者关系活</w:t>
            </w:r>
            <w:r>
              <w:rPr>
                <w:spacing w:val="-3"/>
              </w:rPr>
              <w:t>动类别</w:t>
            </w:r>
          </w:p>
        </w:tc>
        <w:tc>
          <w:tcPr>
            <w:tcW w:w="1832" w:type="pct"/>
            <w:tcBorders>
              <w:right w:val="nil"/>
            </w:tcBorders>
          </w:tcPr>
          <w:p w14:paraId="3345F96C">
            <w:pPr>
              <w:pStyle w:val="13"/>
              <w:spacing w:before="117" w:line="220" w:lineRule="auto"/>
              <w:ind w:left="135"/>
              <w:rPr>
                <w:lang w:eastAsia="zh-CN"/>
              </w:rPr>
            </w:pPr>
            <w:r>
              <w:rPr>
                <w:rFonts w:ascii="Segoe UI Symbol" w:hAnsi="Segoe UI Symbol" w:cs="Segoe UI Symbol"/>
                <w:spacing w:val="-5"/>
                <w:lang w:eastAsia="zh-CN"/>
              </w:rPr>
              <w:t>☑</w:t>
            </w:r>
            <w:r>
              <w:rPr>
                <w:spacing w:val="-5"/>
                <w:lang w:eastAsia="zh-CN"/>
              </w:rPr>
              <w:t>特定对象调研</w:t>
            </w:r>
          </w:p>
          <w:p w14:paraId="1E7E6619">
            <w:pPr>
              <w:pStyle w:val="13"/>
              <w:spacing w:before="182" w:line="219" w:lineRule="auto"/>
              <w:ind w:left="13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□媒体采访</w:t>
            </w:r>
          </w:p>
          <w:p w14:paraId="721F99F5">
            <w:pPr>
              <w:pStyle w:val="13"/>
              <w:spacing w:before="183" w:line="219" w:lineRule="auto"/>
              <w:ind w:left="13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□新闻发布会</w:t>
            </w:r>
          </w:p>
          <w:p w14:paraId="416233C8">
            <w:pPr>
              <w:pStyle w:val="13"/>
              <w:spacing w:before="182" w:line="219" w:lineRule="auto"/>
              <w:ind w:left="135"/>
              <w:rPr>
                <w:spacing w:val="-6"/>
                <w:lang w:eastAsia="zh-CN"/>
              </w:rPr>
            </w:pPr>
            <w:r>
              <w:rPr>
                <w:spacing w:val="-6"/>
                <w:lang w:eastAsia="zh-CN"/>
              </w:rPr>
              <w:t xml:space="preserve">□现场参观 </w:t>
            </w:r>
          </w:p>
          <w:p w14:paraId="6F694929">
            <w:pPr>
              <w:pStyle w:val="13"/>
              <w:spacing w:before="182" w:line="219" w:lineRule="auto"/>
              <w:ind w:left="135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☑</w:t>
            </w:r>
            <w:r>
              <w:rPr>
                <w:spacing w:val="-6"/>
                <w:lang w:eastAsia="zh-CN"/>
              </w:rPr>
              <w:t>其他</w:t>
            </w:r>
          </w:p>
        </w:tc>
        <w:tc>
          <w:tcPr>
            <w:tcW w:w="2198" w:type="pct"/>
            <w:tcBorders>
              <w:left w:val="nil"/>
            </w:tcBorders>
          </w:tcPr>
          <w:p w14:paraId="35288B01">
            <w:pPr>
              <w:pStyle w:val="13"/>
              <w:spacing w:before="117" w:line="219" w:lineRule="auto"/>
              <w:ind w:left="484"/>
              <w:rPr>
                <w:lang w:eastAsia="zh-CN"/>
              </w:rPr>
            </w:pPr>
            <w:r>
              <w:rPr>
                <w:rFonts w:ascii="Segoe UI Symbol" w:hAnsi="Segoe UI Symbol" w:cs="Segoe UI Symbol"/>
                <w:spacing w:val="-5"/>
                <w:lang w:eastAsia="zh-CN"/>
              </w:rPr>
              <w:t>☑</w:t>
            </w:r>
            <w:r>
              <w:rPr>
                <w:spacing w:val="-2"/>
                <w:lang w:eastAsia="zh-CN"/>
              </w:rPr>
              <w:t>分析师会议</w:t>
            </w:r>
          </w:p>
          <w:p w14:paraId="6F69686C">
            <w:pPr>
              <w:pStyle w:val="13"/>
              <w:spacing w:before="183" w:line="219" w:lineRule="auto"/>
              <w:ind w:left="511"/>
              <w:rPr>
                <w:sz w:val="22"/>
                <w:szCs w:val="22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业绩说明会</w:t>
            </w:r>
          </w:p>
          <w:p w14:paraId="39D7E6E1">
            <w:pPr>
              <w:pStyle w:val="13"/>
              <w:spacing w:before="182" w:line="220" w:lineRule="auto"/>
              <w:ind w:left="511"/>
              <w:rPr>
                <w:spacing w:val="-7"/>
              </w:rPr>
            </w:pPr>
            <w:r>
              <w:rPr>
                <w:rFonts w:ascii="Segoe UI Symbol" w:hAnsi="Segoe UI Symbol" w:cs="Segoe UI Symbol"/>
                <w:spacing w:val="-5"/>
                <w:lang w:eastAsia="zh-CN"/>
              </w:rPr>
              <w:t>☑</w:t>
            </w:r>
            <w:r>
              <w:rPr>
                <w:spacing w:val="-7"/>
              </w:rPr>
              <w:t>路演活动</w:t>
            </w:r>
          </w:p>
          <w:p w14:paraId="2AC11218">
            <w:pPr>
              <w:pStyle w:val="13"/>
              <w:spacing w:before="182" w:line="220" w:lineRule="auto"/>
              <w:ind w:left="511"/>
              <w:rPr>
                <w:spacing w:val="-7"/>
              </w:rPr>
            </w:pPr>
          </w:p>
        </w:tc>
      </w:tr>
      <w:tr w14:paraId="2F1C3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969" w:type="pct"/>
            <w:vAlign w:val="center"/>
          </w:tcPr>
          <w:p w14:paraId="65B027C1">
            <w:pPr>
              <w:pStyle w:val="13"/>
              <w:spacing w:before="115" w:line="220" w:lineRule="auto"/>
              <w:ind w:left="119"/>
              <w:jc w:val="center"/>
            </w:pPr>
            <w:r>
              <w:rPr>
                <w:spacing w:val="-2"/>
              </w:rPr>
              <w:t>参与单位名称</w:t>
            </w:r>
          </w:p>
        </w:tc>
        <w:tc>
          <w:tcPr>
            <w:tcW w:w="4030" w:type="pct"/>
            <w:gridSpan w:val="2"/>
            <w:vAlign w:val="center"/>
          </w:tcPr>
          <w:p w14:paraId="31F214FE">
            <w:pPr>
              <w:pStyle w:val="13"/>
              <w:spacing w:before="114" w:line="314" w:lineRule="auto"/>
              <w:ind w:right="12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交银施罗德、长江养老、南方基金、嘉实基金、工银瑞信、博时基金、银河基金、招银理财、华泰保兴、景领投资、中信资管、长盛基金、圆方资本、深圳凯丰、惠理基金、润晖投资、中信保诚资管、信达汉石、宽远资本、国投瑞银、中加基金、招商基金、富国基金、信达澳亚、平安基金、中金资管、慎知资产、</w:t>
            </w:r>
            <w:r>
              <w:rPr>
                <w:rFonts w:ascii="Times New Roman" w:hAnsi="Times New Roman" w:cs="Times New Roman"/>
                <w:lang w:eastAsia="zh-CN"/>
              </w:rPr>
              <w:t>LMR partners</w:t>
            </w:r>
            <w:r>
              <w:rPr>
                <w:rFonts w:hint="eastAsia"/>
                <w:lang w:eastAsia="zh-CN"/>
              </w:rPr>
              <w:t>以及中信建投证券、中金公司、天风证券、国联证券、国投证券、兴业证券、银河证券、西南证券、开源证券、中泰证券、方正证券、浙商证券、国金证券、长江证券、招商证券、国泰君安证券、华创证券、光大证券、中信证券、国盛证券</w:t>
            </w:r>
          </w:p>
        </w:tc>
      </w:tr>
      <w:tr w14:paraId="2B80D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69" w:type="pct"/>
            <w:vAlign w:val="center"/>
          </w:tcPr>
          <w:p w14:paraId="6807D5DC">
            <w:pPr>
              <w:pStyle w:val="13"/>
              <w:spacing w:before="114" w:line="222" w:lineRule="auto"/>
              <w:ind w:left="128"/>
              <w:jc w:val="center"/>
            </w:pPr>
            <w:r>
              <w:rPr>
                <w:spacing w:val="-6"/>
              </w:rPr>
              <w:t>时间</w:t>
            </w:r>
          </w:p>
        </w:tc>
        <w:tc>
          <w:tcPr>
            <w:tcW w:w="4030" w:type="pct"/>
            <w:gridSpan w:val="2"/>
            <w:vAlign w:val="center"/>
          </w:tcPr>
          <w:p w14:paraId="0FA441E6">
            <w:pPr>
              <w:pStyle w:val="13"/>
              <w:spacing w:before="113" w:line="220" w:lineRule="auto"/>
              <w:jc w:val="left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202</w:t>
            </w:r>
            <w:r>
              <w:rPr>
                <w:spacing w:val="-4"/>
                <w:lang w:eastAsia="zh-CN"/>
              </w:rPr>
              <w:t>5</w:t>
            </w:r>
            <w:r>
              <w:rPr>
                <w:spacing w:val="-4"/>
              </w:rPr>
              <w:t>年</w:t>
            </w:r>
            <w:r>
              <w:rPr>
                <w:spacing w:val="-4"/>
                <w:lang w:eastAsia="zh-CN"/>
              </w:rPr>
              <w:t>1</w:t>
            </w:r>
            <w:r>
              <w:rPr>
                <w:spacing w:val="-4"/>
              </w:rPr>
              <w:t>月</w:t>
            </w:r>
            <w:r>
              <w:rPr>
                <w:rFonts w:hint="eastAsia"/>
                <w:spacing w:val="-4"/>
                <w:lang w:eastAsia="zh-CN"/>
              </w:rPr>
              <w:t>2</w:t>
            </w:r>
            <w:r>
              <w:rPr>
                <w:spacing w:val="-4"/>
              </w:rPr>
              <w:t>日</w:t>
            </w:r>
            <w:r>
              <w:rPr>
                <w:rFonts w:hint="eastAsia"/>
                <w:spacing w:val="-4"/>
                <w:lang w:eastAsia="zh-CN"/>
              </w:rPr>
              <w:t>至</w:t>
            </w:r>
            <w:r>
              <w:rPr>
                <w:spacing w:val="-4"/>
                <w:lang w:eastAsia="zh-CN"/>
              </w:rPr>
              <w:t>2025</w:t>
            </w:r>
            <w:r>
              <w:rPr>
                <w:rFonts w:hint="eastAsia"/>
                <w:spacing w:val="-4"/>
                <w:lang w:eastAsia="zh-CN"/>
              </w:rPr>
              <w:t>年1月2</w:t>
            </w:r>
            <w:r>
              <w:rPr>
                <w:rFonts w:hint="eastAsia"/>
                <w:spacing w:val="-4"/>
                <w:lang w:val="en-US" w:eastAsia="zh-CN"/>
              </w:rPr>
              <w:t>6</w:t>
            </w:r>
            <w:r>
              <w:rPr>
                <w:rFonts w:hint="eastAsia"/>
                <w:spacing w:val="-4"/>
                <w:lang w:eastAsia="zh-CN"/>
              </w:rPr>
              <w:t>日</w:t>
            </w:r>
          </w:p>
        </w:tc>
      </w:tr>
      <w:tr w14:paraId="32982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969" w:type="pct"/>
            <w:vAlign w:val="center"/>
          </w:tcPr>
          <w:p w14:paraId="0946ECE6">
            <w:pPr>
              <w:pStyle w:val="13"/>
              <w:spacing w:before="117" w:line="224" w:lineRule="auto"/>
              <w:ind w:left="117"/>
              <w:jc w:val="center"/>
            </w:pPr>
            <w:r>
              <w:rPr>
                <w:spacing w:val="-3"/>
              </w:rPr>
              <w:t>地点</w:t>
            </w:r>
          </w:p>
        </w:tc>
        <w:tc>
          <w:tcPr>
            <w:tcW w:w="4030" w:type="pct"/>
            <w:gridSpan w:val="2"/>
            <w:vAlign w:val="center"/>
          </w:tcPr>
          <w:p w14:paraId="00FADA5F">
            <w:pPr>
              <w:pStyle w:val="13"/>
              <w:spacing w:before="117"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公司会议室、电话会议等</w:t>
            </w:r>
          </w:p>
        </w:tc>
      </w:tr>
      <w:tr w14:paraId="00C2C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9" w:type="pct"/>
            <w:vAlign w:val="center"/>
          </w:tcPr>
          <w:p w14:paraId="11E0F2A3">
            <w:pPr>
              <w:pStyle w:val="13"/>
              <w:spacing w:before="116" w:line="313" w:lineRule="auto"/>
              <w:ind w:left="119" w:right="110"/>
              <w:jc w:val="center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上市公司接待</w:t>
            </w:r>
            <w:r>
              <w:rPr>
                <w:spacing w:val="-3"/>
                <w:lang w:eastAsia="zh-CN"/>
              </w:rPr>
              <w:t>人员姓名</w:t>
            </w:r>
          </w:p>
        </w:tc>
        <w:tc>
          <w:tcPr>
            <w:tcW w:w="4030" w:type="pct"/>
            <w:gridSpan w:val="2"/>
            <w:vAlign w:val="center"/>
          </w:tcPr>
          <w:p w14:paraId="6A740A79">
            <w:pPr>
              <w:pStyle w:val="13"/>
              <w:spacing w:after="120" w:afterLines="50" w:line="360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董事会秘书 </w:t>
            </w:r>
            <w:r>
              <w:rPr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范 潇</w:t>
            </w:r>
          </w:p>
        </w:tc>
      </w:tr>
      <w:tr w14:paraId="77E34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9" w:type="pct"/>
            <w:vAlign w:val="center"/>
          </w:tcPr>
          <w:p w14:paraId="314C7E04">
            <w:pPr>
              <w:pStyle w:val="13"/>
              <w:spacing w:before="116" w:line="313" w:lineRule="auto"/>
              <w:ind w:left="119" w:right="110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投资者关系活动主要内容介</w:t>
            </w:r>
            <w:r>
              <w:rPr>
                <w:lang w:eastAsia="zh-CN"/>
              </w:rPr>
              <w:t>绍</w:t>
            </w:r>
          </w:p>
        </w:tc>
        <w:tc>
          <w:tcPr>
            <w:tcW w:w="4030" w:type="pct"/>
            <w:gridSpan w:val="2"/>
            <w:vAlign w:val="center"/>
          </w:tcPr>
          <w:p w14:paraId="2472E33E">
            <w:pPr>
              <w:pStyle w:val="13"/>
              <w:spacing w:before="0" w:beforeLines="50" w:afterLines="50" w:line="360" w:lineRule="auto"/>
              <w:ind w:firstLine="482" w:firstLineChars="200"/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1</w:t>
            </w:r>
            <w:r>
              <w:rPr>
                <w:b/>
                <w:lang w:eastAsia="zh-CN"/>
              </w:rPr>
              <w:t>.</w:t>
            </w:r>
            <w:r>
              <w:rPr>
                <w:rFonts w:hint="eastAsia"/>
                <w:b/>
                <w:lang w:eastAsia="zh-CN"/>
              </w:rPr>
              <w:t>海信在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CES</w:t>
            </w:r>
            <w:r>
              <w:rPr>
                <w:rFonts w:hint="eastAsia"/>
                <w:b/>
                <w:lang w:eastAsia="zh-CN"/>
              </w:rPr>
              <w:t>展会上发布</w:t>
            </w:r>
            <w:r>
              <w:rPr>
                <w:rFonts w:hint="default" w:ascii="Times New Roman" w:hAnsi="Times New Roman" w:cs="Times New Roman"/>
                <w:b/>
                <w:bCs w:val="0"/>
                <w:lang w:eastAsia="zh-CN"/>
              </w:rPr>
              <w:t>RGB-Mini LED</w:t>
            </w:r>
            <w:r>
              <w:rPr>
                <w:rFonts w:hint="eastAsia"/>
                <w:b/>
                <w:lang w:eastAsia="zh-CN"/>
              </w:rPr>
              <w:t>电视及相关显示技术，能否详细介绍下该技术的竞争力？</w:t>
            </w:r>
          </w:p>
          <w:p w14:paraId="6B9CBFC9">
            <w:pPr>
              <w:pStyle w:val="13"/>
              <w:spacing w:before="0" w:beforeLines="50" w:afterLines="50" w:line="360" w:lineRule="auto"/>
              <w:ind w:firstLine="480" w:firstLineChars="2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答：作为全球领先的科技企业，海信以</w:t>
            </w:r>
            <w:r>
              <w:rPr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AI Your Life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为主题亮相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CES</w:t>
            </w:r>
            <w:r>
              <w:rPr>
                <w:rFonts w:hint="eastAsia"/>
                <w:lang w:eastAsia="zh-CN"/>
              </w:rPr>
              <w:t>展会，展示最新技术创新成果。会上，基于全新一代AI画质芯片和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RGB-Mini LED</w:t>
            </w:r>
            <w:r>
              <w:rPr>
                <w:rFonts w:hint="eastAsia"/>
                <w:lang w:eastAsia="zh-CN"/>
              </w:rPr>
              <w:t>芯片等技术突破，海信正式发布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RGB</w:t>
            </w:r>
            <w:r>
              <w:rPr>
                <w:rFonts w:hint="eastAsia"/>
                <w:lang w:eastAsia="zh-CN"/>
              </w:rPr>
              <w:t>三维控色液晶显示技术，以及全球首台</w:t>
            </w:r>
            <w:r>
              <w:rPr>
                <w:lang w:eastAsia="zh-CN"/>
              </w:rPr>
              <w:t xml:space="preserve">116 </w:t>
            </w:r>
            <w:r>
              <w:rPr>
                <w:rFonts w:hint="eastAsia"/>
                <w:lang w:eastAsia="zh-CN"/>
              </w:rPr>
              <w:t>英寸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RGB-Mini LED</w:t>
            </w:r>
            <w:r>
              <w:rPr>
                <w:rFonts w:hint="eastAsia"/>
                <w:lang w:eastAsia="zh-CN"/>
              </w:rPr>
              <w:t>电视（同时为全球目前尺寸最大的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Mini LED</w:t>
            </w:r>
            <w:r>
              <w:rPr>
                <w:rFonts w:hint="eastAsia"/>
                <w:lang w:eastAsia="zh-CN"/>
              </w:rPr>
              <w:t>电视）。海信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RGB-Mini LED</w:t>
            </w:r>
            <w:r>
              <w:rPr>
                <w:rFonts w:hint="eastAsia"/>
                <w:lang w:eastAsia="zh-CN"/>
              </w:rPr>
              <w:t>电视被评为全球科技突破产品并上榜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CES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2025</w:t>
            </w:r>
            <w:r>
              <w:rPr>
                <w:rFonts w:hint="eastAsia"/>
                <w:lang w:eastAsia="zh-CN"/>
              </w:rPr>
              <w:t>创新价值榜单。</w:t>
            </w:r>
          </w:p>
          <w:p w14:paraId="59311580">
            <w:pPr>
              <w:pStyle w:val="13"/>
              <w:spacing w:before="0" w:beforeLines="50" w:afterLines="50" w:line="360" w:lineRule="auto"/>
              <w:ind w:firstLine="480" w:firstLineChars="2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海信推动电视显示行业进入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RGB-Mini LED</w:t>
            </w:r>
            <w:r>
              <w:rPr>
                <w:rFonts w:hint="eastAsia"/>
                <w:lang w:eastAsia="zh-CN"/>
              </w:rPr>
              <w:t>时代。海信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RGB</w:t>
            </w:r>
            <w:r>
              <w:rPr>
                <w:rFonts w:hint="eastAsia"/>
                <w:lang w:eastAsia="zh-CN"/>
              </w:rPr>
              <w:t>三维控色液晶显示技术实现了显示从传统的黑白背光到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RGB</w:t>
            </w:r>
            <w:r>
              <w:rPr>
                <w:rFonts w:hint="eastAsia"/>
                <w:lang w:eastAsia="zh-CN"/>
              </w:rPr>
              <w:t>多基色背光、从单一的控光进化为光色同控的重大跨越。这一变革使得色彩更加逼真、细腻，细节更加丰富、清晰，同时在能效方面也实现了跨代领先，为全球液晶显示产业的创新打开了新的想象空间。</w:t>
            </w:r>
          </w:p>
          <w:p w14:paraId="4DBF439F">
            <w:pPr>
              <w:pStyle w:val="13"/>
              <w:spacing w:before="0" w:beforeLines="50" w:afterLines="50" w:line="360" w:lineRule="auto"/>
              <w:ind w:firstLine="480" w:firstLineChars="2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海信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RGB-Mini LED</w:t>
            </w:r>
            <w:r>
              <w:rPr>
                <w:rFonts w:hint="eastAsia"/>
                <w:lang w:eastAsia="zh-CN"/>
              </w:rPr>
              <w:t xml:space="preserve">电视能够实现97% 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BT.</w:t>
            </w:r>
            <w:r>
              <w:rPr>
                <w:rFonts w:hint="eastAsia"/>
                <w:lang w:eastAsia="zh-CN"/>
              </w:rPr>
              <w:t>2020的超高色域面积，比传统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Mini LED</w:t>
            </w:r>
            <w:r>
              <w:rPr>
                <w:rFonts w:hint="eastAsia"/>
                <w:lang w:eastAsia="zh-CN"/>
              </w:rPr>
              <w:t>提升20%以上，趋近业界最高色域标准的理想范围。另外，海信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RGB-Mini LED</w:t>
            </w:r>
            <w:r>
              <w:rPr>
                <w:rFonts w:hint="eastAsia"/>
                <w:lang w:eastAsia="zh-CN"/>
              </w:rPr>
              <w:t>电视还拥有87%的色彩体积，高色纯度分别达到 99%/92%/100%，光源控色精度高达3*26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bits</w:t>
            </w:r>
            <w:r>
              <w:rPr>
                <w:rFonts w:hint="eastAsia"/>
                <w:lang w:eastAsia="zh-CN"/>
              </w:rPr>
              <w:t>。这些参数让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RGB-Mini LED</w:t>
            </w:r>
            <w:r>
              <w:rPr>
                <w:rFonts w:hint="eastAsia"/>
                <w:lang w:eastAsia="zh-CN"/>
              </w:rPr>
              <w:t>电视创造了新的天花板。不仅如此，相比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QD-OLED</w:t>
            </w:r>
            <w:r>
              <w:rPr>
                <w:rFonts w:hint="eastAsia"/>
                <w:lang w:eastAsia="zh-CN"/>
              </w:rPr>
              <w:t>电视及传统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Mini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LED</w:t>
            </w:r>
            <w:r>
              <w:rPr>
                <w:rFonts w:hint="eastAsia"/>
                <w:lang w:eastAsia="zh-CN"/>
              </w:rPr>
              <w:t>电视，海信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RGB-Mini LED</w:t>
            </w:r>
            <w:r>
              <w:rPr>
                <w:rFonts w:hint="eastAsia"/>
                <w:lang w:eastAsia="zh-CN"/>
              </w:rPr>
              <w:t>电视实现节能20%以上。</w:t>
            </w:r>
          </w:p>
          <w:p w14:paraId="16CAD2F1">
            <w:pPr>
              <w:pStyle w:val="13"/>
              <w:spacing w:before="0" w:beforeLines="50" w:afterLines="50" w:line="360" w:lineRule="auto"/>
              <w:ind w:firstLine="480" w:firstLineChars="2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海信116英寸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RGB-Mini LED</w:t>
            </w:r>
            <w:r>
              <w:rPr>
                <w:rFonts w:hint="eastAsia"/>
                <w:lang w:eastAsia="zh-CN"/>
              </w:rPr>
              <w:t xml:space="preserve">电视的色彩表现全面超越 </w:t>
            </w:r>
            <w:r>
              <w:rPr>
                <w:rFonts w:hint="default" w:ascii="Times New Roman" w:hAnsi="Times New Roman" w:cs="Times New Roman"/>
                <w:lang w:eastAsia="zh-CN"/>
              </w:rPr>
              <w:t>QD-OLED</w:t>
            </w:r>
            <w:r>
              <w:rPr>
                <w:rFonts w:hint="eastAsia"/>
                <w:lang w:eastAsia="zh-CN"/>
              </w:rPr>
              <w:t>，已获得潘通色彩认证，该款电视预计于今年3月实现量产上市。</w:t>
            </w:r>
          </w:p>
          <w:p w14:paraId="2472E33E">
            <w:pPr>
              <w:pStyle w:val="13"/>
              <w:spacing w:before="0" w:beforeLines="50" w:afterLines="50" w:line="360" w:lineRule="auto"/>
              <w:ind w:firstLine="482" w:firstLineChars="200"/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2</w:t>
            </w:r>
            <w:r>
              <w:rPr>
                <w:b/>
                <w:lang w:eastAsia="zh-CN"/>
              </w:rPr>
              <w:t>.</w:t>
            </w:r>
            <w:r>
              <w:rPr>
                <w:rFonts w:hint="eastAsia"/>
                <w:b/>
                <w:lang w:eastAsia="zh-CN"/>
              </w:rPr>
              <w:t>公司激光电视未来规划？今年有哪些新品？</w:t>
            </w:r>
          </w:p>
          <w:p w14:paraId="05317980">
            <w:pPr>
              <w:pStyle w:val="13"/>
              <w:spacing w:before="0" w:beforeLines="50" w:afterLines="50" w:line="360" w:lineRule="auto"/>
              <w:ind w:firstLine="480" w:firstLineChars="2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答：公司聚焦打造激光显示产品更精致的外观、更好的画质、更低的延时、更宽的亮度选择、更低的能耗、更多场景适应、更具竞争力的成本优势等，努力构建新一轮的产业优势和市场攻势：首先，坚持小型化、集成化的技术路线，建立高效能与成本优势；其次，在护眼的同时，通过提高激光利用效率和降低激光器成本，持续提升激光电视的亮度，建立技术优势；最后，继续突破并落地卷曲屏和折叠技术的应用，解决大尺寸电视入户难的问题，使得激光电视在重量、耗电、搬运和安装方面的优势更加明显。</w:t>
            </w:r>
          </w:p>
          <w:p w14:paraId="5D918B6D">
            <w:pPr>
              <w:pStyle w:val="13"/>
              <w:spacing w:before="0" w:beforeLines="50" w:afterLines="50" w:line="360" w:lineRule="auto"/>
              <w:ind w:firstLine="480" w:firstLineChars="2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未来，激光显示技术有望渗透到更多细分领域，如车载显示、艺术创作、文化旅游和专业电影制作等，为不同人群提供多样化的显示解决方案。在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CES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2025的展会上，公司发布了超高亮激光电视、100吋升降卷曲屏激光电视、超小主机激光电视、超低延时激光电视等。</w:t>
            </w:r>
          </w:p>
          <w:p w14:paraId="2472E33E">
            <w:pPr>
              <w:pStyle w:val="13"/>
              <w:spacing w:before="0" w:beforeLines="50" w:afterLines="50" w:line="360" w:lineRule="auto"/>
              <w:ind w:firstLine="482" w:firstLineChars="200"/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3.从公司业绩预告中可以看出四季度公司业绩表现优异，请问主要驱动因素是哪些？</w:t>
            </w:r>
          </w:p>
          <w:p w14:paraId="256ABD59">
            <w:pPr>
              <w:pStyle w:val="13"/>
              <w:spacing w:before="0" w:beforeLines="50" w:afterLines="50" w:line="360" w:lineRule="auto"/>
              <w:ind w:firstLine="480" w:firstLineChars="2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答：面对市场</w:t>
            </w:r>
            <w:r>
              <w:rPr>
                <w:lang w:eastAsia="zh-CN"/>
              </w:rPr>
              <w:t>环境复杂多变</w:t>
            </w:r>
            <w:r>
              <w:rPr>
                <w:rFonts w:hint="eastAsia"/>
                <w:lang w:eastAsia="zh-CN"/>
              </w:rPr>
              <w:t>的形势，公司坚定全球化、高端化战略，坚持推进数字化转型，</w:t>
            </w:r>
            <w:r>
              <w:rPr>
                <w:lang w:eastAsia="zh-CN"/>
              </w:rPr>
              <w:t>紧紧围绕高质量发展，积极把握政策机遇，实现了稳健的经营</w:t>
            </w:r>
            <w:r>
              <w:rPr>
                <w:rFonts w:hint="eastAsia"/>
                <w:lang w:eastAsia="zh-CN"/>
              </w:rPr>
              <w:t>态势。</w:t>
            </w:r>
          </w:p>
          <w:p w14:paraId="5917CD97">
            <w:pPr>
              <w:pStyle w:val="13"/>
              <w:spacing w:before="0" w:beforeLines="50" w:afterLines="50" w:line="360" w:lineRule="auto"/>
              <w:ind w:firstLine="480" w:firstLineChars="2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在全球化方面，公司坚持自主品牌出海与高端出海，通过世界顶级体育赛事营销全面提升品牌力和国际化水平，通过全球本土化布局不断完善供应链和推动产品应用创新。公司全球品牌影响力不断增强，境外销售规模持续增长。</w:t>
            </w:r>
          </w:p>
          <w:p w14:paraId="16542B49">
            <w:pPr>
              <w:pStyle w:val="13"/>
              <w:spacing w:before="0" w:beforeLines="50" w:afterLines="50" w:line="360" w:lineRule="auto"/>
              <w:ind w:firstLine="480" w:firstLineChars="2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在高端化方面，公司坚持推动产品向高端化转型，产业链向高科技领域延伸，在液晶显示、新型显示、人工智能等领域持续发力，不断取得技术突破与创新成果，为行业创新发展与产业升级注入坚实动力。公司产品结构持续优化，高端、大屏产品占比稳步提升。</w:t>
            </w:r>
          </w:p>
          <w:p w14:paraId="44C6CCA6">
            <w:pPr>
              <w:pStyle w:val="13"/>
              <w:spacing w:before="0" w:beforeLines="50" w:afterLines="50" w:line="360" w:lineRule="auto"/>
              <w:ind w:firstLine="480" w:firstLineChars="2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在数字化方面，公司积极推进数字化转型，开展业务流程优化，从经营机制到管理模式，全面深化数字化变革，以数字技术赋能企业运营，提升整体经营效率与管理能力。公司关键费用率持续下降，周转效率不断提高。</w:t>
            </w:r>
          </w:p>
          <w:p w14:paraId="2472E33E">
            <w:pPr>
              <w:pStyle w:val="13"/>
              <w:spacing w:before="0" w:beforeLines="50" w:afterLines="50" w:line="360" w:lineRule="auto"/>
              <w:ind w:firstLine="482" w:firstLineChars="200"/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4.请介绍一下公司赞助本届世俱杯的相关情况。</w:t>
            </w:r>
          </w:p>
          <w:p w14:paraId="7F49CD0A">
            <w:pPr>
              <w:pStyle w:val="13"/>
              <w:spacing w:before="0" w:beforeLines="50" w:afterLines="50" w:line="360" w:lineRule="auto"/>
              <w:ind w:firstLine="480" w:firstLineChars="2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答：世俱杯</w:t>
            </w:r>
            <w:r>
              <w:rPr>
                <w:rStyle w:val="11"/>
                <w:rFonts w:hint="eastAsia" w:ascii="Arial" w:hAnsi="Arial" w:cs="Arial"/>
                <w:lang w:eastAsia="zh-CN"/>
              </w:rPr>
              <w:t>（</w:t>
            </w:r>
            <w:r>
              <w:rPr>
                <w:rStyle w:val="11"/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 xml:space="preserve"> FIFA Club World Cup</w:t>
            </w:r>
            <w:r>
              <w:rPr>
                <w:rStyle w:val="11"/>
                <w:rFonts w:hint="eastAsia" w:ascii="Arial" w:hAnsi="Arial" w:cs="Arial"/>
                <w:lang w:eastAsia="zh-CN"/>
              </w:rPr>
              <w:t xml:space="preserve"> ）</w:t>
            </w:r>
            <w:r>
              <w:rPr>
                <w:rFonts w:hint="eastAsia"/>
                <w:lang w:eastAsia="zh-CN"/>
              </w:rPr>
              <w:t xml:space="preserve">是一项由国际足联主办，来自六大洲顶级的球队参与的国际性足球锦标赛。2025 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FIFA</w:t>
            </w:r>
            <w:r>
              <w:rPr>
                <w:rFonts w:hint="eastAsia"/>
                <w:lang w:eastAsia="zh-CN"/>
              </w:rPr>
              <w:t>世俱杯将迎来全新升级，这一届赛事将从过去的每年一届改为四年一届，规模更大、更具影响力。</w:t>
            </w:r>
            <w:r>
              <w:rPr>
                <w:lang w:eastAsia="zh-CN"/>
              </w:rPr>
              <w:t>今年6月1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日至7月13日，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FIFA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2025世俱杯将在美国11个城市举办。</w:t>
            </w:r>
          </w:p>
          <w:p w14:paraId="2472E33E">
            <w:pPr>
              <w:pStyle w:val="13"/>
              <w:spacing w:beforeLines="50" w:after="0" w:afterLines="50" w:line="360" w:lineRule="auto"/>
              <w:ind w:firstLine="480" w:firstLineChars="200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作为</w:t>
            </w:r>
            <w:r>
              <w:rPr>
                <w:rFonts w:hint="eastAsia"/>
                <w:lang w:eastAsia="zh-CN"/>
              </w:rPr>
              <w:t xml:space="preserve">2025 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FIFA</w:t>
            </w:r>
            <w:r>
              <w:rPr>
                <w:rFonts w:hint="eastAsia"/>
                <w:lang w:eastAsia="zh-CN"/>
              </w:rPr>
              <w:t>世俱杯全球官方合作伙伴</w:t>
            </w:r>
            <w:r>
              <w:rPr>
                <w:lang w:eastAsia="zh-CN"/>
              </w:rPr>
              <w:t>，海信将与国际足联展开深度合作，为全球的球迷创造更加沉浸和精彩的观赛体验，创造更多有意义和愉快的时刻</w:t>
            </w:r>
            <w:r>
              <w:rPr>
                <w:rFonts w:hint="eastAsia"/>
                <w:lang w:eastAsia="zh-CN"/>
              </w:rPr>
              <w:t>，同时也为公司全球品牌力的提升提供巨大助力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。</w:t>
            </w:r>
          </w:p>
        </w:tc>
      </w:tr>
    </w:tbl>
    <w:p w14:paraId="49762EC5">
      <w:pPr>
        <w:rPr>
          <w:lang w:eastAsia="zh-CN"/>
        </w:rPr>
      </w:pPr>
    </w:p>
    <w:sectPr>
      <w:pgSz w:w="11907" w:h="16839"/>
      <w:pgMar w:top="737" w:right="1694" w:bottom="737" w:left="169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27"/>
    <w:rsid w:val="000258DA"/>
    <w:rsid w:val="00027473"/>
    <w:rsid w:val="000433B0"/>
    <w:rsid w:val="000566D4"/>
    <w:rsid w:val="00063A98"/>
    <w:rsid w:val="000648F2"/>
    <w:rsid w:val="000720F6"/>
    <w:rsid w:val="000878B0"/>
    <w:rsid w:val="00096328"/>
    <w:rsid w:val="000C4CE2"/>
    <w:rsid w:val="000D7D44"/>
    <w:rsid w:val="000F6158"/>
    <w:rsid w:val="00102283"/>
    <w:rsid w:val="00132FD5"/>
    <w:rsid w:val="00152FD0"/>
    <w:rsid w:val="00153A81"/>
    <w:rsid w:val="00161E1E"/>
    <w:rsid w:val="00180497"/>
    <w:rsid w:val="0018684E"/>
    <w:rsid w:val="001878F1"/>
    <w:rsid w:val="001A7542"/>
    <w:rsid w:val="001B21C1"/>
    <w:rsid w:val="001C061C"/>
    <w:rsid w:val="001C5778"/>
    <w:rsid w:val="001D1F73"/>
    <w:rsid w:val="002078FE"/>
    <w:rsid w:val="00227F8A"/>
    <w:rsid w:val="002419CA"/>
    <w:rsid w:val="00251171"/>
    <w:rsid w:val="00255864"/>
    <w:rsid w:val="002630E1"/>
    <w:rsid w:val="00282F35"/>
    <w:rsid w:val="00304697"/>
    <w:rsid w:val="00313B73"/>
    <w:rsid w:val="0033713F"/>
    <w:rsid w:val="003727CA"/>
    <w:rsid w:val="00381231"/>
    <w:rsid w:val="003A1EDC"/>
    <w:rsid w:val="003B42D1"/>
    <w:rsid w:val="003C6F36"/>
    <w:rsid w:val="00416404"/>
    <w:rsid w:val="0045514D"/>
    <w:rsid w:val="0046515E"/>
    <w:rsid w:val="0047436B"/>
    <w:rsid w:val="00497D95"/>
    <w:rsid w:val="004A074D"/>
    <w:rsid w:val="004A6E80"/>
    <w:rsid w:val="004D379F"/>
    <w:rsid w:val="004D650C"/>
    <w:rsid w:val="004F0040"/>
    <w:rsid w:val="00503B28"/>
    <w:rsid w:val="005203B6"/>
    <w:rsid w:val="005242AD"/>
    <w:rsid w:val="0057355D"/>
    <w:rsid w:val="00582B2F"/>
    <w:rsid w:val="005B57CE"/>
    <w:rsid w:val="0060571A"/>
    <w:rsid w:val="006262FC"/>
    <w:rsid w:val="00642804"/>
    <w:rsid w:val="00646BDD"/>
    <w:rsid w:val="006A40AC"/>
    <w:rsid w:val="006B0432"/>
    <w:rsid w:val="006B1E29"/>
    <w:rsid w:val="006B6C0C"/>
    <w:rsid w:val="006D76E5"/>
    <w:rsid w:val="006F3A6B"/>
    <w:rsid w:val="00701A97"/>
    <w:rsid w:val="007069FF"/>
    <w:rsid w:val="00721A3C"/>
    <w:rsid w:val="007235DA"/>
    <w:rsid w:val="007253E1"/>
    <w:rsid w:val="00734E08"/>
    <w:rsid w:val="00735CFA"/>
    <w:rsid w:val="00747F36"/>
    <w:rsid w:val="00754290"/>
    <w:rsid w:val="00754498"/>
    <w:rsid w:val="007C57A9"/>
    <w:rsid w:val="007C6CB9"/>
    <w:rsid w:val="007F30CB"/>
    <w:rsid w:val="008062D6"/>
    <w:rsid w:val="0081198C"/>
    <w:rsid w:val="00897825"/>
    <w:rsid w:val="008B4BD6"/>
    <w:rsid w:val="008C4D9D"/>
    <w:rsid w:val="008D6412"/>
    <w:rsid w:val="008F0267"/>
    <w:rsid w:val="00912E03"/>
    <w:rsid w:val="00935084"/>
    <w:rsid w:val="0098378D"/>
    <w:rsid w:val="009A1671"/>
    <w:rsid w:val="009A7ED2"/>
    <w:rsid w:val="009B2534"/>
    <w:rsid w:val="009B5B12"/>
    <w:rsid w:val="009C1127"/>
    <w:rsid w:val="009E77AC"/>
    <w:rsid w:val="00A25AB4"/>
    <w:rsid w:val="00A3641B"/>
    <w:rsid w:val="00A77627"/>
    <w:rsid w:val="00AC7BB4"/>
    <w:rsid w:val="00B42227"/>
    <w:rsid w:val="00B608BD"/>
    <w:rsid w:val="00B635FD"/>
    <w:rsid w:val="00B90D34"/>
    <w:rsid w:val="00BC7451"/>
    <w:rsid w:val="00BE2107"/>
    <w:rsid w:val="00C12561"/>
    <w:rsid w:val="00C248D5"/>
    <w:rsid w:val="00C330F9"/>
    <w:rsid w:val="00C54CCF"/>
    <w:rsid w:val="00C721DD"/>
    <w:rsid w:val="00C8294D"/>
    <w:rsid w:val="00C92ECE"/>
    <w:rsid w:val="00C9419A"/>
    <w:rsid w:val="00CA5D74"/>
    <w:rsid w:val="00CB6B05"/>
    <w:rsid w:val="00CB7634"/>
    <w:rsid w:val="00CB78FF"/>
    <w:rsid w:val="00D30CD2"/>
    <w:rsid w:val="00D6574B"/>
    <w:rsid w:val="00D82759"/>
    <w:rsid w:val="00DE5956"/>
    <w:rsid w:val="00DF152D"/>
    <w:rsid w:val="00E273C3"/>
    <w:rsid w:val="00E4143F"/>
    <w:rsid w:val="00E72277"/>
    <w:rsid w:val="00EA0E43"/>
    <w:rsid w:val="00EB2569"/>
    <w:rsid w:val="00F078B0"/>
    <w:rsid w:val="00F564FC"/>
    <w:rsid w:val="00F6150B"/>
    <w:rsid w:val="00F65985"/>
    <w:rsid w:val="00F67A80"/>
    <w:rsid w:val="00FD1A68"/>
    <w:rsid w:val="00FD4774"/>
    <w:rsid w:val="00FE57BF"/>
    <w:rsid w:val="012B4701"/>
    <w:rsid w:val="01D628BE"/>
    <w:rsid w:val="037C716B"/>
    <w:rsid w:val="03E219EE"/>
    <w:rsid w:val="076C7F34"/>
    <w:rsid w:val="08A70B11"/>
    <w:rsid w:val="09671F72"/>
    <w:rsid w:val="09E10052"/>
    <w:rsid w:val="12AA1929"/>
    <w:rsid w:val="1384217A"/>
    <w:rsid w:val="1708666A"/>
    <w:rsid w:val="19037FE5"/>
    <w:rsid w:val="19C24C2F"/>
    <w:rsid w:val="19F33BB6"/>
    <w:rsid w:val="1B5A59F0"/>
    <w:rsid w:val="1CFA16FF"/>
    <w:rsid w:val="1E000793"/>
    <w:rsid w:val="1F182311"/>
    <w:rsid w:val="1F69491A"/>
    <w:rsid w:val="208D2876"/>
    <w:rsid w:val="211D3DA7"/>
    <w:rsid w:val="2BDA654F"/>
    <w:rsid w:val="2CA15303"/>
    <w:rsid w:val="2EA927A9"/>
    <w:rsid w:val="2F991CA5"/>
    <w:rsid w:val="37922808"/>
    <w:rsid w:val="3A2B2AA0"/>
    <w:rsid w:val="3DC6320C"/>
    <w:rsid w:val="3EFB0C93"/>
    <w:rsid w:val="3F7B000C"/>
    <w:rsid w:val="3FBDE036"/>
    <w:rsid w:val="41B45A71"/>
    <w:rsid w:val="44537B7B"/>
    <w:rsid w:val="45B846D6"/>
    <w:rsid w:val="47F008D6"/>
    <w:rsid w:val="48C46704"/>
    <w:rsid w:val="492D2391"/>
    <w:rsid w:val="49D62A28"/>
    <w:rsid w:val="4A6E0CD3"/>
    <w:rsid w:val="4C013FBC"/>
    <w:rsid w:val="4F0F2539"/>
    <w:rsid w:val="55F10BEA"/>
    <w:rsid w:val="5C2B2A4F"/>
    <w:rsid w:val="5CEB76B4"/>
    <w:rsid w:val="5FF39DF9"/>
    <w:rsid w:val="60B13450"/>
    <w:rsid w:val="60FE2644"/>
    <w:rsid w:val="63021D41"/>
    <w:rsid w:val="63057A83"/>
    <w:rsid w:val="657F3B1C"/>
    <w:rsid w:val="660D1128"/>
    <w:rsid w:val="66553BDD"/>
    <w:rsid w:val="691A4E3E"/>
    <w:rsid w:val="6E7B6E4B"/>
    <w:rsid w:val="6F024E2E"/>
    <w:rsid w:val="722B4B4E"/>
    <w:rsid w:val="752244C4"/>
    <w:rsid w:val="770045CD"/>
    <w:rsid w:val="77212C85"/>
    <w:rsid w:val="77534E09"/>
    <w:rsid w:val="775F515F"/>
    <w:rsid w:val="796B2DFE"/>
    <w:rsid w:val="7DD30D3F"/>
    <w:rsid w:val="7EAB7A4E"/>
    <w:rsid w:val="CFFA9BEF"/>
    <w:rsid w:val="DFDBE67B"/>
    <w:rsid w:val="F5A7D12F"/>
    <w:rsid w:val="FFDF8FA6"/>
    <w:rsid w:val="FFEFF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eastAsia="zh-CN"/>
    </w:rPr>
  </w:style>
  <w:style w:type="paragraph" w:styleId="7">
    <w:name w:val="Normal (Web)"/>
    <w:basedOn w:val="1"/>
    <w:qFormat/>
    <w:uiPriority w:val="0"/>
    <w:pPr>
      <w:widowControl w:val="0"/>
      <w:kinsoku/>
      <w:autoSpaceDE/>
      <w:autoSpaceDN/>
      <w:adjustRightInd/>
      <w:snapToGrid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24"/>
      <w:szCs w:val="24"/>
      <w:lang w:eastAsia="zh-CN"/>
    </w:rPr>
  </w:style>
  <w:style w:type="paragraph" w:styleId="8">
    <w:name w:val="annotation subject"/>
    <w:basedOn w:val="2"/>
    <w:next w:val="2"/>
    <w:link w:val="19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6">
    <w:name w:val="页脚 字符"/>
    <w:basedOn w:val="10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7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8">
    <w:name w:val="批注文字 字符"/>
    <w:basedOn w:val="10"/>
    <w:link w:val="2"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19">
    <w:name w:val="批注主题 字符"/>
    <w:basedOn w:val="18"/>
    <w:link w:val="8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20">
    <w:name w:val="批注框文本 字符"/>
    <w:basedOn w:val="10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1">
    <w:name w:val="修订2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22">
    <w:name w:val="Revision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18F0A-24C9-4992-85EB-A61AC1F286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2156</Words>
  <Characters>2425</Characters>
  <Lines>16</Lines>
  <Paragraphs>4</Paragraphs>
  <TotalTime>17</TotalTime>
  <ScaleCrop>false</ScaleCrop>
  <LinksUpToDate>false</LinksUpToDate>
  <CharactersWithSpaces>2529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2025-01-24T02:07:00Z</dcterms:created>
  <dc:creator>Data</dc:creator>
  <cp:lastModifiedBy>郝艳芳</cp:lastModifiedBy>
  <dcterms:modified xsi:type="dcterms:W3CDTF">2025-01-26T08:35:43Z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2024-08-12T09:26:14Z</vt:filetime>
  </property>
  <property fmtid="{D5CDD505-2E9C-101B-9397-08002B2CF9AE}" pid="4" name="KSOProductBuildVer">
    <vt:lpwstr>2052-12.1.0.19770</vt:lpwstr>
  </property>
  <property fmtid="{D5CDD505-2E9C-101B-9397-08002B2CF9AE}" pid="5" name="ICV">
    <vt:lpwstr>71051276D6694E84B22590D0AD56E5BB_13</vt:lpwstr>
  </property>
  <property fmtid="{D5CDD505-2E9C-101B-9397-08002B2CF9AE}" pid="6" name="KSOTemplateDocerSaveRecord">
    <vt:lpwstr>eyJoZGlkIjoiNzU0YWEzZTBmNGEwMDVhOTBmODg2ZGQ4OWJjNTJiMGEiLCJ1c2VySWQiOiIzOTkwMDU2MjcifQ==</vt:lpwstr>
  </property>
</Properties>
</file>