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C2D8" w14:textId="77777777" w:rsidR="000B2378" w:rsidRDefault="00000000">
      <w:pPr>
        <w:spacing w:before="121" w:line="219" w:lineRule="auto"/>
        <w:ind w:left="23"/>
        <w:rPr>
          <w:rFonts w:ascii="Arial Narrow" w:eastAsia="宋体" w:hAnsi="Arial Narrow" w:cs="宋体"/>
          <w:sz w:val="24"/>
          <w:szCs w:val="24"/>
          <w:lang w:eastAsia="zh-CN"/>
        </w:rPr>
      </w:pPr>
      <w:r>
        <w:rPr>
          <w:rFonts w:ascii="Arial Narrow" w:eastAsia="宋体" w:hAnsi="Arial Narrow" w:cs="宋体"/>
          <w:sz w:val="24"/>
          <w:szCs w:val="24"/>
          <w:lang w:eastAsia="zh-CN"/>
        </w:rPr>
        <w:t>证券代码：</w:t>
      </w:r>
      <w:r>
        <w:rPr>
          <w:rFonts w:ascii="Arial Narrow" w:eastAsia="宋体" w:hAnsi="Arial Narrow" w:cs="宋体"/>
          <w:sz w:val="24"/>
          <w:szCs w:val="24"/>
          <w:lang w:eastAsia="zh-CN"/>
        </w:rPr>
        <w:t>60</w:t>
      </w:r>
      <w:r>
        <w:rPr>
          <w:rFonts w:ascii="Arial Narrow" w:eastAsia="宋体" w:hAnsi="Arial Narrow" w:cs="宋体" w:hint="eastAsia"/>
          <w:sz w:val="24"/>
          <w:szCs w:val="24"/>
          <w:lang w:eastAsia="zh-CN"/>
        </w:rPr>
        <w:t>0438</w:t>
      </w:r>
      <w:r>
        <w:rPr>
          <w:rFonts w:ascii="Arial Narrow" w:eastAsia="宋体" w:hAnsi="Arial Narrow" w:cs="宋体"/>
          <w:sz w:val="24"/>
          <w:szCs w:val="24"/>
          <w:lang w:eastAsia="zh-CN"/>
        </w:rPr>
        <w:t xml:space="preserve">      </w:t>
      </w:r>
      <w:r>
        <w:rPr>
          <w:rFonts w:ascii="Arial Narrow" w:eastAsia="宋体" w:hAnsi="Arial Narrow" w:cs="宋体" w:hint="eastAsia"/>
          <w:sz w:val="24"/>
          <w:szCs w:val="24"/>
          <w:lang w:eastAsia="zh-CN"/>
        </w:rPr>
        <w:t xml:space="preserve">       </w:t>
      </w:r>
      <w:r>
        <w:rPr>
          <w:rFonts w:ascii="Arial Narrow" w:eastAsia="宋体" w:hAnsi="Arial Narrow" w:cs="宋体"/>
          <w:sz w:val="24"/>
          <w:szCs w:val="24"/>
          <w:lang w:eastAsia="zh-CN"/>
        </w:rPr>
        <w:t xml:space="preserve">   </w:t>
      </w:r>
      <w:r>
        <w:rPr>
          <w:rFonts w:ascii="Arial Narrow" w:eastAsia="宋体" w:hAnsi="Arial Narrow" w:cs="宋体" w:hint="eastAsia"/>
          <w:sz w:val="24"/>
          <w:szCs w:val="24"/>
          <w:lang w:eastAsia="zh-CN"/>
        </w:rPr>
        <w:t xml:space="preserve"> </w:t>
      </w:r>
      <w:r>
        <w:rPr>
          <w:rFonts w:ascii="Arial Narrow" w:eastAsia="宋体" w:hAnsi="Arial Narrow" w:cs="宋体"/>
          <w:sz w:val="24"/>
          <w:szCs w:val="24"/>
          <w:lang w:eastAsia="zh-CN"/>
        </w:rPr>
        <w:t xml:space="preserve">     </w:t>
      </w:r>
      <w:r>
        <w:rPr>
          <w:rFonts w:ascii="Arial Narrow" w:eastAsia="宋体" w:hAnsi="Arial Narrow" w:cs="宋体"/>
          <w:spacing w:val="-1"/>
          <w:sz w:val="24"/>
          <w:szCs w:val="24"/>
          <w:lang w:eastAsia="zh-CN"/>
        </w:rPr>
        <w:t>证券简称：</w:t>
      </w:r>
      <w:r>
        <w:rPr>
          <w:rFonts w:ascii="Arial Narrow" w:eastAsia="宋体" w:hAnsi="Arial Narrow" w:cs="宋体" w:hint="eastAsia"/>
          <w:spacing w:val="-1"/>
          <w:sz w:val="24"/>
          <w:szCs w:val="24"/>
          <w:lang w:eastAsia="zh-CN"/>
        </w:rPr>
        <w:t>通威股份</w:t>
      </w:r>
      <w:r>
        <w:rPr>
          <w:rFonts w:ascii="Arial Narrow" w:eastAsia="宋体" w:hAnsi="Arial Narrow" w:cs="宋体" w:hint="eastAsia"/>
          <w:spacing w:val="-1"/>
          <w:sz w:val="24"/>
          <w:szCs w:val="24"/>
          <w:lang w:eastAsia="zh-CN"/>
        </w:rPr>
        <w:t xml:space="preserve">                          </w:t>
      </w:r>
      <w:r>
        <w:rPr>
          <w:rFonts w:ascii="Arial Narrow" w:eastAsia="宋体" w:hAnsi="Arial Narrow" w:cs="宋体" w:hint="eastAsia"/>
          <w:spacing w:val="-1"/>
          <w:sz w:val="24"/>
          <w:szCs w:val="24"/>
          <w:lang w:eastAsia="zh-CN"/>
        </w:rPr>
        <w:t>编号：</w:t>
      </w:r>
      <w:r>
        <w:rPr>
          <w:rFonts w:ascii="Arial Narrow" w:eastAsia="宋体" w:hAnsi="Arial Narrow" w:cs="宋体" w:hint="eastAsia"/>
          <w:spacing w:val="-1"/>
          <w:sz w:val="24"/>
          <w:szCs w:val="24"/>
          <w:lang w:eastAsia="zh-CN"/>
        </w:rPr>
        <w:t>2025-02</w:t>
      </w:r>
    </w:p>
    <w:p w14:paraId="48F3C94F" w14:textId="77777777" w:rsidR="000B2378" w:rsidRDefault="00000000">
      <w:pPr>
        <w:spacing w:beforeLines="200" w:before="480" w:line="360" w:lineRule="auto"/>
        <w:jc w:val="center"/>
        <w:outlineLvl w:val="0"/>
        <w:rPr>
          <w:rFonts w:ascii="Arial Narrow" w:eastAsia="宋体" w:hAnsi="Arial Narrow" w:cs="宋体"/>
          <w:spacing w:val="3"/>
          <w:sz w:val="32"/>
          <w:szCs w:val="32"/>
          <w:lang w:eastAsia="zh-CN"/>
        </w:rPr>
      </w:pPr>
      <w:r>
        <w:rPr>
          <w:rFonts w:ascii="Arial Narrow" w:eastAsia="宋体" w:hAnsi="Arial Narrow" w:cs="宋体" w:hint="eastAsia"/>
          <w:b/>
          <w:bCs/>
          <w:spacing w:val="-4"/>
          <w:sz w:val="32"/>
          <w:szCs w:val="32"/>
          <w:lang w:eastAsia="zh-CN"/>
        </w:rPr>
        <w:t>通威股份</w:t>
      </w:r>
      <w:r>
        <w:rPr>
          <w:rFonts w:ascii="Arial Narrow" w:eastAsia="宋体" w:hAnsi="Arial Narrow" w:cs="宋体"/>
          <w:b/>
          <w:bCs/>
          <w:spacing w:val="-4"/>
          <w:sz w:val="32"/>
          <w:szCs w:val="32"/>
          <w:lang w:eastAsia="zh-CN"/>
        </w:rPr>
        <w:t>股份有限公司</w:t>
      </w:r>
    </w:p>
    <w:p w14:paraId="4B7ECAAB" w14:textId="77777777" w:rsidR="000B2378" w:rsidRDefault="00000000">
      <w:pPr>
        <w:spacing w:line="360" w:lineRule="auto"/>
        <w:jc w:val="center"/>
        <w:outlineLvl w:val="0"/>
        <w:rPr>
          <w:rFonts w:ascii="Arial Narrow" w:eastAsia="宋体" w:hAnsi="Arial Narrow" w:cs="宋体"/>
          <w:sz w:val="32"/>
          <w:szCs w:val="32"/>
          <w:lang w:eastAsia="zh-CN"/>
        </w:rPr>
      </w:pPr>
      <w:r>
        <w:rPr>
          <w:rFonts w:ascii="Arial Narrow" w:eastAsia="宋体" w:hAnsi="Arial Narrow" w:cs="宋体"/>
          <w:b/>
          <w:bCs/>
          <w:spacing w:val="-3"/>
          <w:sz w:val="32"/>
          <w:szCs w:val="32"/>
          <w:lang w:eastAsia="zh-CN"/>
        </w:rPr>
        <w:t>投资者关系活动记录表</w:t>
      </w:r>
    </w:p>
    <w:p w14:paraId="5A31DC55" w14:textId="77777777" w:rsidR="000B2378" w:rsidRDefault="000B2378">
      <w:pPr>
        <w:spacing w:line="69" w:lineRule="exact"/>
        <w:rPr>
          <w:lang w:eastAsia="zh-CN"/>
        </w:rPr>
      </w:pPr>
    </w:p>
    <w:tbl>
      <w:tblPr>
        <w:tblStyle w:val="TableNormal"/>
        <w:tblW w:w="499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856"/>
        <w:gridCol w:w="2361"/>
        <w:gridCol w:w="4123"/>
      </w:tblGrid>
      <w:tr w:rsidR="000B2378" w14:paraId="6D957901" w14:textId="77777777">
        <w:trPr>
          <w:trHeight w:val="2349"/>
        </w:trPr>
        <w:tc>
          <w:tcPr>
            <w:tcW w:w="1112" w:type="pct"/>
            <w:vAlign w:val="center"/>
          </w:tcPr>
          <w:p w14:paraId="45DE9D64" w14:textId="77777777" w:rsidR="000B2378" w:rsidRDefault="00000000">
            <w:pPr>
              <w:pStyle w:val="TableText"/>
              <w:spacing w:before="120" w:line="347" w:lineRule="auto"/>
              <w:ind w:left="118" w:right="109" w:firstLine="1"/>
              <w:rPr>
                <w:rFonts w:hint="eastAsia"/>
              </w:rPr>
            </w:pPr>
            <w:proofErr w:type="spellStart"/>
            <w:r>
              <w:rPr>
                <w:spacing w:val="27"/>
              </w:rPr>
              <w:t>投资者关系活</w:t>
            </w:r>
            <w:proofErr w:type="spellEnd"/>
            <w:r>
              <w:rPr>
                <w:spacing w:val="4"/>
              </w:rPr>
              <w:t xml:space="preserve"> </w:t>
            </w:r>
            <w:proofErr w:type="spellStart"/>
            <w:r>
              <w:rPr>
                <w:spacing w:val="-3"/>
              </w:rPr>
              <w:t>动类别</w:t>
            </w:r>
            <w:proofErr w:type="spellEnd"/>
          </w:p>
        </w:tc>
        <w:tc>
          <w:tcPr>
            <w:tcW w:w="1415" w:type="pct"/>
            <w:tcBorders>
              <w:right w:val="nil"/>
            </w:tcBorders>
          </w:tcPr>
          <w:p w14:paraId="0848F07B" w14:textId="77777777" w:rsidR="000B2378" w:rsidRDefault="00000000">
            <w:pPr>
              <w:pStyle w:val="TableText"/>
              <w:spacing w:before="120" w:line="220" w:lineRule="auto"/>
              <w:ind w:left="137"/>
              <w:rPr>
                <w:rFonts w:hint="eastAsia"/>
                <w:lang w:eastAsia="zh-CN"/>
              </w:rPr>
            </w:pPr>
            <w:r>
              <w:rPr>
                <w:rFonts w:ascii="Segoe UI Symbol" w:hAnsi="Segoe UI Symbol" w:cs="Segoe UI Symbol" w:hint="eastAsia"/>
                <w:spacing w:val="-5"/>
                <w:lang w:eastAsia="zh-CN"/>
              </w:rPr>
              <w:t>☑</w:t>
            </w:r>
            <w:r>
              <w:rPr>
                <w:spacing w:val="-5"/>
                <w:lang w:eastAsia="zh-CN"/>
              </w:rPr>
              <w:t>特定对象调研</w:t>
            </w:r>
          </w:p>
          <w:p w14:paraId="713E486A" w14:textId="77777777" w:rsidR="000B2378" w:rsidRDefault="00000000">
            <w:pPr>
              <w:pStyle w:val="TableText"/>
              <w:spacing w:before="120" w:line="219" w:lineRule="auto"/>
              <w:ind w:left="137"/>
              <w:rPr>
                <w:rFonts w:hint="eastAsia"/>
                <w:lang w:eastAsia="zh-CN"/>
              </w:rPr>
            </w:pPr>
            <w:r>
              <w:rPr>
                <w:spacing w:val="-6"/>
                <w:lang w:eastAsia="zh-CN"/>
              </w:rPr>
              <w:t>□媒体采访</w:t>
            </w:r>
          </w:p>
          <w:p w14:paraId="7D6D1160" w14:textId="77777777" w:rsidR="000B2378" w:rsidRDefault="00000000">
            <w:pPr>
              <w:pStyle w:val="TableText"/>
              <w:spacing w:before="120" w:line="219" w:lineRule="auto"/>
              <w:ind w:left="137"/>
              <w:rPr>
                <w:rFonts w:hint="eastAsia"/>
                <w:lang w:eastAsia="zh-CN"/>
              </w:rPr>
            </w:pPr>
            <w:r>
              <w:rPr>
                <w:spacing w:val="-5"/>
                <w:lang w:eastAsia="zh-CN"/>
              </w:rPr>
              <w:t>□新闻发布会</w:t>
            </w:r>
          </w:p>
          <w:p w14:paraId="5C408E47" w14:textId="77777777" w:rsidR="000B2378" w:rsidRDefault="00000000">
            <w:pPr>
              <w:pStyle w:val="TableText"/>
              <w:spacing w:before="120" w:line="220" w:lineRule="auto"/>
              <w:ind w:left="137"/>
              <w:rPr>
                <w:rFonts w:hint="eastAsia"/>
                <w:lang w:eastAsia="zh-CN"/>
              </w:rPr>
            </w:pPr>
            <w:r>
              <w:rPr>
                <w:rFonts w:ascii="Segoe UI Symbol" w:hAnsi="Segoe UI Symbol" w:cs="Segoe UI Symbol" w:hint="eastAsia"/>
                <w:spacing w:val="-5"/>
                <w:lang w:eastAsia="zh-CN"/>
              </w:rPr>
              <w:t>☑</w:t>
            </w:r>
            <w:r>
              <w:rPr>
                <w:spacing w:val="-6"/>
                <w:lang w:eastAsia="zh-CN"/>
              </w:rPr>
              <w:t>现场参观</w:t>
            </w:r>
          </w:p>
          <w:p w14:paraId="339F241E" w14:textId="77777777" w:rsidR="000B2378" w:rsidRDefault="00000000">
            <w:pPr>
              <w:pStyle w:val="TableText"/>
              <w:spacing w:before="120" w:line="220" w:lineRule="auto"/>
              <w:ind w:left="137"/>
              <w:rPr>
                <w:rFonts w:hint="eastAsia"/>
                <w:lang w:eastAsia="zh-CN"/>
              </w:rPr>
            </w:pPr>
            <w:r>
              <w:rPr>
                <w:rFonts w:ascii="Segoe UI Symbol" w:hAnsi="Segoe UI Symbol" w:cs="Segoe UI Symbol" w:hint="eastAsia"/>
                <w:spacing w:val="-5"/>
                <w:lang w:eastAsia="zh-CN"/>
              </w:rPr>
              <w:t>☑</w:t>
            </w:r>
            <w:r>
              <w:rPr>
                <w:spacing w:val="-12"/>
                <w:lang w:eastAsia="zh-CN"/>
              </w:rPr>
              <w:t>其他</w:t>
            </w:r>
            <w:r>
              <w:rPr>
                <w:u w:val="single"/>
                <w:lang w:eastAsia="zh-CN"/>
              </w:rPr>
              <w:t xml:space="preserve">  </w:t>
            </w:r>
            <w:r>
              <w:rPr>
                <w:rFonts w:hint="eastAsia"/>
                <w:u w:val="single"/>
                <w:lang w:eastAsia="zh-CN"/>
              </w:rPr>
              <w:t>线上会议</w:t>
            </w:r>
            <w:r>
              <w:rPr>
                <w:u w:val="single"/>
                <w:lang w:eastAsia="zh-CN"/>
              </w:rPr>
              <w:t xml:space="preserve">          </w:t>
            </w:r>
          </w:p>
        </w:tc>
        <w:tc>
          <w:tcPr>
            <w:tcW w:w="2472" w:type="pct"/>
            <w:tcBorders>
              <w:left w:val="nil"/>
            </w:tcBorders>
          </w:tcPr>
          <w:p w14:paraId="7B396312" w14:textId="77777777" w:rsidR="000B2378" w:rsidRDefault="00000000">
            <w:pPr>
              <w:pStyle w:val="TableText"/>
              <w:spacing w:before="120" w:line="219" w:lineRule="auto"/>
              <w:ind w:left="197"/>
              <w:rPr>
                <w:rFonts w:hint="eastAsia"/>
                <w:lang w:eastAsia="zh-CN"/>
              </w:rPr>
            </w:pPr>
            <w:r>
              <w:rPr>
                <w:rFonts w:ascii="Segoe UI Symbol" w:hAnsi="Segoe UI Symbol" w:cs="Segoe UI Symbol" w:hint="eastAsia"/>
                <w:spacing w:val="-5"/>
                <w:lang w:eastAsia="zh-CN"/>
              </w:rPr>
              <w:t>☑</w:t>
            </w:r>
            <w:r>
              <w:rPr>
                <w:spacing w:val="-5"/>
                <w:lang w:eastAsia="zh-CN"/>
              </w:rPr>
              <w:t>分析师会议</w:t>
            </w:r>
          </w:p>
          <w:p w14:paraId="639A9103" w14:textId="77777777" w:rsidR="000B2378" w:rsidRDefault="00000000">
            <w:pPr>
              <w:pStyle w:val="TableText"/>
              <w:spacing w:before="120" w:line="219" w:lineRule="auto"/>
              <w:ind w:left="197"/>
              <w:rPr>
                <w:rFonts w:hint="eastAsia"/>
                <w:lang w:eastAsia="zh-CN"/>
              </w:rPr>
            </w:pPr>
            <w:r>
              <w:rPr>
                <w:rFonts w:hint="eastAsia"/>
                <w:spacing w:val="-5"/>
                <w:lang w:eastAsia="zh-CN"/>
              </w:rPr>
              <w:t>□</w:t>
            </w:r>
            <w:r>
              <w:rPr>
                <w:spacing w:val="-6"/>
                <w:lang w:eastAsia="zh-CN"/>
              </w:rPr>
              <w:t>业绩说明会</w:t>
            </w:r>
          </w:p>
          <w:p w14:paraId="3BBA1A73" w14:textId="77777777" w:rsidR="000B2378" w:rsidRDefault="00000000">
            <w:pPr>
              <w:pStyle w:val="TableText"/>
              <w:spacing w:before="120" w:line="220" w:lineRule="auto"/>
              <w:ind w:left="197"/>
              <w:rPr>
                <w:rFonts w:hint="eastAsia"/>
              </w:rPr>
            </w:pPr>
            <w:r>
              <w:rPr>
                <w:rFonts w:ascii="Segoe UI Symbol" w:hAnsi="Segoe UI Symbol" w:cs="Segoe UI Symbol" w:hint="eastAsia"/>
                <w:spacing w:val="-6"/>
                <w:lang w:eastAsia="zh-CN"/>
              </w:rPr>
              <w:t>□</w:t>
            </w:r>
            <w:proofErr w:type="spellStart"/>
            <w:r>
              <w:rPr>
                <w:spacing w:val="-6"/>
              </w:rPr>
              <w:t>路演活动</w:t>
            </w:r>
            <w:proofErr w:type="spellEnd"/>
          </w:p>
        </w:tc>
      </w:tr>
      <w:tr w:rsidR="000B2378" w14:paraId="3B0E6493" w14:textId="77777777">
        <w:trPr>
          <w:trHeight w:val="2811"/>
        </w:trPr>
        <w:tc>
          <w:tcPr>
            <w:tcW w:w="1112" w:type="pct"/>
            <w:vAlign w:val="center"/>
          </w:tcPr>
          <w:p w14:paraId="1A50034B" w14:textId="77777777" w:rsidR="000B2378" w:rsidRDefault="00000000">
            <w:pPr>
              <w:pStyle w:val="TableText"/>
              <w:spacing w:before="120" w:line="347" w:lineRule="auto"/>
              <w:ind w:left="116" w:right="109" w:firstLine="2"/>
              <w:rPr>
                <w:rFonts w:hint="eastAsia"/>
                <w:lang w:eastAsia="zh-CN"/>
              </w:rPr>
            </w:pPr>
            <w:r>
              <w:rPr>
                <w:spacing w:val="28"/>
                <w:lang w:eastAsia="zh-CN"/>
              </w:rPr>
              <w:t>参与单位名称</w:t>
            </w:r>
            <w:r>
              <w:rPr>
                <w:lang w:eastAsia="zh-CN"/>
              </w:rPr>
              <w:t xml:space="preserve"> </w:t>
            </w:r>
            <w:r>
              <w:rPr>
                <w:spacing w:val="-2"/>
                <w:lang w:eastAsia="zh-CN"/>
              </w:rPr>
              <w:t>及人员姓名</w:t>
            </w:r>
          </w:p>
        </w:tc>
        <w:tc>
          <w:tcPr>
            <w:tcW w:w="3887" w:type="pct"/>
            <w:gridSpan w:val="2"/>
          </w:tcPr>
          <w:p w14:paraId="0A9B0554" w14:textId="77777777" w:rsidR="000B2378" w:rsidRDefault="00000000">
            <w:pPr>
              <w:pStyle w:val="TableText"/>
              <w:numPr>
                <w:ilvl w:val="0"/>
                <w:numId w:val="1"/>
              </w:numPr>
              <w:spacing w:before="120" w:line="345" w:lineRule="auto"/>
              <w:ind w:right="23"/>
              <w:jc w:val="both"/>
              <w:rPr>
                <w:rFonts w:hint="eastAsia"/>
                <w:b/>
                <w:bCs/>
                <w:lang w:eastAsia="zh-CN"/>
              </w:rPr>
            </w:pPr>
            <w:r>
              <w:rPr>
                <w:rFonts w:hint="eastAsia"/>
                <w:b/>
                <w:bCs/>
                <w:spacing w:val="-2"/>
                <w:lang w:eastAsia="zh-CN"/>
              </w:rPr>
              <w:t>现场调研</w:t>
            </w:r>
          </w:p>
          <w:p w14:paraId="78281A04" w14:textId="77777777" w:rsidR="000B2378" w:rsidRDefault="00000000">
            <w:pPr>
              <w:pStyle w:val="TableText"/>
              <w:spacing w:before="120" w:line="276" w:lineRule="auto"/>
              <w:ind w:left="136" w:right="23" w:firstLineChars="100" w:firstLine="240"/>
              <w:jc w:val="both"/>
              <w:rPr>
                <w:rFonts w:hint="eastAsia"/>
                <w:b/>
                <w:bCs/>
                <w:lang w:eastAsia="zh-CN"/>
              </w:rPr>
            </w:pPr>
            <w:r>
              <w:rPr>
                <w:rFonts w:hint="eastAsia"/>
                <w:lang w:eastAsia="zh-CN"/>
              </w:rPr>
              <w:t>本期公司在成都总部接待的机构有</w:t>
            </w:r>
            <w:proofErr w:type="gramStart"/>
            <w:r>
              <w:rPr>
                <w:rFonts w:hint="eastAsia"/>
                <w:lang w:eastAsia="zh-CN"/>
              </w:rPr>
              <w:t>睿远基金</w:t>
            </w:r>
            <w:proofErr w:type="gramEnd"/>
            <w:r>
              <w:rPr>
                <w:rFonts w:hint="eastAsia"/>
                <w:lang w:eastAsia="zh-CN"/>
              </w:rPr>
              <w:t>和</w:t>
            </w:r>
            <w:proofErr w:type="gramStart"/>
            <w:r>
              <w:rPr>
                <w:rFonts w:hint="eastAsia"/>
                <w:lang w:eastAsia="zh-CN"/>
              </w:rPr>
              <w:t>博时</w:t>
            </w:r>
            <w:proofErr w:type="gramEnd"/>
            <w:r>
              <w:rPr>
                <w:rFonts w:hint="eastAsia"/>
                <w:lang w:eastAsia="zh-CN"/>
              </w:rPr>
              <w:t>基金。</w:t>
            </w:r>
          </w:p>
          <w:p w14:paraId="357AF5A1" w14:textId="77777777" w:rsidR="000B2378" w:rsidRDefault="00000000">
            <w:pPr>
              <w:pStyle w:val="TableText"/>
              <w:numPr>
                <w:ilvl w:val="0"/>
                <w:numId w:val="1"/>
              </w:numPr>
              <w:spacing w:before="120" w:line="345" w:lineRule="auto"/>
              <w:ind w:right="23"/>
              <w:jc w:val="both"/>
              <w:rPr>
                <w:rFonts w:hint="eastAsia"/>
                <w:b/>
                <w:bCs/>
                <w:lang w:eastAsia="zh-CN"/>
              </w:rPr>
            </w:pPr>
            <w:r>
              <w:rPr>
                <w:rFonts w:hint="eastAsia"/>
                <w:b/>
                <w:bCs/>
                <w:spacing w:val="-2"/>
                <w:lang w:eastAsia="zh-CN"/>
              </w:rPr>
              <w:t>线上会议</w:t>
            </w:r>
          </w:p>
          <w:p w14:paraId="492DE3CD" w14:textId="77777777" w:rsidR="000B2378" w:rsidRDefault="00000000">
            <w:pPr>
              <w:pStyle w:val="TableText"/>
              <w:spacing w:before="120" w:line="276" w:lineRule="auto"/>
              <w:ind w:left="136" w:right="23" w:firstLineChars="100" w:firstLine="240"/>
              <w:jc w:val="both"/>
              <w:rPr>
                <w:rFonts w:hint="eastAsia"/>
                <w:lang w:eastAsia="zh-CN"/>
              </w:rPr>
            </w:pPr>
            <w:r>
              <w:rPr>
                <w:rFonts w:hint="eastAsia"/>
                <w:lang w:eastAsia="zh-CN"/>
              </w:rPr>
              <w:t>本期公司与大和证券、国泰基金、华安基金、南方基金、兴全基金、中</w:t>
            </w:r>
            <w:proofErr w:type="gramStart"/>
            <w:r>
              <w:rPr>
                <w:rFonts w:hint="eastAsia"/>
                <w:lang w:eastAsia="zh-CN"/>
              </w:rPr>
              <w:t>邮基金</w:t>
            </w:r>
            <w:proofErr w:type="gramEnd"/>
            <w:r>
              <w:rPr>
                <w:rFonts w:hint="eastAsia"/>
                <w:lang w:eastAsia="zh-CN"/>
              </w:rPr>
              <w:t>等机构进行了线上交流。</w:t>
            </w:r>
          </w:p>
          <w:p w14:paraId="0088FFCD" w14:textId="77777777" w:rsidR="000B2378" w:rsidRDefault="00000000">
            <w:pPr>
              <w:pStyle w:val="TableText"/>
              <w:numPr>
                <w:ilvl w:val="0"/>
                <w:numId w:val="1"/>
              </w:numPr>
              <w:spacing w:before="120" w:line="345" w:lineRule="auto"/>
              <w:ind w:right="23"/>
              <w:jc w:val="both"/>
              <w:rPr>
                <w:rFonts w:hint="eastAsia"/>
                <w:b/>
                <w:bCs/>
                <w:spacing w:val="-2"/>
                <w:lang w:eastAsia="zh-CN"/>
              </w:rPr>
            </w:pPr>
            <w:r>
              <w:rPr>
                <w:rFonts w:hint="eastAsia"/>
                <w:b/>
                <w:bCs/>
                <w:spacing w:val="-2"/>
                <w:lang w:eastAsia="zh-CN"/>
              </w:rPr>
              <w:t>策略会</w:t>
            </w:r>
          </w:p>
          <w:p w14:paraId="22CA0429" w14:textId="77777777" w:rsidR="000B2378" w:rsidRDefault="00000000">
            <w:pPr>
              <w:pStyle w:val="TableText"/>
              <w:spacing w:before="120" w:line="276" w:lineRule="auto"/>
              <w:ind w:left="136" w:right="23" w:firstLineChars="100" w:firstLine="240"/>
              <w:jc w:val="both"/>
              <w:rPr>
                <w:rFonts w:hint="eastAsia"/>
                <w:lang w:eastAsia="zh-CN"/>
              </w:rPr>
            </w:pPr>
            <w:r>
              <w:rPr>
                <w:rFonts w:hint="eastAsia"/>
                <w:lang w:eastAsia="zh-CN"/>
              </w:rPr>
              <w:t>本期公司参加了中信里昂证券组织的策略会，参加策略会并与公司交流的投资机构有Nomura Asset Management、North Rock、Fullerton Fund等投资机构。</w:t>
            </w:r>
          </w:p>
        </w:tc>
      </w:tr>
      <w:tr w:rsidR="000B2378" w14:paraId="57EF111A" w14:textId="77777777">
        <w:trPr>
          <w:trHeight w:val="537"/>
        </w:trPr>
        <w:tc>
          <w:tcPr>
            <w:tcW w:w="1112" w:type="pct"/>
          </w:tcPr>
          <w:p w14:paraId="32352BEA" w14:textId="77777777" w:rsidR="000B2378" w:rsidRDefault="00000000">
            <w:pPr>
              <w:pStyle w:val="TableText"/>
              <w:spacing w:before="120" w:line="222" w:lineRule="auto"/>
              <w:ind w:left="128"/>
              <w:rPr>
                <w:rFonts w:hint="eastAsia"/>
              </w:rPr>
            </w:pPr>
            <w:proofErr w:type="spellStart"/>
            <w:r>
              <w:rPr>
                <w:spacing w:val="-6"/>
              </w:rPr>
              <w:t>时间</w:t>
            </w:r>
            <w:proofErr w:type="spellEnd"/>
          </w:p>
        </w:tc>
        <w:tc>
          <w:tcPr>
            <w:tcW w:w="3887" w:type="pct"/>
            <w:gridSpan w:val="2"/>
          </w:tcPr>
          <w:p w14:paraId="3CE27D56" w14:textId="77777777" w:rsidR="000B2378" w:rsidRDefault="00000000">
            <w:pPr>
              <w:pStyle w:val="TableText"/>
              <w:spacing w:before="120" w:line="220" w:lineRule="auto"/>
              <w:ind w:left="116"/>
              <w:rPr>
                <w:rFonts w:hint="eastAsia"/>
                <w:lang w:eastAsia="zh-CN"/>
              </w:rPr>
            </w:pPr>
            <w:r>
              <w:rPr>
                <w:rFonts w:hint="eastAsia"/>
                <w:spacing w:val="-7"/>
              </w:rPr>
              <w:t>202</w:t>
            </w:r>
            <w:r>
              <w:rPr>
                <w:rFonts w:hint="eastAsia"/>
                <w:spacing w:val="-7"/>
                <w:lang w:eastAsia="zh-CN"/>
              </w:rPr>
              <w:t>5年1</w:t>
            </w:r>
            <w:r>
              <w:rPr>
                <w:rFonts w:hint="eastAsia"/>
                <w:spacing w:val="-7"/>
              </w:rPr>
              <w:t>月</w:t>
            </w:r>
            <w:r>
              <w:rPr>
                <w:rFonts w:hint="eastAsia"/>
                <w:spacing w:val="-7"/>
                <w:lang w:eastAsia="zh-CN"/>
              </w:rPr>
              <w:t>1</w:t>
            </w:r>
            <w:r>
              <w:rPr>
                <w:rFonts w:hint="eastAsia"/>
                <w:spacing w:val="-7"/>
              </w:rPr>
              <w:t>日</w:t>
            </w:r>
            <w:r>
              <w:rPr>
                <w:rFonts w:hint="eastAsia"/>
                <w:spacing w:val="-7"/>
                <w:lang w:eastAsia="zh-CN"/>
              </w:rPr>
              <w:t>-1月31日</w:t>
            </w:r>
          </w:p>
        </w:tc>
      </w:tr>
      <w:tr w:rsidR="000B2378" w14:paraId="2770A93D" w14:textId="77777777">
        <w:trPr>
          <w:trHeight w:val="574"/>
        </w:trPr>
        <w:tc>
          <w:tcPr>
            <w:tcW w:w="1112" w:type="pct"/>
          </w:tcPr>
          <w:p w14:paraId="096FE984" w14:textId="77777777" w:rsidR="000B2378" w:rsidRDefault="00000000">
            <w:pPr>
              <w:pStyle w:val="TableText"/>
              <w:spacing w:before="120" w:line="224" w:lineRule="auto"/>
              <w:ind w:left="117"/>
              <w:rPr>
                <w:rFonts w:hint="eastAsia"/>
              </w:rPr>
            </w:pPr>
            <w:proofErr w:type="spellStart"/>
            <w:r>
              <w:rPr>
                <w:spacing w:val="-3"/>
              </w:rPr>
              <w:t>地点</w:t>
            </w:r>
            <w:proofErr w:type="spellEnd"/>
          </w:p>
        </w:tc>
        <w:tc>
          <w:tcPr>
            <w:tcW w:w="3887" w:type="pct"/>
            <w:gridSpan w:val="2"/>
          </w:tcPr>
          <w:p w14:paraId="255E22FA" w14:textId="77777777" w:rsidR="000B2378" w:rsidRDefault="00000000">
            <w:pPr>
              <w:pStyle w:val="TableText"/>
              <w:spacing w:before="120" w:line="220" w:lineRule="auto"/>
              <w:ind w:left="128"/>
              <w:rPr>
                <w:rFonts w:hint="eastAsia"/>
                <w:lang w:eastAsia="zh-CN"/>
              </w:rPr>
            </w:pPr>
            <w:r>
              <w:rPr>
                <w:rFonts w:hint="eastAsia"/>
                <w:lang w:eastAsia="zh-CN"/>
              </w:rPr>
              <w:t>通威股份成都总部、新加坡</w:t>
            </w:r>
          </w:p>
        </w:tc>
      </w:tr>
      <w:tr w:rsidR="000B2378" w14:paraId="32090994" w14:textId="77777777">
        <w:trPr>
          <w:trHeight w:val="1785"/>
        </w:trPr>
        <w:tc>
          <w:tcPr>
            <w:tcW w:w="1112" w:type="pct"/>
            <w:vAlign w:val="center"/>
          </w:tcPr>
          <w:p w14:paraId="28194986" w14:textId="77777777" w:rsidR="000B2378" w:rsidRDefault="00000000">
            <w:pPr>
              <w:pStyle w:val="TableText"/>
              <w:spacing w:before="120" w:line="347" w:lineRule="auto"/>
              <w:ind w:left="119" w:right="109"/>
              <w:rPr>
                <w:rFonts w:hint="eastAsia"/>
                <w:lang w:eastAsia="zh-CN"/>
              </w:rPr>
            </w:pPr>
            <w:r>
              <w:rPr>
                <w:spacing w:val="28"/>
                <w:lang w:eastAsia="zh-CN"/>
              </w:rPr>
              <w:t>上市公司接待</w:t>
            </w:r>
            <w:r>
              <w:rPr>
                <w:lang w:eastAsia="zh-CN"/>
              </w:rPr>
              <w:t xml:space="preserve"> </w:t>
            </w:r>
            <w:r>
              <w:rPr>
                <w:spacing w:val="-3"/>
                <w:lang w:eastAsia="zh-CN"/>
              </w:rPr>
              <w:t>人员姓名</w:t>
            </w:r>
          </w:p>
        </w:tc>
        <w:tc>
          <w:tcPr>
            <w:tcW w:w="3887" w:type="pct"/>
            <w:gridSpan w:val="2"/>
          </w:tcPr>
          <w:p w14:paraId="6D2674A4" w14:textId="77777777" w:rsidR="000B2378" w:rsidRDefault="00000000">
            <w:pPr>
              <w:pStyle w:val="TableText"/>
              <w:spacing w:before="120" w:line="220" w:lineRule="auto"/>
              <w:ind w:left="128"/>
              <w:rPr>
                <w:rFonts w:hint="eastAsia"/>
                <w:lang w:eastAsia="zh-CN"/>
              </w:rPr>
            </w:pPr>
            <w:r>
              <w:rPr>
                <w:rFonts w:hint="eastAsia"/>
                <w:lang w:eastAsia="zh-CN"/>
              </w:rPr>
              <w:t>副董事长 严虎</w:t>
            </w:r>
          </w:p>
          <w:p w14:paraId="7755A50C" w14:textId="77777777" w:rsidR="000B2378" w:rsidRDefault="00000000">
            <w:pPr>
              <w:pStyle w:val="TableText"/>
              <w:spacing w:before="120" w:line="220" w:lineRule="auto"/>
              <w:ind w:left="128"/>
              <w:rPr>
                <w:rFonts w:hint="eastAsia"/>
                <w:spacing w:val="-4"/>
                <w:lang w:eastAsia="zh-CN"/>
              </w:rPr>
            </w:pPr>
            <w:r>
              <w:rPr>
                <w:rFonts w:hint="eastAsia"/>
                <w:lang w:eastAsia="zh-CN"/>
              </w:rPr>
              <w:t>董事会秘书 严轲</w:t>
            </w:r>
          </w:p>
          <w:p w14:paraId="2BA9A5BC" w14:textId="77777777" w:rsidR="000B2378" w:rsidRDefault="00000000">
            <w:pPr>
              <w:pStyle w:val="TableText"/>
              <w:spacing w:before="120" w:line="220" w:lineRule="auto"/>
              <w:ind w:left="128"/>
              <w:rPr>
                <w:rFonts w:hint="eastAsia"/>
                <w:spacing w:val="-4"/>
                <w:lang w:eastAsia="zh-CN"/>
              </w:rPr>
            </w:pPr>
            <w:r>
              <w:rPr>
                <w:rFonts w:hint="eastAsia"/>
                <w:spacing w:val="-4"/>
                <w:lang w:eastAsia="zh-CN"/>
              </w:rPr>
              <w:t>投资者关系经理 钟秋实</w:t>
            </w:r>
          </w:p>
          <w:p w14:paraId="2647F830" w14:textId="77777777" w:rsidR="000B2378" w:rsidRDefault="00000000">
            <w:pPr>
              <w:pStyle w:val="TableText"/>
              <w:spacing w:before="120" w:line="220" w:lineRule="auto"/>
              <w:ind w:left="128"/>
              <w:rPr>
                <w:rFonts w:hint="eastAsia"/>
                <w:lang w:eastAsia="zh-CN"/>
              </w:rPr>
            </w:pPr>
            <w:r>
              <w:rPr>
                <w:rFonts w:hint="eastAsia"/>
                <w:spacing w:val="-4"/>
                <w:lang w:eastAsia="zh-CN"/>
              </w:rPr>
              <w:t xml:space="preserve">投资者关系经理 </w:t>
            </w:r>
            <w:proofErr w:type="gramStart"/>
            <w:r>
              <w:rPr>
                <w:rFonts w:hint="eastAsia"/>
                <w:spacing w:val="-4"/>
                <w:lang w:eastAsia="zh-CN"/>
              </w:rPr>
              <w:t>孙书恒</w:t>
            </w:r>
            <w:proofErr w:type="gramEnd"/>
          </w:p>
        </w:tc>
      </w:tr>
      <w:tr w:rsidR="000B2378" w14:paraId="46B31AB0" w14:textId="77777777">
        <w:trPr>
          <w:trHeight w:val="3440"/>
        </w:trPr>
        <w:tc>
          <w:tcPr>
            <w:tcW w:w="1112" w:type="pct"/>
            <w:vAlign w:val="center"/>
          </w:tcPr>
          <w:p w14:paraId="1FC138D3" w14:textId="77777777" w:rsidR="000B2378" w:rsidRDefault="00000000">
            <w:pPr>
              <w:pStyle w:val="TableText"/>
              <w:spacing w:before="120" w:line="353" w:lineRule="auto"/>
              <w:ind w:left="118" w:right="109" w:firstLine="1"/>
              <w:jc w:val="both"/>
              <w:rPr>
                <w:rFonts w:hint="eastAsia"/>
                <w:lang w:eastAsia="zh-CN"/>
              </w:rPr>
            </w:pPr>
            <w:r>
              <w:rPr>
                <w:spacing w:val="27"/>
                <w:lang w:eastAsia="zh-CN"/>
              </w:rPr>
              <w:lastRenderedPageBreak/>
              <w:t>投资者关系活</w:t>
            </w:r>
            <w:r>
              <w:rPr>
                <w:spacing w:val="4"/>
                <w:lang w:eastAsia="zh-CN"/>
              </w:rPr>
              <w:t xml:space="preserve"> </w:t>
            </w:r>
            <w:proofErr w:type="gramStart"/>
            <w:r>
              <w:rPr>
                <w:spacing w:val="28"/>
                <w:lang w:eastAsia="zh-CN"/>
              </w:rPr>
              <w:t>动主要内容介</w:t>
            </w:r>
            <w:r>
              <w:rPr>
                <w:lang w:eastAsia="zh-CN"/>
              </w:rPr>
              <w:t xml:space="preserve"> 绍</w:t>
            </w:r>
            <w:proofErr w:type="gramEnd"/>
          </w:p>
        </w:tc>
        <w:tc>
          <w:tcPr>
            <w:tcW w:w="3887" w:type="pct"/>
            <w:gridSpan w:val="2"/>
          </w:tcPr>
          <w:p w14:paraId="52ADCA1F" w14:textId="77777777" w:rsidR="000B2378" w:rsidRDefault="00000000">
            <w:pPr>
              <w:pStyle w:val="TableText"/>
              <w:numPr>
                <w:ilvl w:val="0"/>
                <w:numId w:val="2"/>
              </w:numPr>
              <w:tabs>
                <w:tab w:val="left" w:pos="0"/>
              </w:tabs>
              <w:spacing w:beforeLines="50" w:before="120" w:line="329" w:lineRule="auto"/>
              <w:ind w:right="108" w:firstLineChars="200" w:firstLine="482"/>
              <w:jc w:val="both"/>
              <w:rPr>
                <w:rFonts w:hint="eastAsia"/>
                <w:b/>
                <w:bCs/>
                <w:lang w:eastAsia="zh-CN"/>
              </w:rPr>
            </w:pPr>
            <w:r>
              <w:rPr>
                <w:rFonts w:hint="eastAsia"/>
                <w:b/>
                <w:bCs/>
                <w:lang w:eastAsia="zh-CN"/>
              </w:rPr>
              <w:t>请问公司云南和四川的多晶</w:t>
            </w:r>
            <w:proofErr w:type="gramStart"/>
            <w:r>
              <w:rPr>
                <w:rFonts w:hint="eastAsia"/>
                <w:b/>
                <w:bCs/>
                <w:lang w:eastAsia="zh-CN"/>
              </w:rPr>
              <w:t>硅基地</w:t>
            </w:r>
            <w:proofErr w:type="gramEnd"/>
            <w:r>
              <w:rPr>
                <w:rFonts w:hint="eastAsia"/>
                <w:b/>
                <w:bCs/>
                <w:lang w:eastAsia="zh-CN"/>
              </w:rPr>
              <w:t>后续何时复产？</w:t>
            </w:r>
          </w:p>
          <w:p w14:paraId="702FEE6F" w14:textId="76A9D11F" w:rsidR="000B2378" w:rsidRDefault="00000000">
            <w:pPr>
              <w:pStyle w:val="TableText"/>
              <w:spacing w:before="120" w:line="329" w:lineRule="auto"/>
              <w:ind w:left="113" w:right="105" w:firstLineChars="200" w:firstLine="480"/>
              <w:jc w:val="both"/>
              <w:rPr>
                <w:rFonts w:hint="eastAsia"/>
                <w:lang w:eastAsia="zh-CN"/>
              </w:rPr>
            </w:pPr>
            <w:r>
              <w:rPr>
                <w:rFonts w:hint="eastAsia"/>
                <w:lang w:eastAsia="zh-CN"/>
              </w:rPr>
              <w:t>答：公司云南、四川多晶硅基地复产安排将结合多晶</w:t>
            </w:r>
            <w:proofErr w:type="gramStart"/>
            <w:r>
              <w:rPr>
                <w:rFonts w:hint="eastAsia"/>
                <w:lang w:eastAsia="zh-CN"/>
              </w:rPr>
              <w:t>硅价格</w:t>
            </w:r>
            <w:proofErr w:type="gramEnd"/>
            <w:r>
              <w:rPr>
                <w:rFonts w:hint="eastAsia"/>
                <w:lang w:eastAsia="zh-CN"/>
              </w:rPr>
              <w:t>走势、西南地区电力成本变化</w:t>
            </w:r>
            <w:r w:rsidR="00DB2CDE">
              <w:rPr>
                <w:rFonts w:hint="eastAsia"/>
                <w:lang w:eastAsia="zh-CN"/>
              </w:rPr>
              <w:t>,</w:t>
            </w:r>
            <w:r>
              <w:rPr>
                <w:rFonts w:hint="eastAsia"/>
                <w:lang w:eastAsia="zh-CN"/>
              </w:rPr>
              <w:t>以及公司多晶硅库存情况等因素动态评估。</w:t>
            </w:r>
          </w:p>
          <w:p w14:paraId="79DB1D18" w14:textId="77777777" w:rsidR="000B2378" w:rsidRDefault="00000000">
            <w:pPr>
              <w:pStyle w:val="TableText"/>
              <w:numPr>
                <w:ilvl w:val="0"/>
                <w:numId w:val="2"/>
              </w:numPr>
              <w:tabs>
                <w:tab w:val="left" w:pos="0"/>
              </w:tabs>
              <w:spacing w:beforeLines="50" w:before="120" w:line="329" w:lineRule="auto"/>
              <w:ind w:right="108" w:firstLineChars="200" w:firstLine="482"/>
              <w:jc w:val="both"/>
              <w:rPr>
                <w:rFonts w:hint="eastAsia"/>
                <w:b/>
                <w:bCs/>
                <w:lang w:eastAsia="zh-CN"/>
              </w:rPr>
            </w:pPr>
            <w:r>
              <w:rPr>
                <w:rFonts w:hint="eastAsia"/>
                <w:b/>
                <w:bCs/>
                <w:lang w:eastAsia="zh-CN"/>
              </w:rPr>
              <w:t>公司是否会考虑下修“通22”转股价格？</w:t>
            </w:r>
          </w:p>
          <w:p w14:paraId="65F81CD3" w14:textId="77777777" w:rsidR="000B2378" w:rsidRDefault="00000000">
            <w:pPr>
              <w:pStyle w:val="TableText"/>
              <w:spacing w:before="120" w:line="329" w:lineRule="auto"/>
              <w:ind w:left="113" w:right="105" w:firstLineChars="200" w:firstLine="480"/>
              <w:jc w:val="both"/>
              <w:rPr>
                <w:rFonts w:hint="eastAsia"/>
                <w:lang w:eastAsia="zh-CN"/>
              </w:rPr>
            </w:pPr>
            <w:r>
              <w:rPr>
                <w:rFonts w:hint="eastAsia"/>
                <w:lang w:eastAsia="zh-CN"/>
              </w:rPr>
              <w:t>答：自2024年11月29日起至2024年12月19日，公司股票收盘价在连续三十个交易日中有十五个交易日低于当期转股价格的85%（29.41 元/股），已触发“通22转债”的转股价格向下修正条款。经公司第八届董事会第二十三次会议审议通过，公司董事会决定本次</w:t>
            </w:r>
            <w:proofErr w:type="gramStart"/>
            <w:r>
              <w:rPr>
                <w:rFonts w:hint="eastAsia"/>
                <w:lang w:eastAsia="zh-CN"/>
              </w:rPr>
              <w:t>不</w:t>
            </w:r>
            <w:proofErr w:type="gramEnd"/>
            <w:r>
              <w:rPr>
                <w:rFonts w:hint="eastAsia"/>
                <w:lang w:eastAsia="zh-CN"/>
              </w:rPr>
              <w:t>向下修正转股价格，并在</w:t>
            </w:r>
            <w:proofErr w:type="gramStart"/>
            <w:r>
              <w:rPr>
                <w:rFonts w:hint="eastAsia"/>
                <w:lang w:eastAsia="zh-CN"/>
              </w:rPr>
              <w:t>作出</w:t>
            </w:r>
            <w:proofErr w:type="gramEnd"/>
            <w:r>
              <w:rPr>
                <w:rFonts w:hint="eastAsia"/>
                <w:lang w:eastAsia="zh-CN"/>
              </w:rPr>
              <w:t>本次董事会决议后6个月内（即2024年12月20日至2025年6 月19日）亦不提出转股价格向下修正方案，故当前公司暂无下调“通22”可转债转股价格的计划。若“通22转债”未来再次触发转股价格向下修正条款，公司董事会将再次召开会议决定是否行使“通22转债”转股价格向下修正的权利。</w:t>
            </w:r>
          </w:p>
          <w:p w14:paraId="7A76B546" w14:textId="77777777" w:rsidR="000B2378" w:rsidRDefault="00000000">
            <w:pPr>
              <w:pStyle w:val="TableText"/>
              <w:numPr>
                <w:ilvl w:val="0"/>
                <w:numId w:val="2"/>
              </w:numPr>
              <w:tabs>
                <w:tab w:val="left" w:pos="0"/>
              </w:tabs>
              <w:spacing w:beforeLines="50" w:before="120" w:line="329" w:lineRule="auto"/>
              <w:ind w:right="108" w:firstLineChars="200" w:firstLine="482"/>
              <w:jc w:val="both"/>
              <w:rPr>
                <w:rFonts w:hint="eastAsia"/>
                <w:b/>
                <w:bCs/>
                <w:lang w:eastAsia="zh-CN"/>
              </w:rPr>
            </w:pPr>
            <w:r>
              <w:rPr>
                <w:rFonts w:hint="eastAsia"/>
                <w:b/>
                <w:bCs/>
                <w:lang w:eastAsia="zh-CN"/>
              </w:rPr>
              <w:t>公司1月组件排</w:t>
            </w:r>
            <w:proofErr w:type="gramStart"/>
            <w:r>
              <w:rPr>
                <w:rFonts w:hint="eastAsia"/>
                <w:b/>
                <w:bCs/>
                <w:lang w:eastAsia="zh-CN"/>
              </w:rPr>
              <w:t>产情况</w:t>
            </w:r>
            <w:proofErr w:type="gramEnd"/>
            <w:r>
              <w:rPr>
                <w:rFonts w:hint="eastAsia"/>
                <w:b/>
                <w:bCs/>
                <w:lang w:eastAsia="zh-CN"/>
              </w:rPr>
              <w:t>如何？</w:t>
            </w:r>
          </w:p>
          <w:p w14:paraId="37152A7A" w14:textId="77777777" w:rsidR="000B2378" w:rsidRDefault="00000000">
            <w:pPr>
              <w:pStyle w:val="TableText"/>
              <w:spacing w:before="120" w:line="329" w:lineRule="auto"/>
              <w:ind w:left="113" w:right="105" w:firstLineChars="200" w:firstLine="480"/>
              <w:jc w:val="both"/>
              <w:rPr>
                <w:rFonts w:hint="eastAsia"/>
                <w:lang w:eastAsia="zh-CN"/>
              </w:rPr>
            </w:pPr>
            <w:r>
              <w:rPr>
                <w:rFonts w:hint="eastAsia"/>
                <w:lang w:eastAsia="zh-CN"/>
              </w:rPr>
              <w:t>答：从历史经验来看，1月是光</w:t>
            </w:r>
            <w:proofErr w:type="gramStart"/>
            <w:r>
              <w:rPr>
                <w:rFonts w:hint="eastAsia"/>
                <w:lang w:eastAsia="zh-CN"/>
              </w:rPr>
              <w:t>伏市场</w:t>
            </w:r>
            <w:proofErr w:type="gramEnd"/>
            <w:r>
              <w:rPr>
                <w:rFonts w:hint="eastAsia"/>
                <w:lang w:eastAsia="zh-CN"/>
              </w:rPr>
              <w:t>需求的传统淡季，在此期间公司将紧密结合在手订单情况、节假日影响、库存变化等因素，严格按照以销定产模式合理安排生产节奏，预计整体开工率高于行业平均水平。</w:t>
            </w:r>
          </w:p>
          <w:p w14:paraId="420B6176" w14:textId="77777777" w:rsidR="000B2378" w:rsidRDefault="00000000">
            <w:pPr>
              <w:pStyle w:val="TableText"/>
              <w:numPr>
                <w:ilvl w:val="0"/>
                <w:numId w:val="2"/>
              </w:numPr>
              <w:tabs>
                <w:tab w:val="left" w:pos="0"/>
              </w:tabs>
              <w:spacing w:beforeLines="50" w:before="120" w:line="329" w:lineRule="auto"/>
              <w:ind w:right="108" w:firstLineChars="200" w:firstLine="482"/>
              <w:jc w:val="both"/>
              <w:rPr>
                <w:rFonts w:hint="eastAsia"/>
                <w:b/>
                <w:bCs/>
                <w:lang w:eastAsia="zh-CN"/>
              </w:rPr>
            </w:pPr>
            <w:r>
              <w:rPr>
                <w:rFonts w:hint="eastAsia"/>
                <w:b/>
                <w:bCs/>
                <w:lang w:eastAsia="zh-CN"/>
              </w:rPr>
              <w:t>公司当前现金储备情况，以及2025年资本开支计划？</w:t>
            </w:r>
          </w:p>
          <w:p w14:paraId="49A6CF39" w14:textId="77777777" w:rsidR="000B2378" w:rsidRDefault="00000000">
            <w:pPr>
              <w:pStyle w:val="TableText"/>
              <w:spacing w:before="120" w:line="329" w:lineRule="auto"/>
              <w:ind w:left="113" w:right="105" w:firstLineChars="200" w:firstLine="480"/>
              <w:jc w:val="both"/>
              <w:rPr>
                <w:rFonts w:hint="eastAsia"/>
                <w:lang w:eastAsia="zh-CN"/>
              </w:rPr>
            </w:pPr>
            <w:r>
              <w:rPr>
                <w:rFonts w:hint="eastAsia"/>
                <w:lang w:eastAsia="zh-CN"/>
              </w:rPr>
              <w:t>答：截至2024年三季度末，公司货币资金+交易性金融资产合计约310.9亿元，即使在2024年光</w:t>
            </w:r>
            <w:proofErr w:type="gramStart"/>
            <w:r>
              <w:rPr>
                <w:rFonts w:hint="eastAsia"/>
                <w:lang w:eastAsia="zh-CN"/>
              </w:rPr>
              <w:t>伏产业链各</w:t>
            </w:r>
            <w:proofErr w:type="gramEnd"/>
            <w:r>
              <w:rPr>
                <w:rFonts w:hint="eastAsia"/>
                <w:lang w:eastAsia="zh-CN"/>
              </w:rPr>
              <w:t>环节市场价格大幅下降，甚至持续低于行业现金成本的冲击下，公司仍然保持了较强的经营韧性，全年维持经营性现金净流入。目前公司现金储备充足，2025年暂无大型项目开工计划，预计今年主要资本开支为部分存量项目的尾款支付。</w:t>
            </w:r>
          </w:p>
          <w:p w14:paraId="1F689201" w14:textId="77777777" w:rsidR="000B2378" w:rsidRDefault="00000000">
            <w:pPr>
              <w:pStyle w:val="TableText"/>
              <w:numPr>
                <w:ilvl w:val="0"/>
                <w:numId w:val="2"/>
              </w:numPr>
              <w:tabs>
                <w:tab w:val="left" w:pos="0"/>
              </w:tabs>
              <w:spacing w:beforeLines="50" w:before="120" w:line="329" w:lineRule="auto"/>
              <w:ind w:right="108" w:firstLineChars="200" w:firstLine="482"/>
              <w:jc w:val="both"/>
              <w:rPr>
                <w:rFonts w:hint="eastAsia"/>
                <w:b/>
                <w:bCs/>
                <w:lang w:eastAsia="zh-CN"/>
              </w:rPr>
            </w:pPr>
            <w:r>
              <w:rPr>
                <w:rFonts w:hint="eastAsia"/>
                <w:b/>
                <w:bCs/>
                <w:lang w:eastAsia="zh-CN"/>
              </w:rPr>
              <w:t>公司多晶硅1月签单情况及节后展望？</w:t>
            </w:r>
          </w:p>
          <w:p w14:paraId="09B5F11B" w14:textId="77777777" w:rsidR="000B2378" w:rsidRDefault="00000000">
            <w:pPr>
              <w:pStyle w:val="TableText"/>
              <w:spacing w:before="120" w:line="329" w:lineRule="auto"/>
              <w:ind w:left="113" w:right="105" w:firstLineChars="200" w:firstLine="480"/>
              <w:jc w:val="both"/>
              <w:rPr>
                <w:rFonts w:hint="eastAsia"/>
                <w:lang w:eastAsia="zh-CN"/>
              </w:rPr>
            </w:pPr>
            <w:r>
              <w:rPr>
                <w:rFonts w:hint="eastAsia"/>
                <w:lang w:eastAsia="zh-CN"/>
              </w:rPr>
              <w:lastRenderedPageBreak/>
              <w:t>答：本月公司在执行前期订单基础上，亦有新增签单落地；公司持续与下游客户保持长期稳定的合作关系，整体出货顺畅。春节假期临近，近期市场观望情绪较强，随着后续下游需求回升，市场有望逐步回暖。</w:t>
            </w:r>
          </w:p>
          <w:p w14:paraId="23EF49E3" w14:textId="77777777" w:rsidR="000B2378" w:rsidRDefault="00000000">
            <w:pPr>
              <w:pStyle w:val="TableText"/>
              <w:numPr>
                <w:ilvl w:val="0"/>
                <w:numId w:val="2"/>
              </w:numPr>
              <w:tabs>
                <w:tab w:val="left" w:pos="0"/>
              </w:tabs>
              <w:spacing w:beforeLines="50" w:before="120" w:line="329" w:lineRule="auto"/>
              <w:ind w:right="108" w:firstLineChars="200" w:firstLine="482"/>
              <w:jc w:val="both"/>
              <w:rPr>
                <w:rFonts w:hint="eastAsia"/>
                <w:b/>
                <w:bCs/>
                <w:lang w:eastAsia="zh-CN"/>
              </w:rPr>
            </w:pPr>
            <w:r>
              <w:rPr>
                <w:rFonts w:hint="eastAsia"/>
                <w:b/>
                <w:bCs/>
                <w:lang w:eastAsia="zh-CN"/>
              </w:rPr>
              <w:t>公司业绩预告中提到全年长期资产减值报废约10亿元，请问主要涉及哪些资产？</w:t>
            </w:r>
          </w:p>
          <w:p w14:paraId="2DF26255" w14:textId="77777777" w:rsidR="000B2378" w:rsidRDefault="00000000">
            <w:pPr>
              <w:pStyle w:val="TableText"/>
              <w:spacing w:before="120" w:line="329" w:lineRule="auto"/>
              <w:ind w:left="113" w:right="105" w:firstLineChars="200" w:firstLine="480"/>
              <w:jc w:val="both"/>
              <w:rPr>
                <w:rFonts w:hint="eastAsia"/>
                <w:lang w:eastAsia="zh-CN"/>
              </w:rPr>
            </w:pPr>
            <w:r>
              <w:rPr>
                <w:rFonts w:hint="eastAsia"/>
                <w:lang w:eastAsia="zh-CN"/>
              </w:rPr>
              <w:t>答：2024年，市场快速从P型切换到N型产品，且P型产品市场迅速收缩，在此背景下，公司基于谨慎原则，在四季度对剩余P型电池资产进行了减值计提。本次减值报废主要涉及公司P型电池等资产。</w:t>
            </w:r>
          </w:p>
        </w:tc>
      </w:tr>
    </w:tbl>
    <w:p w14:paraId="6013BA89" w14:textId="77777777" w:rsidR="000B2378" w:rsidRDefault="000B2378">
      <w:pPr>
        <w:spacing w:line="91" w:lineRule="auto"/>
        <w:rPr>
          <w:sz w:val="2"/>
          <w:lang w:eastAsia="zh-CN"/>
        </w:rPr>
      </w:pPr>
    </w:p>
    <w:sectPr w:rsidR="000B2378">
      <w:pgSz w:w="11907" w:h="16839"/>
      <w:pgMar w:top="1431" w:right="1785" w:bottom="1429"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4DCE" w14:textId="77777777" w:rsidR="00575F7D" w:rsidRDefault="00575F7D" w:rsidP="00DB2CDE">
      <w:r>
        <w:separator/>
      </w:r>
    </w:p>
  </w:endnote>
  <w:endnote w:type="continuationSeparator" w:id="0">
    <w:p w14:paraId="4E847758" w14:textId="77777777" w:rsidR="00575F7D" w:rsidRDefault="00575F7D" w:rsidP="00DB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9316" w14:textId="77777777" w:rsidR="00575F7D" w:rsidRDefault="00575F7D" w:rsidP="00DB2CDE">
      <w:r>
        <w:separator/>
      </w:r>
    </w:p>
  </w:footnote>
  <w:footnote w:type="continuationSeparator" w:id="0">
    <w:p w14:paraId="06B8E5AC" w14:textId="77777777" w:rsidR="00575F7D" w:rsidRDefault="00575F7D" w:rsidP="00DB2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1" w15:restartNumberingAfterBreak="0">
    <w:nsid w:val="6C4FB0A9"/>
    <w:multiLevelType w:val="singleLevel"/>
    <w:tmpl w:val="6C4FB0A9"/>
    <w:lvl w:ilvl="0">
      <w:start w:val="1"/>
      <w:numFmt w:val="decimal"/>
      <w:suff w:val="nothing"/>
      <w:lvlText w:val="%1、"/>
      <w:lvlJc w:val="left"/>
      <w:pPr>
        <w:ind w:left="0" w:firstLine="40"/>
      </w:pPr>
      <w:rPr>
        <w:rFonts w:hint="default"/>
        <w:b/>
        <w:bCs/>
      </w:rPr>
    </w:lvl>
  </w:abstractNum>
  <w:num w:numId="1" w16cid:durableId="1884516589">
    <w:abstractNumId w:val="0"/>
  </w:num>
  <w:num w:numId="2" w16cid:durableId="537476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ZWU0ZGJhNzlkMDMzZjE2ZWYzNjNkNTY0NGM4NDU5NTkifQ=="/>
  </w:docVars>
  <w:rsids>
    <w:rsidRoot w:val="00172A27"/>
    <w:rsid w:val="000B2378"/>
    <w:rsid w:val="0011396C"/>
    <w:rsid w:val="00132B6D"/>
    <w:rsid w:val="00172A27"/>
    <w:rsid w:val="002576A1"/>
    <w:rsid w:val="00331F12"/>
    <w:rsid w:val="003A6CFD"/>
    <w:rsid w:val="00400D62"/>
    <w:rsid w:val="00575F7D"/>
    <w:rsid w:val="0058389E"/>
    <w:rsid w:val="00596886"/>
    <w:rsid w:val="005B59FB"/>
    <w:rsid w:val="00683645"/>
    <w:rsid w:val="006E7F37"/>
    <w:rsid w:val="00771B31"/>
    <w:rsid w:val="0078453B"/>
    <w:rsid w:val="007F42C5"/>
    <w:rsid w:val="008403A8"/>
    <w:rsid w:val="008A76DD"/>
    <w:rsid w:val="008E70A9"/>
    <w:rsid w:val="0091362C"/>
    <w:rsid w:val="009535AB"/>
    <w:rsid w:val="00976E2F"/>
    <w:rsid w:val="009F4741"/>
    <w:rsid w:val="00A6467F"/>
    <w:rsid w:val="00A9039C"/>
    <w:rsid w:val="00AB32EF"/>
    <w:rsid w:val="00AB4538"/>
    <w:rsid w:val="00B13C7A"/>
    <w:rsid w:val="00B93ECE"/>
    <w:rsid w:val="00C13080"/>
    <w:rsid w:val="00C317EF"/>
    <w:rsid w:val="00C429A0"/>
    <w:rsid w:val="00C508A0"/>
    <w:rsid w:val="00C72E13"/>
    <w:rsid w:val="00CE140A"/>
    <w:rsid w:val="00CE4236"/>
    <w:rsid w:val="00D3524C"/>
    <w:rsid w:val="00D57320"/>
    <w:rsid w:val="00DB2CDE"/>
    <w:rsid w:val="00E051F7"/>
    <w:rsid w:val="00E20F93"/>
    <w:rsid w:val="00E41DB5"/>
    <w:rsid w:val="00EE2C33"/>
    <w:rsid w:val="00F44F20"/>
    <w:rsid w:val="00F72996"/>
    <w:rsid w:val="00F979D6"/>
    <w:rsid w:val="05DC161E"/>
    <w:rsid w:val="080C431F"/>
    <w:rsid w:val="084C21FB"/>
    <w:rsid w:val="09C259E5"/>
    <w:rsid w:val="0B225DFB"/>
    <w:rsid w:val="0EE01B92"/>
    <w:rsid w:val="10BA36DE"/>
    <w:rsid w:val="11C65D17"/>
    <w:rsid w:val="128B2CED"/>
    <w:rsid w:val="12C63575"/>
    <w:rsid w:val="136C6BDF"/>
    <w:rsid w:val="160F5D86"/>
    <w:rsid w:val="180327A7"/>
    <w:rsid w:val="18B01199"/>
    <w:rsid w:val="21AA5206"/>
    <w:rsid w:val="25397C3C"/>
    <w:rsid w:val="25D063A7"/>
    <w:rsid w:val="270859F3"/>
    <w:rsid w:val="27DD3A7C"/>
    <w:rsid w:val="28F705B3"/>
    <w:rsid w:val="294871F6"/>
    <w:rsid w:val="2A1808F5"/>
    <w:rsid w:val="2CFA073B"/>
    <w:rsid w:val="2F8741E0"/>
    <w:rsid w:val="300F4032"/>
    <w:rsid w:val="3054695C"/>
    <w:rsid w:val="32572810"/>
    <w:rsid w:val="3603788C"/>
    <w:rsid w:val="37965BD5"/>
    <w:rsid w:val="38AE4472"/>
    <w:rsid w:val="3B507E5D"/>
    <w:rsid w:val="3B77553C"/>
    <w:rsid w:val="3BB10BEF"/>
    <w:rsid w:val="3DEE79DD"/>
    <w:rsid w:val="41647664"/>
    <w:rsid w:val="417523CC"/>
    <w:rsid w:val="43AF21D5"/>
    <w:rsid w:val="46585F54"/>
    <w:rsid w:val="4B87668E"/>
    <w:rsid w:val="533945E1"/>
    <w:rsid w:val="54B36524"/>
    <w:rsid w:val="54CA6DEF"/>
    <w:rsid w:val="55401139"/>
    <w:rsid w:val="56730E64"/>
    <w:rsid w:val="587E2868"/>
    <w:rsid w:val="589624C5"/>
    <w:rsid w:val="592811CD"/>
    <w:rsid w:val="5F753FA5"/>
    <w:rsid w:val="62B81089"/>
    <w:rsid w:val="63525FE4"/>
    <w:rsid w:val="65D75D9B"/>
    <w:rsid w:val="66522FDF"/>
    <w:rsid w:val="6B7878AD"/>
    <w:rsid w:val="6CF97C65"/>
    <w:rsid w:val="6D363C39"/>
    <w:rsid w:val="6DD16EDF"/>
    <w:rsid w:val="73013807"/>
    <w:rsid w:val="79CB43E5"/>
    <w:rsid w:val="7CD05C51"/>
    <w:rsid w:val="7CFA40F4"/>
    <w:rsid w:val="7E800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3691"/>
  <w15:docId w15:val="{302A28D6-A572-4534-8AAD-A3731F41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pPr>
    <w:rPr>
      <w:sz w:val="18"/>
      <w:szCs w:val="18"/>
    </w:rPr>
  </w:style>
  <w:style w:type="paragraph" w:styleId="a5">
    <w:name w:val="header"/>
    <w:basedOn w:val="a"/>
    <w:link w:val="a6"/>
    <w:autoRedefine/>
    <w:uiPriority w:val="99"/>
    <w:unhideWhenUsed/>
    <w:qFormat/>
    <w:pPr>
      <w:tabs>
        <w:tab w:val="center" w:pos="4153"/>
        <w:tab w:val="right" w:pos="8306"/>
      </w:tabs>
      <w:jc w:val="center"/>
    </w:pPr>
    <w:rPr>
      <w:sz w:val="18"/>
      <w:szCs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sz w:val="24"/>
      <w:szCs w:val="24"/>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List Paragraph"/>
    <w:basedOn w:val="a"/>
    <w:autoRedefine/>
    <w:uiPriority w:val="99"/>
    <w:unhideWhenUsed/>
    <w:qFormat/>
    <w:pPr>
      <w:ind w:firstLineChars="200" w:firstLine="420"/>
    </w:pPr>
  </w:style>
  <w:style w:type="paragraph" w:customStyle="1" w:styleId="1">
    <w:name w:val="修订1"/>
    <w:hidden/>
    <w:uiPriority w:val="99"/>
    <w:unhideWhenUsed/>
    <w:qFormat/>
    <w:rPr>
      <w:rFonts w:ascii="Arial" w:eastAsiaTheme="minorEastAsia"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~WRL0009.tmp</Template>
  <TotalTime>17</TotalTime>
  <Pages>3</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毋晓妮</dc:creator>
  <cp:lastModifiedBy>hongyu chen</cp:lastModifiedBy>
  <cp:revision>25</cp:revision>
  <cp:lastPrinted>2025-01-03T01:46:00Z</cp:lastPrinted>
  <dcterms:created xsi:type="dcterms:W3CDTF">2022-05-06T15:20:00Z</dcterms:created>
  <dcterms:modified xsi:type="dcterms:W3CDTF">2025-02-06T09:53:00Z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2024-05-03T16:40:34Z</vt:filetime>
  </property>
  <property fmtid="{D5CDD505-2E9C-101B-9397-08002B2CF9AE}" pid="4" name="KSOProductBuildVer">
    <vt:lpwstr>2052-12.1.0.16729</vt:lpwstr>
  </property>
  <property fmtid="{D5CDD505-2E9C-101B-9397-08002B2CF9AE}" pid="5" name="ICV">
    <vt:lpwstr>63F001C03A374975BD2F0B27584E4D16_13</vt:lpwstr>
  </property>
</Properties>
</file>