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FD332" w14:textId="77777777" w:rsidR="00382CB2" w:rsidRDefault="005A4F53">
      <w:pPr>
        <w:adjustRightInd/>
        <w:snapToGrid/>
        <w:spacing w:beforeLines="0" w:before="0" w:afterLines="0" w:after="0" w:line="240" w:lineRule="auto"/>
        <w:ind w:firstLineChars="0" w:firstLine="0"/>
        <w:jc w:val="both"/>
        <w:rPr>
          <w:kern w:val="2"/>
          <w:szCs w:val="20"/>
        </w:rPr>
      </w:pPr>
      <w:bookmarkStart w:id="0" w:name="_Hlk147594011"/>
      <w:r>
        <w:rPr>
          <w:rFonts w:hint="eastAsia"/>
          <w:kern w:val="2"/>
          <w:szCs w:val="20"/>
        </w:rPr>
        <w:t>证券代码：</w:t>
      </w:r>
      <w:r>
        <w:rPr>
          <w:rFonts w:hint="eastAsia"/>
          <w:kern w:val="2"/>
          <w:szCs w:val="20"/>
        </w:rPr>
        <w:t xml:space="preserve">603350       </w:t>
      </w:r>
      <w:r>
        <w:rPr>
          <w:kern w:val="2"/>
          <w:szCs w:val="20"/>
        </w:rPr>
        <w:t xml:space="preserve">                           </w:t>
      </w:r>
      <w:r>
        <w:rPr>
          <w:rFonts w:hint="eastAsia"/>
          <w:kern w:val="2"/>
          <w:szCs w:val="20"/>
        </w:rPr>
        <w:t xml:space="preserve">   </w:t>
      </w:r>
      <w:r>
        <w:rPr>
          <w:rFonts w:hint="eastAsia"/>
          <w:kern w:val="2"/>
          <w:szCs w:val="20"/>
        </w:rPr>
        <w:t>证券简称：安乃达</w:t>
      </w:r>
    </w:p>
    <w:p w14:paraId="43C5DA5D" w14:textId="77777777" w:rsidR="00382CB2" w:rsidRDefault="00382CB2"/>
    <w:p w14:paraId="185705C8" w14:textId="77777777" w:rsidR="00382CB2" w:rsidRDefault="005A4F53">
      <w:pPr>
        <w:adjustRightInd/>
        <w:snapToGrid/>
        <w:spacing w:beforeLines="0" w:before="240" w:afterLines="0" w:after="0"/>
        <w:ind w:firstLineChars="0" w:firstLine="0"/>
        <w:jc w:val="center"/>
        <w:rPr>
          <w:rFonts w:ascii="宋体" w:hAnsi="宋体" w:cs="宋体"/>
          <w:b/>
          <w:color w:val="FF0000"/>
          <w:kern w:val="2"/>
          <w:sz w:val="30"/>
          <w:szCs w:val="30"/>
        </w:rPr>
      </w:pPr>
      <w:bookmarkStart w:id="1" w:name="_Hlk172048005"/>
      <w:bookmarkEnd w:id="0"/>
      <w:proofErr w:type="gramStart"/>
      <w:r>
        <w:rPr>
          <w:rFonts w:ascii="宋体" w:hAnsi="宋体" w:cs="宋体" w:hint="eastAsia"/>
          <w:b/>
          <w:color w:val="FF0000"/>
          <w:kern w:val="2"/>
          <w:sz w:val="30"/>
          <w:szCs w:val="30"/>
        </w:rPr>
        <w:t>安乃达驱动</w:t>
      </w:r>
      <w:proofErr w:type="gramEnd"/>
      <w:r>
        <w:rPr>
          <w:rFonts w:ascii="宋体" w:hAnsi="宋体" w:cs="宋体" w:hint="eastAsia"/>
          <w:b/>
          <w:color w:val="FF0000"/>
          <w:kern w:val="2"/>
          <w:sz w:val="30"/>
          <w:szCs w:val="30"/>
        </w:rPr>
        <w:t>技术（上海）股份有限公司</w:t>
      </w:r>
    </w:p>
    <w:bookmarkEnd w:id="1"/>
    <w:p w14:paraId="5D85794F" w14:textId="77777777" w:rsidR="00382CB2" w:rsidRDefault="005A4F53">
      <w:pPr>
        <w:adjustRightInd/>
        <w:snapToGrid/>
        <w:spacing w:beforeLines="0" w:before="240" w:afterLines="0" w:after="0"/>
        <w:ind w:firstLineChars="0" w:firstLine="0"/>
        <w:jc w:val="center"/>
        <w:rPr>
          <w:rFonts w:ascii="宋体" w:hAnsi="宋体" w:cs="宋体"/>
          <w:b/>
          <w:color w:val="FF0000"/>
          <w:kern w:val="2"/>
          <w:sz w:val="30"/>
          <w:szCs w:val="30"/>
        </w:rPr>
      </w:pPr>
      <w:r>
        <w:rPr>
          <w:rFonts w:ascii="宋体" w:hAnsi="宋体" w:cs="宋体" w:hint="eastAsia"/>
          <w:b/>
          <w:color w:val="FF0000"/>
          <w:kern w:val="2"/>
          <w:sz w:val="30"/>
          <w:szCs w:val="30"/>
        </w:rPr>
        <w:t>投资者关系活动记录表</w:t>
      </w:r>
    </w:p>
    <w:p w14:paraId="648BB99E" w14:textId="77777777" w:rsidR="00382CB2" w:rsidRDefault="005A4F53">
      <w:pPr>
        <w:adjustRightInd/>
        <w:snapToGrid/>
        <w:spacing w:beforeLines="0" w:before="240" w:afterLines="0" w:after="0"/>
        <w:ind w:firstLineChars="2700" w:firstLine="6480"/>
        <w:rPr>
          <w:rFonts w:ascii="宋体" w:hAnsi="宋体" w:cs="宋体"/>
          <w:kern w:val="2"/>
          <w:szCs w:val="30"/>
        </w:rPr>
      </w:pPr>
      <w:r>
        <w:rPr>
          <w:rFonts w:ascii="宋体" w:hAnsi="宋体" w:cs="宋体" w:hint="eastAsia"/>
          <w:kern w:val="2"/>
          <w:szCs w:val="30"/>
        </w:rPr>
        <w:t>编号：2</w:t>
      </w:r>
      <w:r>
        <w:rPr>
          <w:rFonts w:ascii="宋体" w:hAnsi="宋体" w:cs="宋体"/>
          <w:kern w:val="2"/>
          <w:szCs w:val="30"/>
        </w:rPr>
        <w:t>025-001</w:t>
      </w:r>
    </w:p>
    <w:tbl>
      <w:tblPr>
        <w:tblW w:w="8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7126"/>
      </w:tblGrid>
      <w:tr w:rsidR="00382CB2" w14:paraId="24E35F1F" w14:textId="77777777"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5CCE25" w14:textId="77777777" w:rsidR="00382CB2" w:rsidRDefault="005A4F53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投资者关系活动类别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5D42ED" w14:textId="6D2E92DB" w:rsidR="00382CB2" w:rsidRDefault="00F3474E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sym w:font="Wingdings" w:char="F0FE"/>
            </w:r>
            <w:r w:rsidR="005A4F53">
              <w:rPr>
                <w:rFonts w:ascii="宋体" w:hAnsi="宋体" w:cs="宋体"/>
              </w:rPr>
              <w:t>特定对象调研        </w:t>
            </w:r>
            <w:r w:rsidR="005A4F53">
              <w:rPr>
                <w:rFonts w:ascii="宋体" w:hAnsi="宋体" w:cs="宋体" w:hint="eastAsia"/>
              </w:rPr>
              <w:t>□</w:t>
            </w:r>
            <w:r w:rsidR="005A4F53">
              <w:rPr>
                <w:rFonts w:ascii="宋体" w:hAnsi="宋体" w:cs="宋体"/>
              </w:rPr>
              <w:t>分析师会议 </w:t>
            </w:r>
          </w:p>
          <w:p w14:paraId="42DD3DA3" w14:textId="77777777" w:rsidR="00382CB2" w:rsidRDefault="005A4F53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媒体采访          </w:t>
            </w: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业绩说明会 </w:t>
            </w:r>
          </w:p>
          <w:p w14:paraId="3C927141" w14:textId="77777777" w:rsidR="00382CB2" w:rsidRDefault="005A4F53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新闻发布会         </w:t>
            </w: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路演活动 </w:t>
            </w:r>
          </w:p>
          <w:p w14:paraId="590F98B0" w14:textId="3A885060" w:rsidR="00382CB2" w:rsidRDefault="00F3474E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  <w:r w:rsidR="005A4F53">
              <w:rPr>
                <w:rFonts w:ascii="宋体" w:hAnsi="宋体" w:cs="宋体"/>
              </w:rPr>
              <w:t>现场参观          </w:t>
            </w:r>
            <w:r w:rsidR="005A4F53">
              <w:rPr>
                <w:rFonts w:ascii="宋体" w:hAnsi="宋体" w:cs="宋体" w:hint="eastAsia"/>
              </w:rPr>
              <w:t>□</w:t>
            </w:r>
            <w:r w:rsidR="005A4F53">
              <w:rPr>
                <w:rFonts w:ascii="宋体" w:hAnsi="宋体" w:cs="宋体"/>
              </w:rPr>
              <w:t>一对一沟通 </w:t>
            </w:r>
          </w:p>
          <w:p w14:paraId="46617C1E" w14:textId="77777777" w:rsidR="00382CB2" w:rsidRDefault="005A4F53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其他（电话会议、网络会议） </w:t>
            </w:r>
          </w:p>
        </w:tc>
      </w:tr>
      <w:tr w:rsidR="00382CB2" w14:paraId="21BD5C16" w14:textId="77777777">
        <w:trPr>
          <w:trHeight w:val="1044"/>
        </w:trPr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C4E208" w14:textId="77777777" w:rsidR="00382CB2" w:rsidRDefault="005A4F53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参与机构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202878" w14:textId="77777777" w:rsidR="00382CB2" w:rsidRDefault="005A4F53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国金证券、</w:t>
            </w:r>
            <w:proofErr w:type="gramStart"/>
            <w:r>
              <w:rPr>
                <w:rFonts w:ascii="宋体" w:hAnsi="宋体" w:cs="宋体" w:hint="eastAsia"/>
              </w:rPr>
              <w:t>优赛投资</w:t>
            </w:r>
            <w:proofErr w:type="gramEnd"/>
            <w:r>
              <w:rPr>
                <w:rFonts w:ascii="宋体" w:hAnsi="宋体" w:cs="宋体" w:hint="eastAsia"/>
              </w:rPr>
              <w:t>、恒泰证券、</w:t>
            </w:r>
            <w:proofErr w:type="gramStart"/>
            <w:r>
              <w:rPr>
                <w:rFonts w:ascii="宋体" w:hAnsi="宋体" w:cs="宋体" w:hint="eastAsia"/>
              </w:rPr>
              <w:t>岙</w:t>
            </w:r>
            <w:proofErr w:type="gramEnd"/>
            <w:r>
              <w:rPr>
                <w:rFonts w:ascii="宋体" w:hAnsi="宋体" w:cs="宋体" w:hint="eastAsia"/>
              </w:rPr>
              <w:t>夏投资、</w:t>
            </w:r>
            <w:proofErr w:type="gramStart"/>
            <w:r>
              <w:rPr>
                <w:rFonts w:ascii="宋体" w:hAnsi="宋体" w:cs="宋体" w:hint="eastAsia"/>
              </w:rPr>
              <w:t>湘晨投资</w:t>
            </w:r>
            <w:proofErr w:type="gramEnd"/>
            <w:r>
              <w:rPr>
                <w:rFonts w:ascii="宋体" w:hAnsi="宋体" w:cs="宋体" w:hint="eastAsia"/>
              </w:rPr>
              <w:t>、</w:t>
            </w:r>
            <w:proofErr w:type="gramStart"/>
            <w:r>
              <w:rPr>
                <w:rFonts w:ascii="宋体" w:hAnsi="宋体" w:cs="宋体" w:hint="eastAsia"/>
              </w:rPr>
              <w:t>上柿咨询</w:t>
            </w:r>
            <w:proofErr w:type="gramEnd"/>
            <w:r>
              <w:rPr>
                <w:rFonts w:ascii="宋体" w:hAnsi="宋体" w:cs="宋体" w:hint="eastAsia"/>
              </w:rPr>
              <w:t>、东方财富证券、上海证券、民生银行、成阳资产、奥帕资本、广发证券、重鼎资本、中信建投、期货日报、中数科、英飞尼</w:t>
            </w:r>
            <w:proofErr w:type="gramStart"/>
            <w:r>
              <w:rPr>
                <w:rFonts w:ascii="宋体" w:hAnsi="宋体" w:cs="宋体" w:hint="eastAsia"/>
              </w:rPr>
              <w:t>迪</w:t>
            </w:r>
            <w:proofErr w:type="gramEnd"/>
            <w:r>
              <w:rPr>
                <w:rFonts w:ascii="宋体" w:hAnsi="宋体" w:cs="宋体" w:hint="eastAsia"/>
              </w:rPr>
              <w:t>资本、</w:t>
            </w:r>
            <w:proofErr w:type="gramStart"/>
            <w:r>
              <w:rPr>
                <w:rFonts w:ascii="宋体" w:hAnsi="宋体" w:cs="宋体" w:hint="eastAsia"/>
              </w:rPr>
              <w:t>朔赢投资</w:t>
            </w:r>
            <w:proofErr w:type="gramEnd"/>
            <w:r>
              <w:rPr>
                <w:rFonts w:ascii="宋体" w:hAnsi="宋体" w:cs="宋体" w:hint="eastAsia"/>
              </w:rPr>
              <w:t>、</w:t>
            </w:r>
            <w:proofErr w:type="gramStart"/>
            <w:r>
              <w:rPr>
                <w:rFonts w:ascii="宋体" w:hAnsi="宋体" w:cs="宋体" w:hint="eastAsia"/>
              </w:rPr>
              <w:t>稠州银行</w:t>
            </w:r>
            <w:proofErr w:type="gramEnd"/>
            <w:r>
              <w:rPr>
                <w:rFonts w:ascii="宋体" w:hAnsi="宋体" w:cs="宋体" w:hint="eastAsia"/>
              </w:rPr>
              <w:t>、中国期货报</w:t>
            </w:r>
          </w:p>
        </w:tc>
      </w:tr>
      <w:tr w:rsidR="00382CB2" w14:paraId="6AFE2331" w14:textId="77777777">
        <w:trPr>
          <w:trHeight w:val="677"/>
        </w:trPr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827F52" w14:textId="77777777" w:rsidR="00382CB2" w:rsidRDefault="005A4F53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时间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5B69FF" w14:textId="77777777" w:rsidR="00382CB2" w:rsidRDefault="005A4F53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/>
              </w:rPr>
              <w:t>025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>20</w:t>
            </w:r>
            <w:r>
              <w:rPr>
                <w:rFonts w:ascii="宋体" w:hAnsi="宋体" w:cs="宋体" w:hint="eastAsia"/>
              </w:rPr>
              <w:t xml:space="preserve">日 </w:t>
            </w:r>
            <w:r>
              <w:rPr>
                <w:rFonts w:ascii="宋体" w:hAnsi="宋体" w:cs="宋体"/>
              </w:rPr>
              <w:t>14</w:t>
            </w:r>
            <w:r>
              <w:rPr>
                <w:rFonts w:ascii="宋体" w:hAnsi="宋体" w:cs="宋体" w:hint="eastAsia"/>
              </w:rPr>
              <w:t>:0</w:t>
            </w:r>
            <w:r>
              <w:rPr>
                <w:rFonts w:ascii="宋体" w:hAnsi="宋体" w:cs="宋体"/>
              </w:rPr>
              <w:t>0</w:t>
            </w:r>
          </w:p>
        </w:tc>
      </w:tr>
      <w:tr w:rsidR="00382CB2" w14:paraId="2DC2E540" w14:textId="77777777">
        <w:trPr>
          <w:trHeight w:val="559"/>
        </w:trPr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98FA8C" w14:textId="77777777" w:rsidR="00382CB2" w:rsidRDefault="005A4F53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地点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D0AE7E" w14:textId="77777777" w:rsidR="00382CB2" w:rsidRDefault="005A4F53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公司会议室</w:t>
            </w:r>
          </w:p>
        </w:tc>
      </w:tr>
      <w:tr w:rsidR="00382CB2" w14:paraId="5014AFA9" w14:textId="77777777">
        <w:trPr>
          <w:trHeight w:val="1829"/>
        </w:trPr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E19B0C" w14:textId="77777777" w:rsidR="00382CB2" w:rsidRDefault="005A4F53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上市公司接待人员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05EA2E" w14:textId="77777777" w:rsidR="00382CB2" w:rsidRDefault="005A4F53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董事、董事会秘书、财务总监：李进</w:t>
            </w:r>
          </w:p>
          <w:p w14:paraId="67F5EA35" w14:textId="77777777" w:rsidR="00382CB2" w:rsidRDefault="005A4F53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证券事务代表：赵杰</w:t>
            </w:r>
          </w:p>
          <w:p w14:paraId="6026EB10" w14:textId="77777777" w:rsidR="00382CB2" w:rsidRDefault="00382CB2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</w:p>
        </w:tc>
      </w:tr>
      <w:tr w:rsidR="00382CB2" w14:paraId="03FBEA28" w14:textId="77777777">
        <w:trPr>
          <w:trHeight w:val="4379"/>
        </w:trPr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A3C0FC" w14:textId="77777777" w:rsidR="00382CB2" w:rsidRDefault="005A4F53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投资者关系活动主要内容介绍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2F4E2D" w14:textId="77777777" w:rsidR="00382CB2" w:rsidRDefault="005A4F53">
            <w:pPr>
              <w:widowControl/>
              <w:adjustRightInd/>
              <w:snapToGrid/>
              <w:spacing w:beforeLines="0" w:before="0" w:afterLines="0" w:after="0"/>
              <w:ind w:firstLineChars="0" w:firstLine="0"/>
              <w:jc w:val="both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 w:hint="eastAsia"/>
                <w:b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宋体" w:hint="eastAsia"/>
                <w:b/>
              </w:rPr>
              <w:t>公司产品是否可以应用于人形机器人、四足机器人？目前是否和相关企业有合作？</w:t>
            </w:r>
          </w:p>
          <w:p w14:paraId="06D6EAE5" w14:textId="12FEAA8E" w:rsidR="00382CB2" w:rsidRDefault="005A4F53">
            <w:pPr>
              <w:widowControl/>
              <w:adjustRightInd/>
              <w:snapToGrid/>
              <w:spacing w:beforeLines="0" w:before="0" w:afterLines="0" w:after="0"/>
              <w:ind w:firstLineChars="0" w:firstLine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答: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目前暂未与人形机器人、四足机器人相关企业开展合作，但在广义的轮式机器人项目上，公司有批量供应或在</w:t>
            </w:r>
            <w:proofErr w:type="gramStart"/>
            <w:r>
              <w:rPr>
                <w:rFonts w:ascii="宋体" w:hAnsi="宋体" w:cs="宋体" w:hint="eastAsia"/>
              </w:rPr>
              <w:t>研</w:t>
            </w:r>
            <w:proofErr w:type="gramEnd"/>
            <w:r>
              <w:rPr>
                <w:rFonts w:ascii="宋体" w:hAnsi="宋体" w:cs="宋体" w:hint="eastAsia"/>
              </w:rPr>
              <w:t>的电机产品，未来也不排除拓展电驱动系统系列产品在人形</w:t>
            </w:r>
            <w:proofErr w:type="gramStart"/>
            <w:r>
              <w:rPr>
                <w:rFonts w:ascii="宋体" w:hAnsi="宋体" w:cs="宋体" w:hint="eastAsia"/>
              </w:rPr>
              <w:t>或具身机器人</w:t>
            </w:r>
            <w:proofErr w:type="gramEnd"/>
            <w:r>
              <w:rPr>
                <w:rFonts w:ascii="宋体" w:hAnsi="宋体" w:cs="宋体" w:hint="eastAsia"/>
              </w:rPr>
              <w:t>领域的应用。</w:t>
            </w:r>
          </w:p>
          <w:p w14:paraId="7DFDFECC" w14:textId="77777777" w:rsidR="00382CB2" w:rsidRDefault="005A4F53">
            <w:pPr>
              <w:widowControl/>
              <w:adjustRightInd/>
              <w:snapToGrid/>
              <w:spacing w:beforeLines="0" w:before="0" w:afterLines="0" w:after="0"/>
              <w:ind w:firstLineChars="0" w:firstLine="0"/>
              <w:jc w:val="both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 w:hint="eastAsia"/>
                <w:b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宋体" w:hint="eastAsia"/>
                <w:b/>
              </w:rPr>
              <w:t>公司202</w:t>
            </w:r>
            <w:r>
              <w:rPr>
                <w:rFonts w:ascii="宋体" w:hAnsi="宋体" w:cs="宋体"/>
                <w:b/>
              </w:rPr>
              <w:t>4</w:t>
            </w:r>
            <w:r>
              <w:rPr>
                <w:rFonts w:ascii="宋体" w:hAnsi="宋体" w:cs="宋体" w:hint="eastAsia"/>
                <w:b/>
              </w:rPr>
              <w:t>年在越南设立的工厂，目前是否已经投产或具体情况如何？</w:t>
            </w:r>
          </w:p>
          <w:p w14:paraId="1424CD60" w14:textId="26748632" w:rsidR="00382CB2" w:rsidRDefault="005A4F53">
            <w:pPr>
              <w:widowControl/>
              <w:adjustRightInd/>
              <w:snapToGrid/>
              <w:spacing w:beforeLines="0" w:before="0" w:afterLines="0" w:after="0"/>
              <w:ind w:firstLineChars="0" w:firstLine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 xml:space="preserve">    答: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公司</w:t>
            </w:r>
            <w:r>
              <w:rPr>
                <w:rFonts w:ascii="宋体" w:hAnsi="宋体" w:cs="宋体" w:hint="eastAsia"/>
              </w:rPr>
              <w:t>越南工厂已具备量产条件，原计划去年投产，进度有所推迟。</w:t>
            </w:r>
          </w:p>
          <w:p w14:paraId="62E799B0" w14:textId="51F78A0B" w:rsidR="00382CB2" w:rsidRDefault="005A4F53">
            <w:pPr>
              <w:widowControl/>
              <w:adjustRightInd/>
              <w:snapToGrid/>
              <w:spacing w:beforeLines="0" w:before="0" w:afterLines="0" w:after="0"/>
              <w:ind w:firstLineChars="0" w:firstLine="0"/>
              <w:jc w:val="both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  <w:b/>
              </w:rPr>
              <w:t xml:space="preserve"> 3.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国内</w:t>
            </w:r>
            <w:r>
              <w:rPr>
                <w:rFonts w:ascii="宋体" w:hAnsi="宋体" w:cs="宋体" w:hint="eastAsia"/>
                <w:b/>
              </w:rPr>
              <w:t>电助力</w:t>
            </w:r>
            <w:proofErr w:type="gramEnd"/>
            <w:r>
              <w:rPr>
                <w:rFonts w:ascii="宋体" w:hAnsi="宋体" w:cs="宋体" w:hint="eastAsia"/>
                <w:b/>
              </w:rPr>
              <w:t>自行车相关标准什么时候落地有没有具体的时间？市场需求会如何，公司有没有一个判断？</w:t>
            </w:r>
          </w:p>
          <w:p w14:paraId="69FFEF85" w14:textId="28C1DDD4" w:rsidR="00382CB2" w:rsidRDefault="005A4F53">
            <w:pPr>
              <w:widowControl/>
              <w:adjustRightInd/>
              <w:snapToGrid/>
              <w:spacing w:beforeLines="0" w:before="0" w:afterLines="0" w:after="0"/>
              <w:ind w:firstLineChars="0" w:firstLine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答: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宋体"/>
              </w:rPr>
              <w:t>根据相关的公示信息，电助力自行车通用技术规范的标准制定立项已经开始征求意见，一旦标准落地对</w:t>
            </w:r>
            <w:proofErr w:type="gramStart"/>
            <w:r>
              <w:rPr>
                <w:rFonts w:ascii="宋体" w:hAnsi="宋体" w:cs="宋体"/>
              </w:rPr>
              <w:t>国内电助力</w:t>
            </w:r>
            <w:proofErr w:type="gramEnd"/>
            <w:r>
              <w:rPr>
                <w:rFonts w:ascii="宋体" w:hAnsi="宋体" w:cs="宋体"/>
              </w:rPr>
              <w:t>自行车的需求会是一个利好消息，</w:t>
            </w:r>
            <w:proofErr w:type="gramStart"/>
            <w:r>
              <w:rPr>
                <w:rFonts w:ascii="宋体" w:hAnsi="宋体" w:cs="宋体"/>
              </w:rPr>
              <w:t>安乃达将</w:t>
            </w:r>
            <w:proofErr w:type="gramEnd"/>
            <w:r>
              <w:rPr>
                <w:rFonts w:ascii="宋体" w:hAnsi="宋体" w:cs="宋体"/>
              </w:rPr>
              <w:t>会参与该项国家标准的起草工作。</w:t>
            </w:r>
          </w:p>
          <w:p w14:paraId="1A94A174" w14:textId="3067E1B6" w:rsidR="00382CB2" w:rsidRDefault="005A4F53">
            <w:pPr>
              <w:widowControl/>
              <w:adjustRightInd/>
              <w:snapToGrid/>
              <w:spacing w:beforeLines="0" w:before="0" w:afterLines="0" w:after="0"/>
              <w:ind w:firstLine="482"/>
              <w:jc w:val="both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4.</w:t>
            </w:r>
            <w:r>
              <w:rPr>
                <w:rFonts w:ascii="宋体" w:hAnsi="宋体" w:cs="宋体" w:hint="eastAsia"/>
                <w:b/>
                <w:bCs/>
              </w:rPr>
              <w:t>公司未来3到</w:t>
            </w:r>
            <w:r>
              <w:rPr>
                <w:rFonts w:ascii="宋体" w:hAnsi="宋体" w:cs="宋体"/>
                <w:b/>
                <w:bCs/>
              </w:rPr>
              <w:t>5</w:t>
            </w:r>
            <w:r>
              <w:rPr>
                <w:rFonts w:ascii="宋体" w:hAnsi="宋体" w:cs="宋体" w:hint="eastAsia"/>
                <w:b/>
                <w:bCs/>
              </w:rPr>
              <w:t>年，是否会拓展新的应用场景？或者通过投资、并购等方式进行相关的拓展？</w:t>
            </w:r>
          </w:p>
          <w:p w14:paraId="53029457" w14:textId="7E6D5BC9" w:rsidR="00382CB2" w:rsidRDefault="005A4F53">
            <w:pPr>
              <w:widowControl/>
              <w:adjustRightInd/>
              <w:snapToGrid/>
              <w:spacing w:beforeLines="0" w:before="0" w:afterLines="0" w:after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答：目前公司立足于电动两轮车业务，持续提升市场份额，也会积极探索布局新应用场景，如多功能清扫机器人、电动轮椅、电动割草机、电动摩托车等产品的电机；不排除未来会通过投资、并购等方式增加技术储备或进行业务拓展。</w:t>
            </w:r>
          </w:p>
          <w:p w14:paraId="2501A619" w14:textId="44672A40" w:rsidR="00382CB2" w:rsidRDefault="005A4F53">
            <w:pPr>
              <w:widowControl/>
              <w:adjustRightInd/>
              <w:snapToGrid/>
              <w:spacing w:beforeLines="0" w:before="0" w:afterLines="0" w:after="0"/>
              <w:ind w:firstLine="482"/>
              <w:jc w:val="both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5.</w:t>
            </w:r>
            <w:r>
              <w:rPr>
                <w:rFonts w:ascii="宋体" w:hAnsi="宋体" w:cs="宋体" w:hint="eastAsia"/>
                <w:b/>
                <w:bCs/>
              </w:rPr>
              <w:t>公司海外业务方面，是否会受到汇率或贸易政策的影响？</w:t>
            </w:r>
          </w:p>
          <w:p w14:paraId="4B4DD46A" w14:textId="44CCB962" w:rsidR="00382CB2" w:rsidRDefault="005A4F53">
            <w:pPr>
              <w:widowControl/>
              <w:adjustRightInd/>
              <w:snapToGrid/>
              <w:spacing w:beforeLines="0" w:before="0" w:afterLines="0" w:after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答：</w:t>
            </w:r>
            <w:r>
              <w:rPr>
                <w:rFonts w:hint="eastAsia"/>
              </w:rPr>
              <w:t>根据关税的政策变动，公司会通过对本土化运营、海外制造进行整体的布局优化，实现可持续稳健发展。公司</w:t>
            </w:r>
            <w:r>
              <w:rPr>
                <w:rFonts w:hint="eastAsia"/>
              </w:rPr>
              <w:t>20</w:t>
            </w:r>
            <w:r>
              <w:t>21</w:t>
            </w:r>
            <w:r>
              <w:rPr>
                <w:rFonts w:hint="eastAsia"/>
              </w:rPr>
              <w:t>年布局匈牙利，目前承担售后服务中心的工作，这些员工也是欧洲未来本土制造的骨干团队；同时公司越南工厂在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年也已经完成了筹建与试生产，初步达到了量产条件。</w:t>
            </w:r>
            <w:r>
              <w:rPr>
                <w:rFonts w:ascii="宋体" w:hAnsi="宋体" w:cs="宋体" w:hint="eastAsia"/>
              </w:rPr>
              <w:t>关于汇率波动，一直也是公司财务工作的重点，通过跨境人民币结算、外汇衍生品交易、合同约定的价格调整机制等来尽量减少汇率波动对公司业绩的影响。</w:t>
            </w:r>
          </w:p>
          <w:p w14:paraId="03DABD5B" w14:textId="7CF0C029" w:rsidR="00382CB2" w:rsidRDefault="005A4F53">
            <w:pPr>
              <w:widowControl/>
              <w:adjustRightInd/>
              <w:snapToGrid/>
              <w:spacing w:beforeLines="0" w:before="0" w:afterLines="0" w:after="0"/>
              <w:ind w:firstLine="482"/>
              <w:jc w:val="both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6.对于</w:t>
            </w:r>
            <w:proofErr w:type="spellStart"/>
            <w:r>
              <w:rPr>
                <w:rFonts w:ascii="宋体" w:hAnsi="宋体" w:cs="宋体" w:hint="eastAsia"/>
                <w:b/>
                <w:bCs/>
              </w:rPr>
              <w:t>Deepseek</w:t>
            </w:r>
            <w:proofErr w:type="spellEnd"/>
            <w:r>
              <w:rPr>
                <w:rFonts w:ascii="宋体" w:hAnsi="宋体" w:cs="宋体" w:hint="eastAsia"/>
                <w:b/>
                <w:bCs/>
              </w:rPr>
              <w:t>这样的AI大模型，公司是否会考虑在研发上做一些应用？</w:t>
            </w:r>
          </w:p>
          <w:p w14:paraId="799EED2C" w14:textId="22D90355" w:rsidR="00382CB2" w:rsidRDefault="005A4F53">
            <w:pPr>
              <w:widowControl/>
              <w:adjustRightInd/>
              <w:snapToGrid/>
              <w:spacing w:beforeLines="0" w:before="0" w:afterLines="0" w:after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答：公司已经在内部开始进行关于A</w:t>
            </w:r>
            <w:r>
              <w:rPr>
                <w:rFonts w:ascii="宋体" w:hAnsi="宋体" w:cs="宋体"/>
              </w:rPr>
              <w:t>I</w:t>
            </w:r>
            <w:r>
              <w:rPr>
                <w:rFonts w:ascii="宋体" w:hAnsi="宋体" w:cs="宋体" w:hint="eastAsia"/>
              </w:rPr>
              <w:t>应用的调研，主要针对各部门日常工作中对AI大模型的应用需求，未来公司必定会拥抱新兴技术、拥抱A</w:t>
            </w:r>
            <w:r>
              <w:rPr>
                <w:rFonts w:ascii="宋体" w:hAnsi="宋体" w:cs="宋体"/>
              </w:rPr>
              <w:t>I</w:t>
            </w:r>
            <w:r>
              <w:rPr>
                <w:rFonts w:ascii="宋体" w:hAnsi="宋体" w:cs="宋体" w:hint="eastAsia"/>
              </w:rPr>
              <w:t>，以提高公司整体运营效率。</w:t>
            </w:r>
          </w:p>
          <w:p w14:paraId="60FDBC20" w14:textId="77777777" w:rsidR="00382CB2" w:rsidRDefault="005A4F53">
            <w:pPr>
              <w:widowControl/>
              <w:adjustRightInd/>
              <w:snapToGrid/>
              <w:spacing w:beforeLines="0" w:before="0" w:afterLines="0" w:after="0"/>
              <w:ind w:firstLine="482"/>
              <w:jc w:val="both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7</w:t>
            </w:r>
            <w:r>
              <w:rPr>
                <w:rFonts w:ascii="宋体" w:hAnsi="宋体" w:cs="宋体"/>
                <w:b/>
                <w:bCs/>
              </w:rPr>
              <w:t>.</w:t>
            </w:r>
            <w:r>
              <w:rPr>
                <w:rFonts w:ascii="宋体" w:hAnsi="宋体" w:cs="宋体" w:hint="eastAsia"/>
                <w:b/>
                <w:bCs/>
              </w:rPr>
              <w:t>公司三个研发中心（上海、无锡、天津）在研发方向是否有不同的侧重点？</w:t>
            </w:r>
          </w:p>
          <w:p w14:paraId="0126FD4F" w14:textId="0C448C35" w:rsidR="00382CB2" w:rsidRDefault="005A4F53">
            <w:pPr>
              <w:widowControl/>
              <w:adjustRightInd/>
              <w:snapToGrid/>
              <w:spacing w:beforeLines="0" w:before="0" w:afterLines="0" w:after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答：公司上海的研发部门主要负责</w:t>
            </w:r>
            <w:proofErr w:type="spellStart"/>
            <w:r>
              <w:rPr>
                <w:rFonts w:ascii="宋体" w:hAnsi="宋体" w:cs="宋体" w:hint="eastAsia"/>
              </w:rPr>
              <w:t>ebike</w:t>
            </w:r>
            <w:proofErr w:type="spellEnd"/>
            <w:r>
              <w:rPr>
                <w:rFonts w:ascii="宋体" w:hAnsi="宋体" w:cs="宋体" w:hint="eastAsia"/>
              </w:rPr>
              <w:t>相关产品的研发工作。无锡、天津的研发部门主要负责直驱轮毂电机及相关产品的研发工作。</w:t>
            </w:r>
          </w:p>
          <w:p w14:paraId="4FD05F78" w14:textId="77777777" w:rsidR="00382CB2" w:rsidRDefault="005A4F53">
            <w:pPr>
              <w:widowControl/>
              <w:adjustRightInd/>
              <w:snapToGrid/>
              <w:spacing w:beforeLines="0" w:before="0" w:afterLines="0" w:after="0"/>
              <w:ind w:firstLine="482"/>
              <w:jc w:val="both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8、海外业务的结算货币是什么，是否会受到汇率波动影响？</w:t>
            </w:r>
          </w:p>
          <w:p w14:paraId="07EB590A" w14:textId="31DB26DE" w:rsidR="00382CB2" w:rsidRDefault="005A4F53">
            <w:pPr>
              <w:widowControl/>
              <w:adjustRightInd/>
              <w:snapToGrid/>
              <w:spacing w:beforeLines="0" w:before="0" w:afterLines="0" w:after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答：海外业务主要通过美元和人民币结算。公司通过不断增加跨境人民币结算量以及外汇衍生品交易、合同约定的价格调整机制等来尽量减少汇率波动对公司业绩的影响。</w:t>
            </w:r>
          </w:p>
          <w:p w14:paraId="6AC3766C" w14:textId="3F6EDF9A" w:rsidR="00382CB2" w:rsidRDefault="005A4F53">
            <w:pPr>
              <w:widowControl/>
              <w:adjustRightInd/>
              <w:snapToGrid/>
              <w:spacing w:beforeLines="0" w:before="0" w:afterLines="0" w:after="0"/>
              <w:ind w:firstLine="482"/>
              <w:jc w:val="both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9.对于ESG和</w:t>
            </w:r>
            <w:proofErr w:type="gramStart"/>
            <w:r>
              <w:rPr>
                <w:rFonts w:ascii="宋体" w:hAnsi="宋体" w:cs="宋体" w:hint="eastAsia"/>
                <w:b/>
                <w:bCs/>
              </w:rPr>
              <w:t>碳中和</w:t>
            </w:r>
            <w:proofErr w:type="gramEnd"/>
            <w:r>
              <w:rPr>
                <w:rFonts w:ascii="宋体" w:hAnsi="宋体" w:cs="宋体" w:hint="eastAsia"/>
                <w:b/>
                <w:bCs/>
              </w:rPr>
              <w:t>，公司是否有相应的安排？</w:t>
            </w:r>
          </w:p>
          <w:p w14:paraId="67A30A5D" w14:textId="4BDA9F2A" w:rsidR="00382CB2" w:rsidRDefault="005A4F53">
            <w:pPr>
              <w:widowControl/>
              <w:adjustRightInd/>
              <w:snapToGrid/>
              <w:spacing w:beforeLines="0" w:before="0" w:afterLines="0" w:after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答：ESG和</w:t>
            </w:r>
            <w:proofErr w:type="gramStart"/>
            <w:r>
              <w:rPr>
                <w:rFonts w:ascii="宋体" w:hAnsi="宋体" w:cs="宋体" w:hint="eastAsia"/>
              </w:rPr>
              <w:t>碳中和</w:t>
            </w:r>
            <w:proofErr w:type="gramEnd"/>
            <w:r>
              <w:rPr>
                <w:rFonts w:ascii="宋体" w:hAnsi="宋体" w:cs="宋体" w:hint="eastAsia"/>
              </w:rPr>
              <w:t>工作公司已经有考虑和准备，会根据客户和监管的需求，逐步推进E</w:t>
            </w:r>
            <w:r>
              <w:rPr>
                <w:rFonts w:ascii="宋体" w:hAnsi="宋体" w:cs="宋体"/>
              </w:rPr>
              <w:t>SG</w:t>
            </w:r>
            <w:r>
              <w:rPr>
                <w:rFonts w:ascii="宋体" w:hAnsi="宋体" w:cs="宋体" w:hint="eastAsia"/>
              </w:rPr>
              <w:t>的相关工作。</w:t>
            </w:r>
          </w:p>
          <w:p w14:paraId="74D178A9" w14:textId="77777777" w:rsidR="00382CB2" w:rsidRDefault="005A4F53">
            <w:pPr>
              <w:widowControl/>
              <w:adjustRightInd/>
              <w:snapToGrid/>
              <w:spacing w:beforeLines="0" w:before="0" w:afterLines="0" w:after="0"/>
              <w:ind w:firstLine="482"/>
              <w:jc w:val="both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10.</w:t>
            </w:r>
            <w:r>
              <w:rPr>
                <w:rFonts w:ascii="宋体" w:hAnsi="宋体" w:cs="宋体" w:hint="eastAsia"/>
                <w:b/>
                <w:bCs/>
              </w:rPr>
              <w:t>公司去年</w:t>
            </w:r>
            <w:proofErr w:type="gramStart"/>
            <w:r>
              <w:rPr>
                <w:rFonts w:ascii="宋体" w:hAnsi="宋体" w:cs="宋体" w:hint="eastAsia"/>
                <w:b/>
                <w:bCs/>
              </w:rPr>
              <w:t>一</w:t>
            </w:r>
            <w:proofErr w:type="gramEnd"/>
            <w:r>
              <w:rPr>
                <w:rFonts w:ascii="宋体" w:hAnsi="宋体" w:cs="宋体" w:hint="eastAsia"/>
                <w:b/>
                <w:bCs/>
              </w:rPr>
              <w:t>季报到半年报，货币资金翻倍是什么原因？第三季度的</w:t>
            </w:r>
            <w:proofErr w:type="gramStart"/>
            <w:r>
              <w:rPr>
                <w:rFonts w:ascii="宋体" w:hAnsi="宋体" w:cs="宋体" w:hint="eastAsia"/>
                <w:b/>
                <w:bCs/>
              </w:rPr>
              <w:t>利润环</w:t>
            </w:r>
            <w:proofErr w:type="gramEnd"/>
            <w:r>
              <w:rPr>
                <w:rFonts w:ascii="宋体" w:hAnsi="宋体" w:cs="宋体" w:hint="eastAsia"/>
                <w:b/>
                <w:bCs/>
              </w:rPr>
              <w:t>比有一定下降是什么原因？</w:t>
            </w:r>
          </w:p>
          <w:p w14:paraId="230ED44C" w14:textId="44CD95E3" w:rsidR="00382CB2" w:rsidRDefault="005A4F53">
            <w:pPr>
              <w:widowControl/>
              <w:adjustRightInd/>
              <w:snapToGrid/>
              <w:spacing w:beforeLines="0" w:before="0" w:afterLines="0" w:after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答：公司于2024年7月3号上市，募集资金6月底已到账，所以半年报中货币资金增加，虽有自身积累增长，但主要是募集资金到账导致；三季度</w:t>
            </w:r>
            <w:proofErr w:type="gramStart"/>
            <w:r>
              <w:rPr>
                <w:rFonts w:ascii="宋体" w:hAnsi="宋体" w:cs="宋体" w:hint="eastAsia"/>
              </w:rPr>
              <w:t>利润环</w:t>
            </w:r>
            <w:proofErr w:type="gramEnd"/>
            <w:r>
              <w:rPr>
                <w:rFonts w:ascii="宋体" w:hAnsi="宋体" w:cs="宋体" w:hint="eastAsia"/>
              </w:rPr>
              <w:t>比下滑主要是因三季度属于传统的</w:t>
            </w:r>
            <w:proofErr w:type="spellStart"/>
            <w:r>
              <w:rPr>
                <w:rFonts w:ascii="宋体" w:hAnsi="宋体" w:cs="宋体" w:hint="eastAsia"/>
              </w:rPr>
              <w:t>ebike</w:t>
            </w:r>
            <w:proofErr w:type="spellEnd"/>
            <w:r>
              <w:rPr>
                <w:rFonts w:ascii="宋体" w:hAnsi="宋体" w:cs="宋体" w:hint="eastAsia"/>
              </w:rPr>
              <w:t>相关产品销售淡季、公司研发投入加大及人才引进导致管理费用增加、部分上市费用在三季度结算等原因所致。</w:t>
            </w:r>
          </w:p>
          <w:p w14:paraId="0AF3267A" w14:textId="77777777" w:rsidR="00382CB2" w:rsidRDefault="005A4F53">
            <w:pPr>
              <w:widowControl/>
              <w:adjustRightInd/>
              <w:snapToGrid/>
              <w:spacing w:beforeLines="0" w:before="0" w:afterLines="0" w:after="0"/>
              <w:ind w:firstLine="482"/>
              <w:jc w:val="both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11.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公司在新产品开发上有哪些成果？</w:t>
            </w:r>
          </w:p>
          <w:p w14:paraId="2D17D902" w14:textId="4F54D5D9" w:rsidR="00382CB2" w:rsidRDefault="005A4F53">
            <w:pPr>
              <w:widowControl/>
              <w:adjustRightInd/>
              <w:snapToGrid/>
              <w:spacing w:beforeLines="0" w:before="0" w:afterLines="0" w:after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答：公司已经布局开发了应用于多功能清扫机器人、电动轮椅、电动割草机、电动摩托车等产品的电机，部分已批量供应。</w:t>
            </w:r>
          </w:p>
          <w:p w14:paraId="06ECEE88" w14:textId="0B5E0793" w:rsidR="00382CB2" w:rsidRDefault="005A4F53">
            <w:pPr>
              <w:widowControl/>
              <w:adjustRightInd/>
              <w:snapToGrid/>
              <w:spacing w:beforeLines="0" w:before="0" w:afterLines="0" w:after="0"/>
              <w:ind w:firstLine="482"/>
              <w:jc w:val="both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12.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公司是否</w:t>
            </w:r>
            <w:proofErr w:type="gramStart"/>
            <w:r>
              <w:rPr>
                <w:rFonts w:ascii="宋体" w:hAnsi="宋体" w:cs="宋体" w:hint="eastAsia"/>
                <w:b/>
                <w:bCs/>
              </w:rPr>
              <w:t>有关注</w:t>
            </w:r>
            <w:proofErr w:type="gramEnd"/>
            <w:r>
              <w:rPr>
                <w:rFonts w:ascii="宋体" w:hAnsi="宋体" w:cs="宋体" w:hint="eastAsia"/>
                <w:b/>
                <w:bCs/>
              </w:rPr>
              <w:t>一些新兴市场商业机会？</w:t>
            </w:r>
          </w:p>
          <w:p w14:paraId="4A8791DA" w14:textId="6A4E4301" w:rsidR="00382CB2" w:rsidRDefault="005A4F53">
            <w:pPr>
              <w:widowControl/>
              <w:adjustRightInd/>
              <w:snapToGrid/>
              <w:spacing w:beforeLines="0" w:before="0" w:afterLines="0" w:after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答：公司十分关注新兴市场的开拓，正在积极布局日本、北美、南美以及澳新市场。</w:t>
            </w:r>
          </w:p>
          <w:p w14:paraId="4DF325BF" w14:textId="77777777" w:rsidR="00382CB2" w:rsidRDefault="00382CB2">
            <w:pPr>
              <w:widowControl/>
              <w:adjustRightInd/>
              <w:snapToGrid/>
              <w:spacing w:beforeLines="0" w:before="0" w:afterLines="0" w:after="0"/>
              <w:jc w:val="both"/>
              <w:rPr>
                <w:rFonts w:ascii="宋体" w:hAnsi="宋体" w:cs="宋体"/>
              </w:rPr>
            </w:pPr>
          </w:p>
        </w:tc>
      </w:tr>
      <w:tr w:rsidR="00382CB2" w14:paraId="7B97CE87" w14:textId="77777777"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52A4DE" w14:textId="77777777" w:rsidR="00382CB2" w:rsidRDefault="005A4F53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lastRenderedPageBreak/>
              <w:t>日期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8BDC85" w14:textId="77777777" w:rsidR="00382CB2" w:rsidRDefault="005A4F53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2025年2月20日</w:t>
            </w:r>
          </w:p>
        </w:tc>
      </w:tr>
    </w:tbl>
    <w:p w14:paraId="09DB06AF" w14:textId="77777777" w:rsidR="00382CB2" w:rsidRDefault="00382CB2">
      <w:pPr>
        <w:adjustRightInd/>
        <w:snapToGrid/>
        <w:spacing w:beforeLines="0" w:before="240" w:afterLines="0" w:after="0"/>
        <w:ind w:firstLineChars="0" w:firstLine="0"/>
        <w:rPr>
          <w:rFonts w:ascii="宋体" w:hAnsi="宋体" w:cs="宋体"/>
          <w:b/>
          <w:kern w:val="2"/>
          <w:szCs w:val="30"/>
        </w:rPr>
      </w:pPr>
    </w:p>
    <w:sectPr w:rsidR="00382CB2">
      <w:footerReference w:type="even" r:id="rId7"/>
      <w:footerReference w:type="default" r:id="rId8"/>
      <w:footerReference w:type="first" r:id="rId9"/>
      <w:type w:val="continuous"/>
      <w:pgSz w:w="11910" w:h="16840"/>
      <w:pgMar w:top="1440" w:right="1797" w:bottom="1440" w:left="1797" w:header="720" w:footer="10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4760E" w14:textId="77777777" w:rsidR="004E2666" w:rsidRDefault="004E2666">
      <w:pPr>
        <w:spacing w:line="240" w:lineRule="auto"/>
      </w:pPr>
      <w:r>
        <w:separator/>
      </w:r>
    </w:p>
  </w:endnote>
  <w:endnote w:type="continuationSeparator" w:id="0">
    <w:p w14:paraId="4BFF1156" w14:textId="77777777" w:rsidR="004E2666" w:rsidRDefault="004E26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25500" w14:textId="77777777" w:rsidR="00382CB2" w:rsidRDefault="00382CB2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3B6BC" w14:textId="77777777" w:rsidR="00382CB2" w:rsidRDefault="00382CB2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11B5" w14:textId="77777777" w:rsidR="00382CB2" w:rsidRDefault="00382CB2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A0C4F" w14:textId="77777777" w:rsidR="004E2666" w:rsidRDefault="004E2666">
      <w:pPr>
        <w:spacing w:line="240" w:lineRule="auto"/>
      </w:pPr>
      <w:r>
        <w:separator/>
      </w:r>
    </w:p>
  </w:footnote>
  <w:footnote w:type="continuationSeparator" w:id="0">
    <w:p w14:paraId="1B0F944E" w14:textId="77777777" w:rsidR="004E2666" w:rsidRDefault="004E26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ZhM2FhN2Y5NGNhN2UwMDMyZTFiYTEwODMxZWE1ZTMifQ=="/>
  </w:docVars>
  <w:rsids>
    <w:rsidRoot w:val="003B4C57"/>
    <w:rsid w:val="00004A0A"/>
    <w:rsid w:val="00017D55"/>
    <w:rsid w:val="00017EB8"/>
    <w:rsid w:val="00023F49"/>
    <w:rsid w:val="00025A28"/>
    <w:rsid w:val="00027A5C"/>
    <w:rsid w:val="000361FB"/>
    <w:rsid w:val="00041375"/>
    <w:rsid w:val="000560B4"/>
    <w:rsid w:val="00060D3B"/>
    <w:rsid w:val="00067D65"/>
    <w:rsid w:val="00070AFC"/>
    <w:rsid w:val="0007152D"/>
    <w:rsid w:val="00072957"/>
    <w:rsid w:val="00073213"/>
    <w:rsid w:val="000753EC"/>
    <w:rsid w:val="00081227"/>
    <w:rsid w:val="00083379"/>
    <w:rsid w:val="000A0988"/>
    <w:rsid w:val="000A5A7B"/>
    <w:rsid w:val="000A7594"/>
    <w:rsid w:val="000A7F92"/>
    <w:rsid w:val="000B072E"/>
    <w:rsid w:val="000C0473"/>
    <w:rsid w:val="000C24D4"/>
    <w:rsid w:val="000E3C70"/>
    <w:rsid w:val="000F6C3A"/>
    <w:rsid w:val="00103BA2"/>
    <w:rsid w:val="00105AB6"/>
    <w:rsid w:val="00112C67"/>
    <w:rsid w:val="00113070"/>
    <w:rsid w:val="00113868"/>
    <w:rsid w:val="00113C0E"/>
    <w:rsid w:val="001232E4"/>
    <w:rsid w:val="00123B87"/>
    <w:rsid w:val="0012497A"/>
    <w:rsid w:val="00145FB9"/>
    <w:rsid w:val="001517CE"/>
    <w:rsid w:val="00161A6B"/>
    <w:rsid w:val="00164D16"/>
    <w:rsid w:val="001659B8"/>
    <w:rsid w:val="0016680D"/>
    <w:rsid w:val="00171A01"/>
    <w:rsid w:val="00174BDA"/>
    <w:rsid w:val="00177EA2"/>
    <w:rsid w:val="00185F0D"/>
    <w:rsid w:val="00191B42"/>
    <w:rsid w:val="001925B2"/>
    <w:rsid w:val="00193714"/>
    <w:rsid w:val="001943DB"/>
    <w:rsid w:val="0019499B"/>
    <w:rsid w:val="0019555C"/>
    <w:rsid w:val="00195A3D"/>
    <w:rsid w:val="00196392"/>
    <w:rsid w:val="0019782C"/>
    <w:rsid w:val="001A29A9"/>
    <w:rsid w:val="001B7A2F"/>
    <w:rsid w:val="001C48D7"/>
    <w:rsid w:val="001C6C3D"/>
    <w:rsid w:val="001D1C0D"/>
    <w:rsid w:val="001E1C39"/>
    <w:rsid w:val="001E3CC4"/>
    <w:rsid w:val="001E6395"/>
    <w:rsid w:val="00200202"/>
    <w:rsid w:val="002122F1"/>
    <w:rsid w:val="002227E7"/>
    <w:rsid w:val="00231D9A"/>
    <w:rsid w:val="0023287E"/>
    <w:rsid w:val="002408F0"/>
    <w:rsid w:val="00242A8D"/>
    <w:rsid w:val="00246F99"/>
    <w:rsid w:val="00250D92"/>
    <w:rsid w:val="00251573"/>
    <w:rsid w:val="00253226"/>
    <w:rsid w:val="002535DA"/>
    <w:rsid w:val="002546E9"/>
    <w:rsid w:val="00264287"/>
    <w:rsid w:val="00264410"/>
    <w:rsid w:val="00265D9B"/>
    <w:rsid w:val="00273018"/>
    <w:rsid w:val="0027555E"/>
    <w:rsid w:val="00284D06"/>
    <w:rsid w:val="002C7F77"/>
    <w:rsid w:val="002D1D09"/>
    <w:rsid w:val="002D26DD"/>
    <w:rsid w:val="002D6EC5"/>
    <w:rsid w:val="002E1760"/>
    <w:rsid w:val="002F1609"/>
    <w:rsid w:val="002F2A70"/>
    <w:rsid w:val="00304E92"/>
    <w:rsid w:val="00306213"/>
    <w:rsid w:val="003114F6"/>
    <w:rsid w:val="00315994"/>
    <w:rsid w:val="00315AA9"/>
    <w:rsid w:val="00324757"/>
    <w:rsid w:val="00334F8B"/>
    <w:rsid w:val="00335C2C"/>
    <w:rsid w:val="00340174"/>
    <w:rsid w:val="003457D0"/>
    <w:rsid w:val="003470DB"/>
    <w:rsid w:val="003470DF"/>
    <w:rsid w:val="00351468"/>
    <w:rsid w:val="00353FCE"/>
    <w:rsid w:val="003554DB"/>
    <w:rsid w:val="00357A68"/>
    <w:rsid w:val="00362EB6"/>
    <w:rsid w:val="00371C59"/>
    <w:rsid w:val="00380E67"/>
    <w:rsid w:val="00382CB2"/>
    <w:rsid w:val="00383F86"/>
    <w:rsid w:val="00390F84"/>
    <w:rsid w:val="003941D9"/>
    <w:rsid w:val="003953E3"/>
    <w:rsid w:val="003B2CD4"/>
    <w:rsid w:val="003B4C57"/>
    <w:rsid w:val="003B5BC1"/>
    <w:rsid w:val="003B7755"/>
    <w:rsid w:val="003C7CF5"/>
    <w:rsid w:val="003D7C2C"/>
    <w:rsid w:val="003E1441"/>
    <w:rsid w:val="003F0B56"/>
    <w:rsid w:val="003F2036"/>
    <w:rsid w:val="003F2F61"/>
    <w:rsid w:val="003F40EC"/>
    <w:rsid w:val="003F544F"/>
    <w:rsid w:val="003F73B4"/>
    <w:rsid w:val="00401F0D"/>
    <w:rsid w:val="00402A77"/>
    <w:rsid w:val="0040327D"/>
    <w:rsid w:val="004051F7"/>
    <w:rsid w:val="00410161"/>
    <w:rsid w:val="00414444"/>
    <w:rsid w:val="00422899"/>
    <w:rsid w:val="0042419A"/>
    <w:rsid w:val="004338B8"/>
    <w:rsid w:val="004360A0"/>
    <w:rsid w:val="00440427"/>
    <w:rsid w:val="00445BC7"/>
    <w:rsid w:val="00447973"/>
    <w:rsid w:val="00455185"/>
    <w:rsid w:val="00464420"/>
    <w:rsid w:val="00464A70"/>
    <w:rsid w:val="00465DB8"/>
    <w:rsid w:val="004666D7"/>
    <w:rsid w:val="00475871"/>
    <w:rsid w:val="0049299A"/>
    <w:rsid w:val="00495AEC"/>
    <w:rsid w:val="004970E7"/>
    <w:rsid w:val="004A7EE0"/>
    <w:rsid w:val="004B4FE0"/>
    <w:rsid w:val="004C248B"/>
    <w:rsid w:val="004D1410"/>
    <w:rsid w:val="004D23B3"/>
    <w:rsid w:val="004E2666"/>
    <w:rsid w:val="004E4059"/>
    <w:rsid w:val="004E70D4"/>
    <w:rsid w:val="004F308B"/>
    <w:rsid w:val="00501F95"/>
    <w:rsid w:val="005047F7"/>
    <w:rsid w:val="00505695"/>
    <w:rsid w:val="005200A4"/>
    <w:rsid w:val="00520909"/>
    <w:rsid w:val="0052270C"/>
    <w:rsid w:val="0052302B"/>
    <w:rsid w:val="00524357"/>
    <w:rsid w:val="00532AD7"/>
    <w:rsid w:val="00535198"/>
    <w:rsid w:val="00540C33"/>
    <w:rsid w:val="0054141B"/>
    <w:rsid w:val="005422BB"/>
    <w:rsid w:val="00544CB9"/>
    <w:rsid w:val="00565E06"/>
    <w:rsid w:val="005670A1"/>
    <w:rsid w:val="0057008B"/>
    <w:rsid w:val="00584F1A"/>
    <w:rsid w:val="00587C70"/>
    <w:rsid w:val="005A4F53"/>
    <w:rsid w:val="005A6C81"/>
    <w:rsid w:val="005B1AC2"/>
    <w:rsid w:val="005B5B03"/>
    <w:rsid w:val="005C399C"/>
    <w:rsid w:val="005C49DA"/>
    <w:rsid w:val="005C4CA4"/>
    <w:rsid w:val="005D3E6A"/>
    <w:rsid w:val="005E32CD"/>
    <w:rsid w:val="005E528F"/>
    <w:rsid w:val="005E77E4"/>
    <w:rsid w:val="00602E8A"/>
    <w:rsid w:val="00620D8A"/>
    <w:rsid w:val="0062179D"/>
    <w:rsid w:val="00633B82"/>
    <w:rsid w:val="0063545B"/>
    <w:rsid w:val="00635B38"/>
    <w:rsid w:val="0063720B"/>
    <w:rsid w:val="006434A2"/>
    <w:rsid w:val="00644D05"/>
    <w:rsid w:val="006723E5"/>
    <w:rsid w:val="00683AF5"/>
    <w:rsid w:val="00692225"/>
    <w:rsid w:val="00696A33"/>
    <w:rsid w:val="006A552E"/>
    <w:rsid w:val="006B3819"/>
    <w:rsid w:val="006B460E"/>
    <w:rsid w:val="006C3E48"/>
    <w:rsid w:val="006C4CBE"/>
    <w:rsid w:val="006C5A6F"/>
    <w:rsid w:val="006C640D"/>
    <w:rsid w:val="006D18B8"/>
    <w:rsid w:val="006D5B59"/>
    <w:rsid w:val="006E5425"/>
    <w:rsid w:val="006E609F"/>
    <w:rsid w:val="006F57B9"/>
    <w:rsid w:val="006F61C1"/>
    <w:rsid w:val="00706D6A"/>
    <w:rsid w:val="00721FD0"/>
    <w:rsid w:val="00732741"/>
    <w:rsid w:val="00732C5B"/>
    <w:rsid w:val="007453F7"/>
    <w:rsid w:val="00746C47"/>
    <w:rsid w:val="0075098B"/>
    <w:rsid w:val="0076248D"/>
    <w:rsid w:val="00766FE8"/>
    <w:rsid w:val="007703BC"/>
    <w:rsid w:val="00773C10"/>
    <w:rsid w:val="00773E26"/>
    <w:rsid w:val="00783526"/>
    <w:rsid w:val="007879FD"/>
    <w:rsid w:val="00791D73"/>
    <w:rsid w:val="007A0C1F"/>
    <w:rsid w:val="007B051C"/>
    <w:rsid w:val="007B44E4"/>
    <w:rsid w:val="007B50D1"/>
    <w:rsid w:val="007B62E2"/>
    <w:rsid w:val="007D547C"/>
    <w:rsid w:val="007E746C"/>
    <w:rsid w:val="007F5A05"/>
    <w:rsid w:val="007F620D"/>
    <w:rsid w:val="007F635C"/>
    <w:rsid w:val="007F6BC8"/>
    <w:rsid w:val="008016B8"/>
    <w:rsid w:val="00812B74"/>
    <w:rsid w:val="00813D0E"/>
    <w:rsid w:val="00814A1C"/>
    <w:rsid w:val="00817520"/>
    <w:rsid w:val="00822260"/>
    <w:rsid w:val="0082293B"/>
    <w:rsid w:val="00826133"/>
    <w:rsid w:val="00833AAA"/>
    <w:rsid w:val="00842679"/>
    <w:rsid w:val="00845175"/>
    <w:rsid w:val="00845786"/>
    <w:rsid w:val="00853BA3"/>
    <w:rsid w:val="00853BA5"/>
    <w:rsid w:val="00857DD6"/>
    <w:rsid w:val="00862124"/>
    <w:rsid w:val="00870599"/>
    <w:rsid w:val="00876F04"/>
    <w:rsid w:val="00881BF9"/>
    <w:rsid w:val="008920CA"/>
    <w:rsid w:val="00897718"/>
    <w:rsid w:val="008A310D"/>
    <w:rsid w:val="008B2364"/>
    <w:rsid w:val="008B3206"/>
    <w:rsid w:val="008B61BF"/>
    <w:rsid w:val="008B7B7E"/>
    <w:rsid w:val="008D3DD2"/>
    <w:rsid w:val="008D6533"/>
    <w:rsid w:val="008E0104"/>
    <w:rsid w:val="008E1175"/>
    <w:rsid w:val="00906246"/>
    <w:rsid w:val="00910870"/>
    <w:rsid w:val="00917915"/>
    <w:rsid w:val="00924C98"/>
    <w:rsid w:val="009259AA"/>
    <w:rsid w:val="00931021"/>
    <w:rsid w:val="00933898"/>
    <w:rsid w:val="009437E1"/>
    <w:rsid w:val="00951831"/>
    <w:rsid w:val="00961D9D"/>
    <w:rsid w:val="0096251A"/>
    <w:rsid w:val="00963B05"/>
    <w:rsid w:val="00963DD9"/>
    <w:rsid w:val="00970A1D"/>
    <w:rsid w:val="00973242"/>
    <w:rsid w:val="00976062"/>
    <w:rsid w:val="00981DCC"/>
    <w:rsid w:val="00986ED8"/>
    <w:rsid w:val="009C28D3"/>
    <w:rsid w:val="009C50AB"/>
    <w:rsid w:val="009C7E5E"/>
    <w:rsid w:val="009D005D"/>
    <w:rsid w:val="009D174E"/>
    <w:rsid w:val="009D39CA"/>
    <w:rsid w:val="009D61E3"/>
    <w:rsid w:val="009E141C"/>
    <w:rsid w:val="009E60CA"/>
    <w:rsid w:val="009E734F"/>
    <w:rsid w:val="009F07FC"/>
    <w:rsid w:val="009F197C"/>
    <w:rsid w:val="009F723F"/>
    <w:rsid w:val="009F7E63"/>
    <w:rsid w:val="00A1111F"/>
    <w:rsid w:val="00A1164A"/>
    <w:rsid w:val="00A12749"/>
    <w:rsid w:val="00A1776A"/>
    <w:rsid w:val="00A23CF3"/>
    <w:rsid w:val="00A311BE"/>
    <w:rsid w:val="00A401F3"/>
    <w:rsid w:val="00A42248"/>
    <w:rsid w:val="00A52BAA"/>
    <w:rsid w:val="00A635BC"/>
    <w:rsid w:val="00A669E1"/>
    <w:rsid w:val="00A71873"/>
    <w:rsid w:val="00A720EA"/>
    <w:rsid w:val="00A738DC"/>
    <w:rsid w:val="00A77EE3"/>
    <w:rsid w:val="00A8144A"/>
    <w:rsid w:val="00A931F1"/>
    <w:rsid w:val="00A9580B"/>
    <w:rsid w:val="00AB3F84"/>
    <w:rsid w:val="00AD3198"/>
    <w:rsid w:val="00AD70A6"/>
    <w:rsid w:val="00AE1748"/>
    <w:rsid w:val="00AE2BC0"/>
    <w:rsid w:val="00AF40C5"/>
    <w:rsid w:val="00B006E9"/>
    <w:rsid w:val="00B01402"/>
    <w:rsid w:val="00B0260D"/>
    <w:rsid w:val="00B10453"/>
    <w:rsid w:val="00B14591"/>
    <w:rsid w:val="00B14AE7"/>
    <w:rsid w:val="00B1529D"/>
    <w:rsid w:val="00B20089"/>
    <w:rsid w:val="00B415B8"/>
    <w:rsid w:val="00B45001"/>
    <w:rsid w:val="00B5045A"/>
    <w:rsid w:val="00B54112"/>
    <w:rsid w:val="00B60900"/>
    <w:rsid w:val="00B63D3B"/>
    <w:rsid w:val="00B65438"/>
    <w:rsid w:val="00B65C48"/>
    <w:rsid w:val="00B704B2"/>
    <w:rsid w:val="00B71FBB"/>
    <w:rsid w:val="00B729A8"/>
    <w:rsid w:val="00B7319E"/>
    <w:rsid w:val="00B75479"/>
    <w:rsid w:val="00B81989"/>
    <w:rsid w:val="00B86088"/>
    <w:rsid w:val="00B91841"/>
    <w:rsid w:val="00B945D3"/>
    <w:rsid w:val="00BA35C4"/>
    <w:rsid w:val="00BA3694"/>
    <w:rsid w:val="00BA69B9"/>
    <w:rsid w:val="00BA6E38"/>
    <w:rsid w:val="00BA703C"/>
    <w:rsid w:val="00BB0017"/>
    <w:rsid w:val="00BB4B78"/>
    <w:rsid w:val="00BB7446"/>
    <w:rsid w:val="00BB7AF1"/>
    <w:rsid w:val="00BB7BE0"/>
    <w:rsid w:val="00BC3360"/>
    <w:rsid w:val="00BD671F"/>
    <w:rsid w:val="00BD688B"/>
    <w:rsid w:val="00BD7FC8"/>
    <w:rsid w:val="00BE1034"/>
    <w:rsid w:val="00BF767D"/>
    <w:rsid w:val="00C0338A"/>
    <w:rsid w:val="00C121BE"/>
    <w:rsid w:val="00C137B1"/>
    <w:rsid w:val="00C13F23"/>
    <w:rsid w:val="00C154B1"/>
    <w:rsid w:val="00C1722C"/>
    <w:rsid w:val="00C27795"/>
    <w:rsid w:val="00C31A90"/>
    <w:rsid w:val="00C34A5E"/>
    <w:rsid w:val="00C43BA2"/>
    <w:rsid w:val="00C44078"/>
    <w:rsid w:val="00C47253"/>
    <w:rsid w:val="00C52878"/>
    <w:rsid w:val="00C57557"/>
    <w:rsid w:val="00C62E28"/>
    <w:rsid w:val="00C674E5"/>
    <w:rsid w:val="00C7068C"/>
    <w:rsid w:val="00C80195"/>
    <w:rsid w:val="00C8285E"/>
    <w:rsid w:val="00CA272F"/>
    <w:rsid w:val="00CC329A"/>
    <w:rsid w:val="00CD025E"/>
    <w:rsid w:val="00CD7D86"/>
    <w:rsid w:val="00CE4EEA"/>
    <w:rsid w:val="00CF1079"/>
    <w:rsid w:val="00CF669C"/>
    <w:rsid w:val="00D00FF5"/>
    <w:rsid w:val="00D0249E"/>
    <w:rsid w:val="00D02A15"/>
    <w:rsid w:val="00D0620F"/>
    <w:rsid w:val="00D1365F"/>
    <w:rsid w:val="00D1680B"/>
    <w:rsid w:val="00D22426"/>
    <w:rsid w:val="00D2428A"/>
    <w:rsid w:val="00D26D9F"/>
    <w:rsid w:val="00D31ABA"/>
    <w:rsid w:val="00D4110B"/>
    <w:rsid w:val="00D441FD"/>
    <w:rsid w:val="00D508F0"/>
    <w:rsid w:val="00D54D4D"/>
    <w:rsid w:val="00D55C99"/>
    <w:rsid w:val="00D611DA"/>
    <w:rsid w:val="00D61F25"/>
    <w:rsid w:val="00D66889"/>
    <w:rsid w:val="00D8309B"/>
    <w:rsid w:val="00D83C46"/>
    <w:rsid w:val="00D8506D"/>
    <w:rsid w:val="00D87AA0"/>
    <w:rsid w:val="00D87D77"/>
    <w:rsid w:val="00D935E9"/>
    <w:rsid w:val="00D93A69"/>
    <w:rsid w:val="00D93A6C"/>
    <w:rsid w:val="00D958B9"/>
    <w:rsid w:val="00DA7CA9"/>
    <w:rsid w:val="00DA7DC4"/>
    <w:rsid w:val="00DB1CC9"/>
    <w:rsid w:val="00DB372E"/>
    <w:rsid w:val="00DB6A48"/>
    <w:rsid w:val="00DB7612"/>
    <w:rsid w:val="00DC4D68"/>
    <w:rsid w:val="00DE647D"/>
    <w:rsid w:val="00DE73D5"/>
    <w:rsid w:val="00DF0867"/>
    <w:rsid w:val="00DF17D1"/>
    <w:rsid w:val="00E01731"/>
    <w:rsid w:val="00E03807"/>
    <w:rsid w:val="00E140E5"/>
    <w:rsid w:val="00E23D6E"/>
    <w:rsid w:val="00E261A6"/>
    <w:rsid w:val="00E261BD"/>
    <w:rsid w:val="00E46AA9"/>
    <w:rsid w:val="00E55986"/>
    <w:rsid w:val="00E55ABA"/>
    <w:rsid w:val="00E56205"/>
    <w:rsid w:val="00E60656"/>
    <w:rsid w:val="00E65E98"/>
    <w:rsid w:val="00E70CD3"/>
    <w:rsid w:val="00E72508"/>
    <w:rsid w:val="00E72721"/>
    <w:rsid w:val="00E748C1"/>
    <w:rsid w:val="00E815D2"/>
    <w:rsid w:val="00E86F27"/>
    <w:rsid w:val="00E91757"/>
    <w:rsid w:val="00E91886"/>
    <w:rsid w:val="00E95C47"/>
    <w:rsid w:val="00E978F4"/>
    <w:rsid w:val="00E979B9"/>
    <w:rsid w:val="00EA10E4"/>
    <w:rsid w:val="00EC23A7"/>
    <w:rsid w:val="00EC2E5C"/>
    <w:rsid w:val="00EC34D6"/>
    <w:rsid w:val="00EC5AEE"/>
    <w:rsid w:val="00ED5F0F"/>
    <w:rsid w:val="00ED7368"/>
    <w:rsid w:val="00EF6239"/>
    <w:rsid w:val="00F04E0B"/>
    <w:rsid w:val="00F100B2"/>
    <w:rsid w:val="00F23981"/>
    <w:rsid w:val="00F3474E"/>
    <w:rsid w:val="00F359EC"/>
    <w:rsid w:val="00F67C6F"/>
    <w:rsid w:val="00F71B03"/>
    <w:rsid w:val="00F72E4B"/>
    <w:rsid w:val="00F7581D"/>
    <w:rsid w:val="00F76A52"/>
    <w:rsid w:val="00F77A72"/>
    <w:rsid w:val="00F8035B"/>
    <w:rsid w:val="00F80792"/>
    <w:rsid w:val="00F828B1"/>
    <w:rsid w:val="00F963AA"/>
    <w:rsid w:val="00F97CA3"/>
    <w:rsid w:val="00FA0D60"/>
    <w:rsid w:val="00FB2AFD"/>
    <w:rsid w:val="00FB4EEF"/>
    <w:rsid w:val="00FB6A20"/>
    <w:rsid w:val="00FC0DEC"/>
    <w:rsid w:val="00FC2376"/>
    <w:rsid w:val="00FC5B5D"/>
    <w:rsid w:val="00FC5ECE"/>
    <w:rsid w:val="00FD3D41"/>
    <w:rsid w:val="00FD6BA3"/>
    <w:rsid w:val="00FE40B7"/>
    <w:rsid w:val="00FE5270"/>
    <w:rsid w:val="00FE63B3"/>
    <w:rsid w:val="00FE6C2F"/>
    <w:rsid w:val="00FF2C33"/>
    <w:rsid w:val="00FF53F6"/>
    <w:rsid w:val="059E0703"/>
    <w:rsid w:val="06B46BB9"/>
    <w:rsid w:val="127B6786"/>
    <w:rsid w:val="153322C7"/>
    <w:rsid w:val="15CB6D5B"/>
    <w:rsid w:val="18F953B8"/>
    <w:rsid w:val="19785D9D"/>
    <w:rsid w:val="1AD31C39"/>
    <w:rsid w:val="1C1F426E"/>
    <w:rsid w:val="2115011C"/>
    <w:rsid w:val="254C061E"/>
    <w:rsid w:val="26B70648"/>
    <w:rsid w:val="26D74654"/>
    <w:rsid w:val="27F84D79"/>
    <w:rsid w:val="28854049"/>
    <w:rsid w:val="2A210B5D"/>
    <w:rsid w:val="2B421275"/>
    <w:rsid w:val="2BDA4BD6"/>
    <w:rsid w:val="2C356377"/>
    <w:rsid w:val="2CCC0940"/>
    <w:rsid w:val="30C97515"/>
    <w:rsid w:val="350C78FD"/>
    <w:rsid w:val="3604223C"/>
    <w:rsid w:val="379C0A1A"/>
    <w:rsid w:val="3AD30143"/>
    <w:rsid w:val="43142EF7"/>
    <w:rsid w:val="433124FA"/>
    <w:rsid w:val="47D734D9"/>
    <w:rsid w:val="48BA513F"/>
    <w:rsid w:val="48D90393"/>
    <w:rsid w:val="49B54319"/>
    <w:rsid w:val="49D56DC0"/>
    <w:rsid w:val="4A4A2944"/>
    <w:rsid w:val="4D8878A0"/>
    <w:rsid w:val="4E495E46"/>
    <w:rsid w:val="53AF5A2A"/>
    <w:rsid w:val="5491759C"/>
    <w:rsid w:val="55CB5419"/>
    <w:rsid w:val="57D953D0"/>
    <w:rsid w:val="580D68EE"/>
    <w:rsid w:val="5BDD0C74"/>
    <w:rsid w:val="5EE00BB3"/>
    <w:rsid w:val="5F990010"/>
    <w:rsid w:val="674B5F62"/>
    <w:rsid w:val="6C270D69"/>
    <w:rsid w:val="6C2B2308"/>
    <w:rsid w:val="6E4F4146"/>
    <w:rsid w:val="6E8F74C7"/>
    <w:rsid w:val="759A1325"/>
    <w:rsid w:val="777271AD"/>
    <w:rsid w:val="7B7C500D"/>
    <w:rsid w:val="7D0F28CB"/>
    <w:rsid w:val="7F801A4C"/>
    <w:rsid w:val="7F89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553B0F"/>
  <w15:docId w15:val="{93EBE00D-F8E6-4467-8069-1DEAC280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beforeLines="50" w:before="120" w:afterLines="50" w:after="120" w:line="360" w:lineRule="auto"/>
      <w:ind w:firstLineChars="200" w:firstLine="48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Body Text"/>
    <w:basedOn w:val="a"/>
    <w:link w:val="a6"/>
    <w:uiPriority w:val="1"/>
    <w:qFormat/>
    <w:pPr>
      <w:jc w:val="both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right"/>
    </w:pPr>
    <w:rPr>
      <w:color w:val="FF0000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正文文本 字符"/>
    <w:basedOn w:val="a0"/>
    <w:link w:val="a5"/>
    <w:uiPriority w:val="1"/>
    <w:qFormat/>
    <w:rPr>
      <w:sz w:val="24"/>
      <w:szCs w:val="24"/>
    </w:rPr>
  </w:style>
  <w:style w:type="character" w:customStyle="1" w:styleId="ac">
    <w:name w:val="页眉 字符"/>
    <w:basedOn w:val="a0"/>
    <w:link w:val="ab"/>
    <w:uiPriority w:val="99"/>
    <w:qFormat/>
    <w:rPr>
      <w:color w:val="FF0000"/>
      <w:sz w:val="24"/>
      <w:szCs w:val="24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IPO">
    <w:name w:val="IPO正文"/>
    <w:basedOn w:val="a"/>
    <w:link w:val="IPOChar"/>
    <w:qFormat/>
    <w:pPr>
      <w:jc w:val="both"/>
    </w:pPr>
    <w:rPr>
      <w:rFonts w:ascii="Arial" w:hAnsi="Arial" w:cs="Arial"/>
      <w:color w:val="000000"/>
      <w:kern w:val="2"/>
      <w:lang w:bidi="en-US"/>
    </w:rPr>
  </w:style>
  <w:style w:type="character" w:customStyle="1" w:styleId="IPOChar">
    <w:name w:val="IPO正文 Char"/>
    <w:link w:val="IPO"/>
    <w:qFormat/>
    <w:rPr>
      <w:rFonts w:ascii="Arial" w:eastAsia="宋体" w:hAnsi="Arial" w:cs="Arial"/>
      <w:color w:val="000000"/>
      <w:kern w:val="2"/>
      <w:sz w:val="24"/>
      <w:lang w:bidi="en-US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highlight">
    <w:name w:val="highlight"/>
    <w:basedOn w:val="a0"/>
    <w:qFormat/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30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修订4"/>
    <w:hidden/>
    <w:uiPriority w:val="99"/>
    <w:unhideWhenUsed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knt051</dc:creator>
  <cp:lastModifiedBy>杰 赵</cp:lastModifiedBy>
  <cp:revision>2</cp:revision>
  <cp:lastPrinted>2024-04-24T08:24:00Z</cp:lastPrinted>
  <dcterms:created xsi:type="dcterms:W3CDTF">2025-02-24T08:23:00Z</dcterms:created>
  <dcterms:modified xsi:type="dcterms:W3CDTF">2025-02-24T08:23:00Z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2019-05-27T00:00:00Z</vt:filetime>
  </property>
  <property fmtid="{D5CDD505-2E9C-101B-9397-08002B2CF9AE}" pid="5" name="KSOProductBuildVer">
    <vt:lpwstr>2052-11.8.2.8506</vt:lpwstr>
  </property>
  <property fmtid="{D5CDD505-2E9C-101B-9397-08002B2CF9AE}" pid="6" name="ICV">
    <vt:lpwstr>B52725B0AE89440D95C35A0010E5D851_13</vt:lpwstr>
  </property>
</Properties>
</file>