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C52DE" w14:textId="77777777" w:rsidR="00F60D2B" w:rsidRPr="004E110E" w:rsidRDefault="00C235CF">
      <w:pPr>
        <w:spacing w:before="277" w:afterLines="50" w:after="120" w:line="360" w:lineRule="auto"/>
        <w:ind w:left="108"/>
        <w:rPr>
          <w:rFonts w:ascii="Times New Roman" w:eastAsia="宋体" w:hAnsi="Times New Roman" w:cs="Times New Roman"/>
          <w:sz w:val="24"/>
          <w:szCs w:val="24"/>
          <w:lang w:eastAsia="zh-CN"/>
        </w:rPr>
      </w:pPr>
      <w:r w:rsidRPr="004E110E">
        <w:rPr>
          <w:rFonts w:ascii="Times New Roman" w:eastAsia="宋体" w:hAnsi="Times New Roman" w:cs="Times New Roman"/>
          <w:sz w:val="24"/>
          <w:szCs w:val="24"/>
          <w:lang w:eastAsia="zh-CN"/>
        </w:rPr>
        <w:t>证券代码：</w:t>
      </w:r>
      <w:r w:rsidRPr="004E110E">
        <w:rPr>
          <w:rFonts w:ascii="Times New Roman" w:eastAsia="宋体" w:hAnsi="Times New Roman" w:cs="Times New Roman"/>
          <w:sz w:val="24"/>
          <w:szCs w:val="24"/>
          <w:lang w:eastAsia="zh-CN"/>
        </w:rPr>
        <w:t>600060</w:t>
      </w:r>
      <w:r w:rsidRPr="004E110E">
        <w:rPr>
          <w:rFonts w:ascii="Times New Roman" w:eastAsia="Times New Roman" w:hAnsi="Times New Roman" w:cs="Times New Roman"/>
          <w:sz w:val="24"/>
          <w:szCs w:val="24"/>
          <w:lang w:eastAsia="zh-CN"/>
        </w:rPr>
        <w:t xml:space="preserve">                                                                    </w:t>
      </w:r>
      <w:r w:rsidRPr="004E110E">
        <w:rPr>
          <w:rFonts w:ascii="Times New Roman" w:eastAsia="宋体" w:hAnsi="Times New Roman" w:cs="Times New Roman"/>
          <w:spacing w:val="-1"/>
          <w:sz w:val="24"/>
          <w:szCs w:val="24"/>
          <w:lang w:eastAsia="zh-CN"/>
        </w:rPr>
        <w:t>证券简称：海信视像</w:t>
      </w:r>
    </w:p>
    <w:p w14:paraId="4A63CD70" w14:textId="77777777" w:rsidR="00F60D2B" w:rsidRPr="004E110E" w:rsidRDefault="00C235CF">
      <w:pPr>
        <w:spacing w:before="204" w:line="225" w:lineRule="auto"/>
        <w:jc w:val="center"/>
        <w:outlineLvl w:val="0"/>
        <w:rPr>
          <w:rFonts w:ascii="Times New Roman" w:eastAsia="宋体" w:hAnsi="Times New Roman" w:cs="Times New Roman"/>
          <w:b/>
          <w:bCs/>
          <w:spacing w:val="7"/>
          <w:sz w:val="31"/>
          <w:szCs w:val="31"/>
          <w:lang w:eastAsia="zh-CN"/>
        </w:rPr>
      </w:pPr>
      <w:r w:rsidRPr="004E110E">
        <w:rPr>
          <w:rFonts w:ascii="Times New Roman" w:eastAsia="宋体" w:hAnsi="Times New Roman" w:cs="Times New Roman"/>
          <w:b/>
          <w:bCs/>
          <w:spacing w:val="7"/>
          <w:sz w:val="31"/>
          <w:szCs w:val="31"/>
          <w:lang w:eastAsia="zh-CN"/>
        </w:rPr>
        <w:t>海信视像科技股份有限公司投资者关系活动记录表</w:t>
      </w:r>
    </w:p>
    <w:p w14:paraId="65E20D7D" w14:textId="77777777" w:rsidR="00F60D2B" w:rsidRPr="004E110E" w:rsidRDefault="00C235CF">
      <w:pPr>
        <w:spacing w:before="204" w:line="225" w:lineRule="auto"/>
        <w:jc w:val="right"/>
        <w:outlineLvl w:val="0"/>
        <w:rPr>
          <w:rFonts w:ascii="Times New Roman" w:eastAsia="宋体" w:hAnsi="Times New Roman" w:cs="Times New Roman"/>
          <w:spacing w:val="-7"/>
          <w:sz w:val="24"/>
          <w:szCs w:val="24"/>
          <w:lang w:eastAsia="zh-CN"/>
        </w:rPr>
      </w:pPr>
      <w:r w:rsidRPr="004E110E">
        <w:rPr>
          <w:rFonts w:ascii="Times New Roman" w:eastAsia="宋体" w:hAnsi="Times New Roman" w:cs="Times New Roman"/>
          <w:spacing w:val="-7"/>
          <w:sz w:val="24"/>
          <w:szCs w:val="24"/>
          <w:lang w:eastAsia="zh-CN"/>
        </w:rPr>
        <w:t>编号：</w:t>
      </w:r>
      <w:r w:rsidRPr="004E110E">
        <w:rPr>
          <w:rFonts w:ascii="Times New Roman" w:eastAsia="宋体" w:hAnsi="Times New Roman" w:cs="Times New Roman"/>
          <w:spacing w:val="-7"/>
          <w:sz w:val="24"/>
          <w:szCs w:val="24"/>
          <w:lang w:eastAsia="zh-CN"/>
        </w:rPr>
        <w:t>2025-02</w:t>
      </w:r>
    </w:p>
    <w:p w14:paraId="2C2C54D8" w14:textId="77777777" w:rsidR="00F60D2B" w:rsidRPr="004E110E" w:rsidRDefault="00F60D2B">
      <w:pPr>
        <w:spacing w:line="27" w:lineRule="auto"/>
        <w:rPr>
          <w:rFonts w:ascii="Times New Roman" w:hAnsi="Times New Roman" w:cs="Times New Roman"/>
          <w:sz w:val="2"/>
          <w:lang w:eastAsia="zh-CN"/>
        </w:rPr>
      </w:pPr>
    </w:p>
    <w:tbl>
      <w:tblPr>
        <w:tblStyle w:val="TableNormal"/>
        <w:tblW w:w="6004"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981"/>
        <w:gridCol w:w="3744"/>
        <w:gridCol w:w="4491"/>
      </w:tblGrid>
      <w:tr w:rsidR="00F60D2B" w:rsidRPr="004E110E" w14:paraId="4BDFD9B7" w14:textId="77777777">
        <w:trPr>
          <w:trHeight w:val="2348"/>
          <w:jc w:val="center"/>
        </w:trPr>
        <w:tc>
          <w:tcPr>
            <w:tcW w:w="969" w:type="pct"/>
            <w:vAlign w:val="center"/>
          </w:tcPr>
          <w:p w14:paraId="3BBFB38B" w14:textId="77777777" w:rsidR="00F60D2B" w:rsidRPr="004E110E" w:rsidRDefault="00F60D2B">
            <w:pPr>
              <w:spacing w:line="272" w:lineRule="auto"/>
              <w:jc w:val="center"/>
              <w:rPr>
                <w:rFonts w:ascii="Times New Roman" w:hAnsi="Times New Roman" w:cs="Times New Roman"/>
                <w:lang w:eastAsia="zh-CN"/>
              </w:rPr>
            </w:pPr>
          </w:p>
          <w:p w14:paraId="4457A381" w14:textId="77777777" w:rsidR="00F60D2B" w:rsidRPr="004E110E" w:rsidRDefault="00F60D2B">
            <w:pPr>
              <w:spacing w:line="272" w:lineRule="auto"/>
              <w:jc w:val="center"/>
              <w:rPr>
                <w:rFonts w:ascii="Times New Roman" w:hAnsi="Times New Roman" w:cs="Times New Roman"/>
                <w:lang w:eastAsia="zh-CN"/>
              </w:rPr>
            </w:pPr>
          </w:p>
          <w:p w14:paraId="712854B1" w14:textId="77777777" w:rsidR="00F60D2B" w:rsidRPr="004E110E" w:rsidRDefault="00C235CF">
            <w:pPr>
              <w:pStyle w:val="TableText"/>
              <w:spacing w:before="78" w:line="356" w:lineRule="auto"/>
              <w:ind w:left="118" w:right="110" w:firstLine="1"/>
              <w:jc w:val="center"/>
              <w:rPr>
                <w:rFonts w:ascii="Times New Roman" w:hAnsi="Times New Roman" w:cs="Times New Roman"/>
              </w:rPr>
            </w:pPr>
            <w:r w:rsidRPr="004E110E">
              <w:rPr>
                <w:rFonts w:ascii="Times New Roman" w:hAnsi="Times New Roman" w:cs="Times New Roman"/>
                <w:spacing w:val="4"/>
              </w:rPr>
              <w:t>投资者关系活</w:t>
            </w:r>
            <w:r w:rsidRPr="004E110E">
              <w:rPr>
                <w:rFonts w:ascii="Times New Roman" w:hAnsi="Times New Roman" w:cs="Times New Roman"/>
                <w:spacing w:val="-3"/>
              </w:rPr>
              <w:t>动类别</w:t>
            </w:r>
          </w:p>
        </w:tc>
        <w:tc>
          <w:tcPr>
            <w:tcW w:w="1832" w:type="pct"/>
            <w:tcBorders>
              <w:right w:val="nil"/>
            </w:tcBorders>
          </w:tcPr>
          <w:p w14:paraId="3345F96C" w14:textId="77777777" w:rsidR="00F60D2B" w:rsidRPr="004E110E" w:rsidRDefault="00C235CF">
            <w:pPr>
              <w:pStyle w:val="TableText"/>
              <w:spacing w:before="117" w:line="220" w:lineRule="auto"/>
              <w:ind w:left="135"/>
              <w:rPr>
                <w:rFonts w:ascii="Times New Roman" w:hAnsi="Times New Roman" w:cs="Times New Roman"/>
                <w:lang w:eastAsia="zh-CN"/>
              </w:rPr>
            </w:pPr>
            <w:r w:rsidRPr="004E110E">
              <w:rPr>
                <w:rFonts w:ascii="Segoe UI Symbol" w:hAnsi="Segoe UI Symbol" w:cs="Segoe UI Symbol"/>
                <w:spacing w:val="-5"/>
                <w:lang w:eastAsia="zh-CN"/>
              </w:rPr>
              <w:t>☑</w:t>
            </w:r>
            <w:r w:rsidRPr="004E110E">
              <w:rPr>
                <w:rFonts w:ascii="Times New Roman" w:hAnsi="Times New Roman" w:cs="Times New Roman"/>
                <w:spacing w:val="-5"/>
                <w:lang w:eastAsia="zh-CN"/>
              </w:rPr>
              <w:t>特定对象调研</w:t>
            </w:r>
          </w:p>
          <w:p w14:paraId="1E7E6619" w14:textId="77777777" w:rsidR="00F60D2B" w:rsidRPr="004E110E" w:rsidRDefault="00C235CF">
            <w:pPr>
              <w:pStyle w:val="TableText"/>
              <w:spacing w:before="182" w:line="219" w:lineRule="auto"/>
              <w:ind w:left="135"/>
              <w:rPr>
                <w:rFonts w:ascii="Times New Roman" w:hAnsi="Times New Roman" w:cs="Times New Roman"/>
                <w:lang w:eastAsia="zh-CN"/>
              </w:rPr>
            </w:pPr>
            <w:r w:rsidRPr="004E110E">
              <w:rPr>
                <w:rFonts w:ascii="Times New Roman" w:hAnsi="Times New Roman" w:cs="Times New Roman"/>
                <w:spacing w:val="-6"/>
                <w:lang w:eastAsia="zh-CN"/>
              </w:rPr>
              <w:t>□</w:t>
            </w:r>
            <w:r w:rsidRPr="004E110E">
              <w:rPr>
                <w:rFonts w:ascii="Times New Roman" w:hAnsi="Times New Roman" w:cs="Times New Roman"/>
                <w:spacing w:val="-6"/>
                <w:lang w:eastAsia="zh-CN"/>
              </w:rPr>
              <w:t>媒体采访</w:t>
            </w:r>
          </w:p>
          <w:p w14:paraId="721F99F5" w14:textId="77777777" w:rsidR="00F60D2B" w:rsidRPr="004E110E" w:rsidRDefault="00C235CF">
            <w:pPr>
              <w:pStyle w:val="TableText"/>
              <w:spacing w:before="183" w:line="219" w:lineRule="auto"/>
              <w:ind w:left="135"/>
              <w:rPr>
                <w:rFonts w:ascii="Times New Roman" w:hAnsi="Times New Roman" w:cs="Times New Roman"/>
                <w:lang w:eastAsia="zh-CN"/>
              </w:rPr>
            </w:pPr>
            <w:r w:rsidRPr="004E110E">
              <w:rPr>
                <w:rFonts w:ascii="Times New Roman" w:hAnsi="Times New Roman" w:cs="Times New Roman"/>
                <w:spacing w:val="-5"/>
                <w:lang w:eastAsia="zh-CN"/>
              </w:rPr>
              <w:t>□</w:t>
            </w:r>
            <w:r w:rsidRPr="004E110E">
              <w:rPr>
                <w:rFonts w:ascii="Times New Roman" w:hAnsi="Times New Roman" w:cs="Times New Roman"/>
                <w:spacing w:val="-5"/>
                <w:lang w:eastAsia="zh-CN"/>
              </w:rPr>
              <w:t>新闻发布会</w:t>
            </w:r>
          </w:p>
          <w:p w14:paraId="416233C8" w14:textId="77777777" w:rsidR="00F60D2B" w:rsidRPr="004E110E" w:rsidRDefault="00C235CF">
            <w:pPr>
              <w:pStyle w:val="TableText"/>
              <w:spacing w:before="182" w:line="219" w:lineRule="auto"/>
              <w:ind w:left="135"/>
              <w:rPr>
                <w:rFonts w:ascii="Times New Roman" w:hAnsi="Times New Roman" w:cs="Times New Roman"/>
                <w:spacing w:val="-6"/>
                <w:lang w:eastAsia="zh-CN"/>
              </w:rPr>
            </w:pPr>
            <w:r w:rsidRPr="004E110E">
              <w:rPr>
                <w:rFonts w:ascii="Times New Roman" w:hAnsi="Times New Roman" w:cs="Times New Roman"/>
                <w:spacing w:val="-6"/>
                <w:lang w:eastAsia="zh-CN"/>
              </w:rPr>
              <w:t>□</w:t>
            </w:r>
            <w:r w:rsidRPr="004E110E">
              <w:rPr>
                <w:rFonts w:ascii="Times New Roman" w:hAnsi="Times New Roman" w:cs="Times New Roman"/>
                <w:spacing w:val="-6"/>
                <w:lang w:eastAsia="zh-CN"/>
              </w:rPr>
              <w:t>现场参观</w:t>
            </w:r>
            <w:r w:rsidRPr="004E110E">
              <w:rPr>
                <w:rFonts w:ascii="Times New Roman" w:hAnsi="Times New Roman" w:cs="Times New Roman"/>
                <w:spacing w:val="-6"/>
                <w:lang w:eastAsia="zh-CN"/>
              </w:rPr>
              <w:t xml:space="preserve"> </w:t>
            </w:r>
          </w:p>
          <w:p w14:paraId="6F694929" w14:textId="77777777" w:rsidR="00F60D2B" w:rsidRPr="004E110E" w:rsidRDefault="00C235CF">
            <w:pPr>
              <w:pStyle w:val="TableText"/>
              <w:spacing w:before="182" w:line="219" w:lineRule="auto"/>
              <w:ind w:left="135"/>
              <w:rPr>
                <w:rFonts w:ascii="Times New Roman" w:hAnsi="Times New Roman" w:cs="Times New Roman"/>
                <w:lang w:eastAsia="zh-CN"/>
              </w:rPr>
            </w:pPr>
            <w:r w:rsidRPr="004E110E">
              <w:rPr>
                <w:rFonts w:ascii="Segoe UI Symbol" w:hAnsi="Segoe UI Symbol" w:cs="Segoe UI Symbol"/>
                <w:spacing w:val="-5"/>
                <w:lang w:eastAsia="zh-CN"/>
              </w:rPr>
              <w:t>☑</w:t>
            </w:r>
            <w:r w:rsidRPr="004E110E">
              <w:rPr>
                <w:rFonts w:ascii="Times New Roman" w:hAnsi="Times New Roman" w:cs="Times New Roman"/>
                <w:spacing w:val="-6"/>
                <w:lang w:eastAsia="zh-CN"/>
              </w:rPr>
              <w:t>其他</w:t>
            </w:r>
          </w:p>
        </w:tc>
        <w:tc>
          <w:tcPr>
            <w:tcW w:w="2198" w:type="pct"/>
            <w:tcBorders>
              <w:left w:val="nil"/>
            </w:tcBorders>
          </w:tcPr>
          <w:p w14:paraId="35288B01" w14:textId="77777777" w:rsidR="00F60D2B" w:rsidRPr="004E110E" w:rsidRDefault="00C235CF">
            <w:pPr>
              <w:pStyle w:val="TableText"/>
              <w:spacing w:before="117" w:line="219" w:lineRule="auto"/>
              <w:ind w:left="484"/>
              <w:rPr>
                <w:rFonts w:ascii="Times New Roman" w:hAnsi="Times New Roman" w:cs="Times New Roman"/>
                <w:lang w:eastAsia="zh-CN"/>
              </w:rPr>
            </w:pPr>
            <w:r w:rsidRPr="004E110E">
              <w:rPr>
                <w:rFonts w:ascii="Segoe UI Symbol" w:hAnsi="Segoe UI Symbol" w:cs="Segoe UI Symbol"/>
                <w:spacing w:val="-5"/>
                <w:lang w:eastAsia="zh-CN"/>
              </w:rPr>
              <w:t>☑</w:t>
            </w:r>
            <w:r w:rsidRPr="004E110E">
              <w:rPr>
                <w:rFonts w:ascii="Times New Roman" w:hAnsi="Times New Roman" w:cs="Times New Roman"/>
                <w:spacing w:val="-2"/>
                <w:lang w:eastAsia="zh-CN"/>
              </w:rPr>
              <w:t>分析师会议</w:t>
            </w:r>
          </w:p>
          <w:p w14:paraId="6F69686C" w14:textId="77777777" w:rsidR="00F60D2B" w:rsidRPr="004E110E" w:rsidRDefault="00C235CF">
            <w:pPr>
              <w:pStyle w:val="TableText"/>
              <w:spacing w:before="183" w:line="219" w:lineRule="auto"/>
              <w:ind w:left="511"/>
              <w:rPr>
                <w:rFonts w:ascii="Times New Roman" w:hAnsi="Times New Roman" w:cs="Times New Roman"/>
                <w:sz w:val="22"/>
                <w:szCs w:val="22"/>
                <w:lang w:eastAsia="zh-CN"/>
              </w:rPr>
            </w:pPr>
            <w:r w:rsidRPr="004E110E">
              <w:rPr>
                <w:rFonts w:ascii="Times New Roman" w:hAnsi="Times New Roman" w:cs="Times New Roman"/>
                <w:spacing w:val="-7"/>
                <w:lang w:eastAsia="zh-CN"/>
              </w:rPr>
              <w:t>□</w:t>
            </w:r>
            <w:r w:rsidRPr="004E110E">
              <w:rPr>
                <w:rFonts w:ascii="Times New Roman" w:hAnsi="Times New Roman" w:cs="Times New Roman"/>
                <w:spacing w:val="-5"/>
                <w:lang w:eastAsia="zh-CN"/>
              </w:rPr>
              <w:t>业绩说明会</w:t>
            </w:r>
          </w:p>
          <w:p w14:paraId="39D7E6E1" w14:textId="77777777" w:rsidR="00F60D2B" w:rsidRPr="004E110E" w:rsidRDefault="00C235CF">
            <w:pPr>
              <w:pStyle w:val="TableText"/>
              <w:spacing w:before="182" w:line="220" w:lineRule="auto"/>
              <w:ind w:left="511"/>
              <w:rPr>
                <w:rFonts w:ascii="Times New Roman" w:hAnsi="Times New Roman" w:cs="Times New Roman"/>
                <w:spacing w:val="-7"/>
              </w:rPr>
            </w:pPr>
            <w:r w:rsidRPr="004E110E">
              <w:rPr>
                <w:rFonts w:ascii="Segoe UI Symbol" w:hAnsi="Segoe UI Symbol" w:cs="Segoe UI Symbol"/>
                <w:spacing w:val="-5"/>
                <w:lang w:eastAsia="zh-CN"/>
              </w:rPr>
              <w:t>☑</w:t>
            </w:r>
            <w:r w:rsidRPr="004E110E">
              <w:rPr>
                <w:rFonts w:ascii="Times New Roman" w:hAnsi="Times New Roman" w:cs="Times New Roman"/>
                <w:spacing w:val="-7"/>
              </w:rPr>
              <w:t>路演活动</w:t>
            </w:r>
          </w:p>
          <w:p w14:paraId="2AC11218" w14:textId="77777777" w:rsidR="00F60D2B" w:rsidRPr="004E110E" w:rsidRDefault="00F60D2B">
            <w:pPr>
              <w:pStyle w:val="TableText"/>
              <w:spacing w:before="182" w:line="220" w:lineRule="auto"/>
              <w:ind w:left="511"/>
              <w:rPr>
                <w:rFonts w:ascii="Times New Roman" w:hAnsi="Times New Roman" w:cs="Times New Roman"/>
                <w:spacing w:val="-7"/>
              </w:rPr>
            </w:pPr>
          </w:p>
        </w:tc>
      </w:tr>
      <w:tr w:rsidR="00F60D2B" w:rsidRPr="004E110E" w14:paraId="2F1C341C" w14:textId="77777777">
        <w:trPr>
          <w:trHeight w:val="941"/>
          <w:jc w:val="center"/>
        </w:trPr>
        <w:tc>
          <w:tcPr>
            <w:tcW w:w="969" w:type="pct"/>
            <w:vAlign w:val="center"/>
          </w:tcPr>
          <w:p w14:paraId="65B027C1" w14:textId="77777777" w:rsidR="00F60D2B" w:rsidRPr="004E110E" w:rsidRDefault="00C235CF">
            <w:pPr>
              <w:pStyle w:val="TableText"/>
              <w:spacing w:before="115" w:line="220" w:lineRule="auto"/>
              <w:ind w:left="119"/>
              <w:jc w:val="center"/>
              <w:rPr>
                <w:rFonts w:ascii="Times New Roman" w:hAnsi="Times New Roman" w:cs="Times New Roman"/>
              </w:rPr>
            </w:pPr>
            <w:r w:rsidRPr="004E110E">
              <w:rPr>
                <w:rFonts w:ascii="Times New Roman" w:hAnsi="Times New Roman" w:cs="Times New Roman"/>
                <w:spacing w:val="-2"/>
              </w:rPr>
              <w:t>参与单位名称</w:t>
            </w:r>
          </w:p>
        </w:tc>
        <w:tc>
          <w:tcPr>
            <w:tcW w:w="4030" w:type="pct"/>
            <w:gridSpan w:val="2"/>
            <w:vAlign w:val="center"/>
          </w:tcPr>
          <w:p w14:paraId="31F214FE" w14:textId="77777777" w:rsidR="00F60D2B" w:rsidRPr="004E110E" w:rsidRDefault="00C235CF" w:rsidP="004E110E">
            <w:pPr>
              <w:pStyle w:val="TableText"/>
              <w:spacing w:beforeLines="50" w:before="120" w:afterLines="50" w:after="120" w:line="360" w:lineRule="auto"/>
              <w:ind w:right="119"/>
              <w:jc w:val="both"/>
              <w:rPr>
                <w:rFonts w:ascii="Times New Roman" w:hAnsi="Times New Roman" w:cs="Times New Roman"/>
                <w:lang w:eastAsia="zh-CN"/>
              </w:rPr>
            </w:pPr>
            <w:r w:rsidRPr="004E110E">
              <w:rPr>
                <w:rFonts w:ascii="Times New Roman" w:hAnsi="Times New Roman" w:cs="Times New Roman"/>
                <w:lang w:eastAsia="zh-CN"/>
              </w:rPr>
              <w:t>长城基金、泰康资产、国寿资产、新华基金、嘉实基金、博时基金、建信基金、华夏基金、南方基金、银华基金、合远基金、招商基金、太平洋资产、华安基金、富国基金、拾贝投资、中信保诚、国投瑞银基金、信达澳亚、金鹰基金、海富通基金、惠升基金、宝盈基金、宏利基金、杭银理财、安信自营、国金基金、中金资管、华能贵诚、长江资管、东方红基金、鑫元基金、新华保险、光大理财、交银施罗德基金、新华资产、汇添富基金、润晖投资、民生加银基金、华泰资产、和谐汇一、混沌投资、博道基金、汇华理财、东方基金、上银基金、浦银安盛基金、大家资产、泓澄投资、行知创业投资、汇丰晋信基金、睿远基金、泉果基金、广发基金、财通资管、才华资本、中信资管、中加基金、前海开源基金、路博迈基金、浙商资管、富安达基金、</w:t>
            </w:r>
            <w:r w:rsidRPr="004E110E">
              <w:rPr>
                <w:rFonts w:ascii="Times New Roman" w:hAnsi="Times New Roman" w:cs="Times New Roman"/>
                <w:lang w:eastAsia="zh-CN"/>
              </w:rPr>
              <w:t xml:space="preserve">POINT72  </w:t>
            </w:r>
            <w:r w:rsidRPr="004E110E">
              <w:rPr>
                <w:rFonts w:ascii="Times New Roman" w:hAnsi="Times New Roman" w:cs="Times New Roman"/>
                <w:lang w:eastAsia="zh-CN"/>
              </w:rPr>
              <w:t>、</w:t>
            </w:r>
            <w:r w:rsidRPr="004E110E">
              <w:rPr>
                <w:rFonts w:ascii="Times New Roman" w:hAnsi="Times New Roman" w:cs="Times New Roman"/>
                <w:lang w:eastAsia="zh-CN"/>
              </w:rPr>
              <w:t>Morgan Stanley</w:t>
            </w:r>
            <w:r w:rsidRPr="004E110E">
              <w:rPr>
                <w:rFonts w:ascii="Times New Roman" w:hAnsi="Times New Roman" w:cs="Times New Roman"/>
                <w:lang w:eastAsia="zh-CN"/>
              </w:rPr>
              <w:t>、</w:t>
            </w:r>
            <w:r w:rsidRPr="004E110E">
              <w:rPr>
                <w:rFonts w:ascii="Times New Roman" w:hAnsi="Times New Roman" w:cs="Times New Roman"/>
                <w:lang w:eastAsia="zh-CN"/>
              </w:rPr>
              <w:t>Golden Nest</w:t>
            </w:r>
            <w:r w:rsidRPr="004E110E">
              <w:rPr>
                <w:rFonts w:ascii="Times New Roman" w:hAnsi="Times New Roman" w:cs="Times New Roman"/>
                <w:lang w:eastAsia="zh-CN"/>
              </w:rPr>
              <w:t>、</w:t>
            </w:r>
            <w:r w:rsidRPr="004E110E">
              <w:rPr>
                <w:rFonts w:ascii="Times New Roman" w:hAnsi="Times New Roman" w:cs="Times New Roman"/>
                <w:lang w:eastAsia="zh-CN"/>
              </w:rPr>
              <w:t>Fullgoal Fund</w:t>
            </w:r>
            <w:r w:rsidRPr="004E110E">
              <w:rPr>
                <w:rFonts w:ascii="Times New Roman" w:hAnsi="Times New Roman" w:cs="Times New Roman"/>
                <w:lang w:eastAsia="zh-CN"/>
              </w:rPr>
              <w:t>、</w:t>
            </w:r>
            <w:r w:rsidRPr="004E110E">
              <w:rPr>
                <w:rFonts w:ascii="Times New Roman" w:hAnsi="Times New Roman" w:cs="Times New Roman"/>
                <w:lang w:eastAsia="zh-CN"/>
              </w:rPr>
              <w:t>Pinpoint Asset</w:t>
            </w:r>
            <w:r w:rsidRPr="004E110E">
              <w:rPr>
                <w:rFonts w:ascii="Times New Roman" w:hAnsi="Times New Roman" w:cs="Times New Roman"/>
                <w:lang w:eastAsia="zh-CN"/>
              </w:rPr>
              <w:t>、</w:t>
            </w:r>
            <w:r w:rsidRPr="004E110E">
              <w:rPr>
                <w:rFonts w:ascii="Times New Roman" w:hAnsi="Times New Roman" w:cs="Times New Roman"/>
                <w:lang w:eastAsia="zh-CN"/>
              </w:rPr>
              <w:t>Baillie Gifford &amp; CO</w:t>
            </w:r>
            <w:r w:rsidRPr="004E110E">
              <w:rPr>
                <w:rFonts w:ascii="Times New Roman" w:hAnsi="Times New Roman" w:cs="Times New Roman"/>
                <w:lang w:eastAsia="zh-CN"/>
              </w:rPr>
              <w:t>、</w:t>
            </w:r>
            <w:r w:rsidRPr="004E110E">
              <w:rPr>
                <w:rFonts w:ascii="Times New Roman" w:hAnsi="Times New Roman" w:cs="Times New Roman"/>
                <w:lang w:eastAsia="zh-CN"/>
              </w:rPr>
              <w:t>Pickers Capital</w:t>
            </w:r>
            <w:r w:rsidRPr="004E110E">
              <w:rPr>
                <w:rFonts w:ascii="Times New Roman" w:hAnsi="Times New Roman" w:cs="Times New Roman"/>
                <w:lang w:eastAsia="zh-CN"/>
              </w:rPr>
              <w:t>、</w:t>
            </w:r>
            <w:r w:rsidRPr="004E110E">
              <w:rPr>
                <w:rFonts w:ascii="Times New Roman" w:hAnsi="Times New Roman" w:cs="Times New Roman"/>
                <w:lang w:eastAsia="zh-CN"/>
              </w:rPr>
              <w:t>Value Partners</w:t>
            </w:r>
            <w:r w:rsidRPr="004E110E">
              <w:rPr>
                <w:rFonts w:ascii="Times New Roman" w:hAnsi="Times New Roman" w:cs="Times New Roman"/>
                <w:lang w:eastAsia="zh-CN"/>
              </w:rPr>
              <w:t>、</w:t>
            </w:r>
            <w:r w:rsidRPr="004E110E">
              <w:rPr>
                <w:rFonts w:ascii="Times New Roman" w:hAnsi="Times New Roman" w:cs="Times New Roman"/>
                <w:lang w:eastAsia="zh-CN"/>
              </w:rPr>
              <w:t>Sequoia Capital</w:t>
            </w:r>
            <w:r w:rsidRPr="004E110E">
              <w:rPr>
                <w:rFonts w:ascii="Times New Roman" w:hAnsi="Times New Roman" w:cs="Times New Roman"/>
                <w:lang w:eastAsia="zh-CN"/>
              </w:rPr>
              <w:t>、</w:t>
            </w:r>
            <w:r w:rsidRPr="004E110E">
              <w:rPr>
                <w:rFonts w:ascii="Times New Roman" w:hAnsi="Times New Roman" w:cs="Times New Roman"/>
                <w:lang w:eastAsia="zh-CN"/>
              </w:rPr>
              <w:t>Allianz Global</w:t>
            </w:r>
            <w:r w:rsidRPr="004E110E">
              <w:rPr>
                <w:rFonts w:ascii="Times New Roman" w:hAnsi="Times New Roman" w:cs="Times New Roman"/>
                <w:lang w:eastAsia="zh-CN"/>
              </w:rPr>
              <w:t>、</w:t>
            </w:r>
            <w:r w:rsidRPr="004E110E">
              <w:rPr>
                <w:rFonts w:ascii="Times New Roman" w:hAnsi="Times New Roman" w:cs="Times New Roman"/>
                <w:lang w:eastAsia="zh-CN"/>
              </w:rPr>
              <w:t>RBC Investment</w:t>
            </w:r>
            <w:r w:rsidRPr="004E110E">
              <w:rPr>
                <w:rFonts w:ascii="Times New Roman" w:hAnsi="Times New Roman" w:cs="Times New Roman"/>
                <w:lang w:eastAsia="zh-CN"/>
              </w:rPr>
              <w:t>、</w:t>
            </w:r>
            <w:r w:rsidRPr="004E110E">
              <w:rPr>
                <w:rFonts w:ascii="Times New Roman" w:hAnsi="Times New Roman" w:cs="Times New Roman"/>
                <w:lang w:eastAsia="zh-CN"/>
              </w:rPr>
              <w:t>Pleiad Investment</w:t>
            </w:r>
            <w:r w:rsidRPr="004E110E">
              <w:rPr>
                <w:rFonts w:ascii="Times New Roman" w:hAnsi="Times New Roman" w:cs="Times New Roman"/>
                <w:lang w:eastAsia="zh-CN"/>
              </w:rPr>
              <w:t>、易同投资、榜样投资、兴业银行、九泰基金、青骊投资、弘尚资产、循远资产、华宝信托、中航产业、东兴基金、泰信基金、上海原泽、景熙资产、恒复投资、华泰证券投资部、兴华基金、安信自营、景顺长城基金、申万菱信基金、华宝基金、国寿安保基金、永诚保险、招银理财、国金基金、长江养老、玄元私募、亚太财产保险、友邦人寿、工银瑞信基金、安联基金、西部利得、高毅资产、</w:t>
            </w:r>
            <w:r w:rsidRPr="004E110E">
              <w:rPr>
                <w:rFonts w:ascii="Times New Roman" w:hAnsi="Times New Roman" w:cs="Times New Roman"/>
                <w:lang w:eastAsia="zh-CN"/>
              </w:rPr>
              <w:t>Green Court Capital</w:t>
            </w:r>
            <w:r w:rsidRPr="004E110E">
              <w:rPr>
                <w:rFonts w:ascii="Times New Roman" w:hAnsi="Times New Roman" w:cs="Times New Roman"/>
                <w:lang w:eastAsia="zh-CN"/>
              </w:rPr>
              <w:t>、农银汇理基金、盘京投资、广东正圆私募、中粮信托、北银理财、鹏扬基金、星石投资、安联保险、长盛基金、中融信托、深圳前海昊创、尚诚资产、华安基金、磐厚动量、</w:t>
            </w:r>
            <w:r w:rsidRPr="004E110E">
              <w:rPr>
                <w:rFonts w:ascii="Times New Roman" w:hAnsi="Times New Roman" w:cs="Times New Roman"/>
                <w:lang w:eastAsia="zh-CN"/>
              </w:rPr>
              <w:t>Winfor Capital</w:t>
            </w:r>
            <w:r w:rsidRPr="004E110E">
              <w:rPr>
                <w:rFonts w:ascii="Times New Roman" w:hAnsi="Times New Roman" w:cs="Times New Roman"/>
                <w:lang w:eastAsia="zh-CN"/>
              </w:rPr>
              <w:t>、长城保险、华泰保兴、太平资产、永赢基金、星泰投资、上海煜德投资、上海宁泉资产、京管泰富基金、国华兴益保险、昆仑信托、中债信用增进、混沌投资、国融基金、北京沣</w:t>
            </w:r>
            <w:r w:rsidRPr="004E110E">
              <w:rPr>
                <w:rFonts w:ascii="Times New Roman" w:hAnsi="Times New Roman" w:cs="Times New Roman"/>
                <w:lang w:eastAsia="zh-CN"/>
              </w:rPr>
              <w:lastRenderedPageBreak/>
              <w:t>沛投资、泰信基金、上海域秀资产、农银理财、瑞兆投资、保银资管、中银国际、平安资产、鹏华基金、安联基金以及开源证券、中邮证券、长江证券、浙商证券、申万宏源证券、中金公司、国联证券、国泰君安证券、中信建投证券、华泰证券、广发证券、中信证券、兴业证券、五矿证券、招商证券、华西证券、国信证券、天风证券、国投证券、中泰证券</w:t>
            </w:r>
          </w:p>
        </w:tc>
      </w:tr>
      <w:tr w:rsidR="00F60D2B" w:rsidRPr="004E110E" w14:paraId="2B80DA64" w14:textId="77777777">
        <w:trPr>
          <w:trHeight w:val="578"/>
          <w:jc w:val="center"/>
        </w:trPr>
        <w:tc>
          <w:tcPr>
            <w:tcW w:w="969" w:type="pct"/>
            <w:vAlign w:val="center"/>
          </w:tcPr>
          <w:p w14:paraId="6807D5DC" w14:textId="77777777" w:rsidR="00F60D2B" w:rsidRPr="004E110E" w:rsidRDefault="00C235CF">
            <w:pPr>
              <w:pStyle w:val="TableText"/>
              <w:spacing w:before="114" w:line="222" w:lineRule="auto"/>
              <w:ind w:left="128"/>
              <w:jc w:val="center"/>
              <w:rPr>
                <w:rFonts w:ascii="Times New Roman" w:hAnsi="Times New Roman" w:cs="Times New Roman"/>
              </w:rPr>
            </w:pPr>
            <w:r w:rsidRPr="004E110E">
              <w:rPr>
                <w:rFonts w:ascii="Times New Roman" w:hAnsi="Times New Roman" w:cs="Times New Roman"/>
                <w:spacing w:val="-6"/>
              </w:rPr>
              <w:lastRenderedPageBreak/>
              <w:t>时间</w:t>
            </w:r>
          </w:p>
        </w:tc>
        <w:tc>
          <w:tcPr>
            <w:tcW w:w="4030" w:type="pct"/>
            <w:gridSpan w:val="2"/>
            <w:vAlign w:val="center"/>
          </w:tcPr>
          <w:p w14:paraId="0FA441E6" w14:textId="77777777" w:rsidR="00F60D2B" w:rsidRPr="004E110E" w:rsidRDefault="00C235CF">
            <w:pPr>
              <w:pStyle w:val="TableText"/>
              <w:spacing w:before="113" w:line="220" w:lineRule="auto"/>
              <w:rPr>
                <w:rFonts w:ascii="Times New Roman" w:hAnsi="Times New Roman" w:cs="Times New Roman"/>
                <w:lang w:eastAsia="zh-CN"/>
              </w:rPr>
            </w:pPr>
            <w:r w:rsidRPr="004E110E">
              <w:rPr>
                <w:rFonts w:ascii="Times New Roman" w:hAnsi="Times New Roman" w:cs="Times New Roman"/>
                <w:spacing w:val="-4"/>
                <w:lang w:eastAsia="zh-CN"/>
              </w:rPr>
              <w:t>2025</w:t>
            </w:r>
            <w:r w:rsidRPr="004E110E">
              <w:rPr>
                <w:rFonts w:ascii="Times New Roman" w:hAnsi="Times New Roman" w:cs="Times New Roman"/>
                <w:spacing w:val="-4"/>
              </w:rPr>
              <w:t>年</w:t>
            </w:r>
            <w:r w:rsidRPr="004E110E">
              <w:rPr>
                <w:rFonts w:ascii="Times New Roman" w:hAnsi="Times New Roman" w:cs="Times New Roman"/>
                <w:spacing w:val="-4"/>
                <w:lang w:eastAsia="zh-CN"/>
              </w:rPr>
              <w:t>2</w:t>
            </w:r>
            <w:r w:rsidRPr="004E110E">
              <w:rPr>
                <w:rFonts w:ascii="Times New Roman" w:hAnsi="Times New Roman" w:cs="Times New Roman"/>
                <w:spacing w:val="-4"/>
              </w:rPr>
              <w:t>月</w:t>
            </w:r>
            <w:r w:rsidRPr="004E110E">
              <w:rPr>
                <w:rFonts w:ascii="Times New Roman" w:hAnsi="Times New Roman" w:cs="Times New Roman"/>
                <w:spacing w:val="-4"/>
                <w:lang w:eastAsia="zh-CN"/>
              </w:rPr>
              <w:t>5</w:t>
            </w:r>
            <w:r w:rsidRPr="004E110E">
              <w:rPr>
                <w:rFonts w:ascii="Times New Roman" w:hAnsi="Times New Roman" w:cs="Times New Roman"/>
                <w:spacing w:val="-4"/>
              </w:rPr>
              <w:t>日</w:t>
            </w:r>
            <w:r w:rsidRPr="004E110E">
              <w:rPr>
                <w:rFonts w:ascii="Times New Roman" w:hAnsi="Times New Roman" w:cs="Times New Roman"/>
                <w:spacing w:val="-4"/>
                <w:lang w:eastAsia="zh-CN"/>
              </w:rPr>
              <w:t>至</w:t>
            </w:r>
            <w:r w:rsidRPr="004E110E">
              <w:rPr>
                <w:rFonts w:ascii="Times New Roman" w:hAnsi="Times New Roman" w:cs="Times New Roman"/>
                <w:spacing w:val="-4"/>
                <w:lang w:eastAsia="zh-CN"/>
              </w:rPr>
              <w:t>2025</w:t>
            </w:r>
            <w:r w:rsidRPr="004E110E">
              <w:rPr>
                <w:rFonts w:ascii="Times New Roman" w:hAnsi="Times New Roman" w:cs="Times New Roman"/>
                <w:spacing w:val="-4"/>
                <w:lang w:eastAsia="zh-CN"/>
              </w:rPr>
              <w:t>年</w:t>
            </w:r>
            <w:r w:rsidRPr="004E110E">
              <w:rPr>
                <w:rFonts w:ascii="Times New Roman" w:hAnsi="Times New Roman" w:cs="Times New Roman"/>
                <w:spacing w:val="-4"/>
                <w:lang w:eastAsia="zh-CN"/>
              </w:rPr>
              <w:t>2</w:t>
            </w:r>
            <w:r w:rsidRPr="004E110E">
              <w:rPr>
                <w:rFonts w:ascii="Times New Roman" w:hAnsi="Times New Roman" w:cs="Times New Roman"/>
                <w:spacing w:val="-4"/>
                <w:lang w:eastAsia="zh-CN"/>
              </w:rPr>
              <w:t>月</w:t>
            </w:r>
            <w:r w:rsidRPr="004E110E">
              <w:rPr>
                <w:rFonts w:ascii="Times New Roman" w:hAnsi="Times New Roman" w:cs="Times New Roman"/>
                <w:spacing w:val="-4"/>
                <w:lang w:eastAsia="zh-CN"/>
              </w:rPr>
              <w:t>28</w:t>
            </w:r>
            <w:r w:rsidRPr="004E110E">
              <w:rPr>
                <w:rFonts w:ascii="Times New Roman" w:hAnsi="Times New Roman" w:cs="Times New Roman"/>
                <w:spacing w:val="-4"/>
                <w:lang w:eastAsia="zh-CN"/>
              </w:rPr>
              <w:t>日</w:t>
            </w:r>
          </w:p>
        </w:tc>
      </w:tr>
      <w:tr w:rsidR="00F60D2B" w:rsidRPr="004E110E" w14:paraId="3298256F" w14:textId="77777777">
        <w:trPr>
          <w:trHeight w:val="666"/>
          <w:jc w:val="center"/>
        </w:trPr>
        <w:tc>
          <w:tcPr>
            <w:tcW w:w="969" w:type="pct"/>
            <w:vAlign w:val="center"/>
          </w:tcPr>
          <w:p w14:paraId="0946ECE6" w14:textId="77777777" w:rsidR="00F60D2B" w:rsidRPr="004E110E" w:rsidRDefault="00C235CF">
            <w:pPr>
              <w:pStyle w:val="TableText"/>
              <w:spacing w:before="117" w:line="224" w:lineRule="auto"/>
              <w:ind w:left="117"/>
              <w:jc w:val="center"/>
              <w:rPr>
                <w:rFonts w:ascii="Times New Roman" w:hAnsi="Times New Roman" w:cs="Times New Roman"/>
              </w:rPr>
            </w:pPr>
            <w:r w:rsidRPr="004E110E">
              <w:rPr>
                <w:rFonts w:ascii="Times New Roman" w:hAnsi="Times New Roman" w:cs="Times New Roman"/>
                <w:spacing w:val="-3"/>
              </w:rPr>
              <w:t>地点</w:t>
            </w:r>
          </w:p>
        </w:tc>
        <w:tc>
          <w:tcPr>
            <w:tcW w:w="4030" w:type="pct"/>
            <w:gridSpan w:val="2"/>
            <w:vAlign w:val="center"/>
          </w:tcPr>
          <w:p w14:paraId="00FADA5F" w14:textId="77777777" w:rsidR="00F60D2B" w:rsidRPr="004E110E" w:rsidRDefault="00C235CF">
            <w:pPr>
              <w:pStyle w:val="TableText"/>
              <w:spacing w:before="117" w:line="219" w:lineRule="auto"/>
              <w:rPr>
                <w:rFonts w:ascii="Times New Roman" w:hAnsi="Times New Roman" w:cs="Times New Roman"/>
                <w:lang w:eastAsia="zh-CN"/>
              </w:rPr>
            </w:pPr>
            <w:r w:rsidRPr="004E110E">
              <w:rPr>
                <w:rFonts w:ascii="Times New Roman" w:hAnsi="Times New Roman" w:cs="Times New Roman"/>
                <w:lang w:eastAsia="zh-CN"/>
              </w:rPr>
              <w:t>公司会议室、电话会议等</w:t>
            </w:r>
          </w:p>
        </w:tc>
      </w:tr>
      <w:tr w:rsidR="00F60D2B" w:rsidRPr="004E110E" w14:paraId="00C2C4FD" w14:textId="77777777">
        <w:trPr>
          <w:trHeight w:val="90"/>
          <w:jc w:val="center"/>
        </w:trPr>
        <w:tc>
          <w:tcPr>
            <w:tcW w:w="969" w:type="pct"/>
            <w:vAlign w:val="center"/>
          </w:tcPr>
          <w:p w14:paraId="11E0F2A3" w14:textId="77777777" w:rsidR="00F60D2B" w:rsidRPr="004E110E" w:rsidRDefault="00C235CF">
            <w:pPr>
              <w:pStyle w:val="TableText"/>
              <w:spacing w:before="116" w:line="313" w:lineRule="auto"/>
              <w:ind w:left="119" w:right="110"/>
              <w:jc w:val="center"/>
              <w:rPr>
                <w:rFonts w:ascii="Times New Roman" w:hAnsi="Times New Roman" w:cs="Times New Roman"/>
                <w:lang w:eastAsia="zh-CN"/>
              </w:rPr>
            </w:pPr>
            <w:r w:rsidRPr="004E110E">
              <w:rPr>
                <w:rFonts w:ascii="Times New Roman" w:hAnsi="Times New Roman" w:cs="Times New Roman"/>
                <w:spacing w:val="4"/>
                <w:lang w:eastAsia="zh-CN"/>
              </w:rPr>
              <w:t>上市公司接待</w:t>
            </w:r>
            <w:r w:rsidRPr="004E110E">
              <w:rPr>
                <w:rFonts w:ascii="Times New Roman" w:hAnsi="Times New Roman" w:cs="Times New Roman"/>
                <w:spacing w:val="-3"/>
                <w:lang w:eastAsia="zh-CN"/>
              </w:rPr>
              <w:t>人员姓名</w:t>
            </w:r>
          </w:p>
        </w:tc>
        <w:tc>
          <w:tcPr>
            <w:tcW w:w="4030" w:type="pct"/>
            <w:gridSpan w:val="2"/>
            <w:vAlign w:val="center"/>
          </w:tcPr>
          <w:p w14:paraId="6A740A79" w14:textId="77777777" w:rsidR="00F60D2B" w:rsidRPr="004E110E" w:rsidRDefault="00C235CF">
            <w:pPr>
              <w:pStyle w:val="TableText"/>
              <w:spacing w:afterLines="50" w:after="120" w:line="360" w:lineRule="auto"/>
              <w:jc w:val="both"/>
              <w:rPr>
                <w:rFonts w:ascii="Times New Roman" w:hAnsi="Times New Roman" w:cs="Times New Roman"/>
                <w:lang w:eastAsia="zh-CN"/>
              </w:rPr>
            </w:pPr>
            <w:r w:rsidRPr="004E110E">
              <w:rPr>
                <w:rFonts w:ascii="Times New Roman" w:hAnsi="Times New Roman" w:cs="Times New Roman"/>
                <w:lang w:eastAsia="zh-CN"/>
              </w:rPr>
              <w:t>董事会秘书</w:t>
            </w:r>
            <w:r w:rsidRPr="004E110E">
              <w:rPr>
                <w:rFonts w:ascii="Times New Roman" w:hAnsi="Times New Roman" w:cs="Times New Roman"/>
                <w:lang w:eastAsia="zh-CN"/>
              </w:rPr>
              <w:t xml:space="preserve">   </w:t>
            </w:r>
            <w:r w:rsidRPr="004E110E">
              <w:rPr>
                <w:rFonts w:ascii="Times New Roman" w:hAnsi="Times New Roman" w:cs="Times New Roman"/>
                <w:lang w:eastAsia="zh-CN"/>
              </w:rPr>
              <w:t>范</w:t>
            </w:r>
            <w:r w:rsidRPr="004E110E">
              <w:rPr>
                <w:rFonts w:ascii="Times New Roman" w:hAnsi="Times New Roman" w:cs="Times New Roman"/>
                <w:lang w:eastAsia="zh-CN"/>
              </w:rPr>
              <w:t xml:space="preserve"> </w:t>
            </w:r>
            <w:r w:rsidRPr="004E110E">
              <w:rPr>
                <w:rFonts w:ascii="Times New Roman" w:hAnsi="Times New Roman" w:cs="Times New Roman"/>
                <w:lang w:eastAsia="zh-CN"/>
              </w:rPr>
              <w:t>潇</w:t>
            </w:r>
          </w:p>
        </w:tc>
      </w:tr>
      <w:tr w:rsidR="00F60D2B" w:rsidRPr="004E110E" w14:paraId="77E34C89" w14:textId="77777777">
        <w:trPr>
          <w:trHeight w:val="90"/>
          <w:jc w:val="center"/>
        </w:trPr>
        <w:tc>
          <w:tcPr>
            <w:tcW w:w="969" w:type="pct"/>
            <w:vAlign w:val="center"/>
          </w:tcPr>
          <w:p w14:paraId="314C7E04" w14:textId="77777777" w:rsidR="00F60D2B" w:rsidRPr="004E110E" w:rsidRDefault="00C235CF">
            <w:pPr>
              <w:pStyle w:val="TableText"/>
              <w:spacing w:before="116" w:line="313" w:lineRule="auto"/>
              <w:ind w:left="119" w:right="110"/>
              <w:jc w:val="center"/>
              <w:rPr>
                <w:rFonts w:ascii="Times New Roman" w:hAnsi="Times New Roman" w:cs="Times New Roman"/>
                <w:spacing w:val="4"/>
                <w:lang w:eastAsia="zh-CN"/>
              </w:rPr>
            </w:pPr>
            <w:r w:rsidRPr="004E110E">
              <w:rPr>
                <w:rFonts w:ascii="Times New Roman" w:hAnsi="Times New Roman" w:cs="Times New Roman"/>
                <w:spacing w:val="4"/>
                <w:lang w:eastAsia="zh-CN"/>
              </w:rPr>
              <w:t>投</w:t>
            </w:r>
            <w:bookmarkStart w:id="0" w:name="_GoBack"/>
            <w:bookmarkEnd w:id="0"/>
            <w:r w:rsidRPr="004E110E">
              <w:rPr>
                <w:rFonts w:ascii="Times New Roman" w:hAnsi="Times New Roman" w:cs="Times New Roman"/>
                <w:spacing w:val="4"/>
                <w:lang w:eastAsia="zh-CN"/>
              </w:rPr>
              <w:t>资者关系活动主要内容介</w:t>
            </w:r>
            <w:r w:rsidRPr="004E110E">
              <w:rPr>
                <w:rFonts w:ascii="Times New Roman" w:hAnsi="Times New Roman" w:cs="Times New Roman"/>
                <w:lang w:eastAsia="zh-CN"/>
              </w:rPr>
              <w:t>绍</w:t>
            </w:r>
          </w:p>
        </w:tc>
        <w:tc>
          <w:tcPr>
            <w:tcW w:w="4030" w:type="pct"/>
            <w:gridSpan w:val="2"/>
            <w:vAlign w:val="center"/>
          </w:tcPr>
          <w:p w14:paraId="24ADED25" w14:textId="4F85F94A" w:rsidR="00F60D2B" w:rsidRPr="004E110E" w:rsidRDefault="00C235CF" w:rsidP="00C80C4A">
            <w:pPr>
              <w:pStyle w:val="TableText"/>
              <w:numPr>
                <w:ilvl w:val="0"/>
                <w:numId w:val="1"/>
              </w:numPr>
              <w:spacing w:beforeLines="50" w:before="120" w:afterLines="50" w:after="120" w:line="360" w:lineRule="auto"/>
              <w:jc w:val="both"/>
              <w:rPr>
                <w:rFonts w:ascii="Times New Roman" w:hAnsi="Times New Roman" w:cs="Times New Roman"/>
                <w:b/>
                <w:lang w:eastAsia="zh-CN"/>
              </w:rPr>
            </w:pPr>
            <w:r w:rsidRPr="004E110E">
              <w:rPr>
                <w:rFonts w:ascii="Times New Roman" w:hAnsi="Times New Roman" w:cs="Times New Roman"/>
                <w:b/>
                <w:lang w:eastAsia="zh-CN"/>
              </w:rPr>
              <w:t>公司一直在推进全球化、高端化，具体成果有哪些？</w:t>
            </w:r>
          </w:p>
          <w:p w14:paraId="1A30D01F" w14:textId="77777777" w:rsidR="00F60D2B" w:rsidRPr="004E110E" w:rsidRDefault="00C235CF">
            <w:pPr>
              <w:pStyle w:val="TableText"/>
              <w:spacing w:beforeLines="50" w:before="120" w:afterLines="50" w:after="120" w:line="360" w:lineRule="auto"/>
              <w:ind w:firstLineChars="200" w:firstLine="480"/>
              <w:jc w:val="both"/>
              <w:rPr>
                <w:rFonts w:ascii="Times New Roman" w:hAnsi="Times New Roman" w:cs="Times New Roman"/>
                <w:lang w:eastAsia="zh-CN"/>
              </w:rPr>
            </w:pPr>
            <w:r w:rsidRPr="004E110E">
              <w:rPr>
                <w:rFonts w:ascii="Times New Roman" w:hAnsi="Times New Roman" w:cs="Times New Roman"/>
                <w:lang w:eastAsia="zh-CN"/>
              </w:rPr>
              <w:t>答：公司坚定全球化战略，自主品牌出海与高端出海取得显著成效。公司通过深化全球本土化布局，强化供应链能力，并把握赞助欧洲杯、世界杯等顶级体育赛事契机，提升品牌国际影响力。</w:t>
            </w:r>
          </w:p>
          <w:p w14:paraId="4F15B910" w14:textId="246209CA" w:rsidR="00F60D2B" w:rsidRPr="004E110E" w:rsidRDefault="00C235CF">
            <w:pPr>
              <w:pStyle w:val="TableText"/>
              <w:spacing w:beforeLines="50" w:before="120" w:afterLines="50" w:after="120" w:line="360" w:lineRule="auto"/>
              <w:ind w:firstLineChars="200" w:firstLine="480"/>
              <w:jc w:val="both"/>
              <w:rPr>
                <w:rFonts w:ascii="Times New Roman" w:hAnsi="Times New Roman" w:cs="Times New Roman"/>
                <w:lang w:eastAsia="zh-CN"/>
              </w:rPr>
            </w:pPr>
            <w:r w:rsidRPr="004E110E">
              <w:rPr>
                <w:rFonts w:ascii="Times New Roman" w:hAnsi="Times New Roman" w:cs="Times New Roman"/>
                <w:lang w:eastAsia="zh-CN"/>
              </w:rPr>
              <w:t>据奥维云网数据，</w:t>
            </w:r>
            <w:r w:rsidRPr="004E110E">
              <w:rPr>
                <w:rFonts w:ascii="Times New Roman" w:hAnsi="Times New Roman" w:cs="Times New Roman"/>
                <w:lang w:eastAsia="zh-CN"/>
              </w:rPr>
              <w:t>2024</w:t>
            </w:r>
            <w:r w:rsidRPr="004E110E">
              <w:rPr>
                <w:rFonts w:ascii="Times New Roman" w:hAnsi="Times New Roman" w:cs="Times New Roman"/>
                <w:lang w:eastAsia="zh-CN"/>
              </w:rPr>
              <w:t>年，海信系电视国内市场的销售额份额为</w:t>
            </w:r>
            <w:r w:rsidRPr="004E110E">
              <w:rPr>
                <w:rFonts w:ascii="Times New Roman" w:hAnsi="Times New Roman" w:cs="Times New Roman"/>
                <w:lang w:eastAsia="zh-CN"/>
              </w:rPr>
              <w:t>29.83%</w:t>
            </w:r>
            <w:r w:rsidRPr="004E110E">
              <w:rPr>
                <w:rFonts w:ascii="Times New Roman" w:hAnsi="Times New Roman" w:cs="Times New Roman"/>
                <w:lang w:eastAsia="zh-CN"/>
              </w:rPr>
              <w:t>，位居行业第一。在</w:t>
            </w:r>
            <w:r w:rsidRPr="004E110E">
              <w:rPr>
                <w:rFonts w:ascii="Times New Roman" w:hAnsi="Times New Roman" w:cs="Times New Roman"/>
                <w:lang w:eastAsia="zh-CN"/>
              </w:rPr>
              <w:t>“Local for Local”</w:t>
            </w:r>
            <w:r w:rsidRPr="004E110E">
              <w:rPr>
                <w:rFonts w:ascii="Times New Roman" w:hAnsi="Times New Roman" w:cs="Times New Roman"/>
                <w:lang w:eastAsia="zh-CN"/>
              </w:rPr>
              <w:t>策略下，海信系电视产品在全球市场出货量持续增长，根据</w:t>
            </w:r>
            <w:r w:rsidRPr="004E110E">
              <w:rPr>
                <w:rFonts w:ascii="Times New Roman" w:hAnsi="Times New Roman" w:cs="Times New Roman"/>
                <w:lang w:eastAsia="zh-CN"/>
              </w:rPr>
              <w:t>Omdia</w:t>
            </w:r>
            <w:r w:rsidRPr="004E110E">
              <w:rPr>
                <w:rFonts w:ascii="Times New Roman" w:hAnsi="Times New Roman" w:cs="Times New Roman"/>
                <w:lang w:eastAsia="zh-CN"/>
              </w:rPr>
              <w:t>，</w:t>
            </w:r>
            <w:r w:rsidRPr="004E110E">
              <w:rPr>
                <w:rFonts w:ascii="Times New Roman" w:hAnsi="Times New Roman" w:cs="Times New Roman"/>
                <w:lang w:eastAsia="zh-CN"/>
              </w:rPr>
              <w:t>2024</w:t>
            </w:r>
            <w:r w:rsidRPr="004E110E">
              <w:rPr>
                <w:rFonts w:ascii="Times New Roman" w:hAnsi="Times New Roman" w:cs="Times New Roman"/>
                <w:lang w:eastAsia="zh-CN"/>
              </w:rPr>
              <w:t>年海信系电视出货量连续三年位居全球第二。据</w:t>
            </w:r>
            <w:r w:rsidRPr="004E110E">
              <w:rPr>
                <w:rFonts w:ascii="Times New Roman" w:hAnsi="Times New Roman" w:cs="Times New Roman"/>
                <w:lang w:eastAsia="zh-CN"/>
              </w:rPr>
              <w:t>GFK</w:t>
            </w:r>
            <w:r w:rsidRPr="004E110E">
              <w:rPr>
                <w:rFonts w:ascii="Times New Roman" w:hAnsi="Times New Roman" w:cs="Times New Roman"/>
                <w:lang w:eastAsia="zh-CN"/>
              </w:rPr>
              <w:t>、</w:t>
            </w:r>
            <w:r w:rsidRPr="004E110E">
              <w:rPr>
                <w:rFonts w:ascii="Times New Roman" w:hAnsi="Times New Roman" w:cs="Times New Roman"/>
                <w:lang w:eastAsia="zh-CN"/>
              </w:rPr>
              <w:t>Circana</w:t>
            </w:r>
            <w:r w:rsidRPr="004E110E">
              <w:rPr>
                <w:rFonts w:ascii="Times New Roman" w:hAnsi="Times New Roman" w:cs="Times New Roman"/>
                <w:lang w:eastAsia="zh-CN"/>
              </w:rPr>
              <w:t>数据，海信系电视在日本、澳大利亚、南非、斯洛文尼亚等国家排名第一，在加拿大、墨西哥、波兰、乌克兰、克罗地亚等国家排名第二，在美国、德国、意大利、英国、葡萄牙、匈牙利、塞尔维亚、马来西亚、泰国等国家排名第三。</w:t>
            </w:r>
          </w:p>
          <w:p w14:paraId="5B931D81" w14:textId="77777777" w:rsidR="00F60D2B" w:rsidRPr="004E110E" w:rsidRDefault="00C235CF">
            <w:pPr>
              <w:pStyle w:val="TableText"/>
              <w:spacing w:beforeLines="50" w:before="120" w:afterLines="50" w:after="120" w:line="360" w:lineRule="auto"/>
              <w:ind w:firstLineChars="200" w:firstLine="480"/>
              <w:jc w:val="both"/>
              <w:rPr>
                <w:rFonts w:ascii="Times New Roman" w:hAnsi="Times New Roman" w:cs="Times New Roman"/>
                <w:lang w:eastAsia="zh-CN"/>
              </w:rPr>
            </w:pPr>
            <w:r w:rsidRPr="004E110E">
              <w:rPr>
                <w:rFonts w:ascii="Times New Roman" w:hAnsi="Times New Roman" w:cs="Times New Roman"/>
                <w:lang w:eastAsia="zh-CN"/>
              </w:rPr>
              <w:t>高端化战略让公司产品销售结构持续优化。据奥维云网数据，国内市场，公司</w:t>
            </w:r>
            <w:r w:rsidRPr="004E110E">
              <w:rPr>
                <w:rFonts w:ascii="Times New Roman" w:hAnsi="Times New Roman" w:cs="Times New Roman"/>
                <w:lang w:eastAsia="zh-CN"/>
              </w:rPr>
              <w:t>75+</w:t>
            </w:r>
            <w:r w:rsidRPr="004E110E">
              <w:rPr>
                <w:rFonts w:ascii="Times New Roman" w:hAnsi="Times New Roman" w:cs="Times New Roman"/>
                <w:lang w:eastAsia="zh-CN"/>
              </w:rPr>
              <w:t>、</w:t>
            </w:r>
            <w:r w:rsidRPr="004E110E">
              <w:rPr>
                <w:rFonts w:ascii="Times New Roman" w:hAnsi="Times New Roman" w:cs="Times New Roman"/>
                <w:lang w:eastAsia="zh-CN"/>
              </w:rPr>
              <w:t>85+</w:t>
            </w:r>
            <w:r w:rsidRPr="004E110E">
              <w:rPr>
                <w:rFonts w:ascii="Times New Roman" w:hAnsi="Times New Roman" w:cs="Times New Roman"/>
                <w:lang w:eastAsia="zh-CN"/>
              </w:rPr>
              <w:t>、</w:t>
            </w:r>
            <w:r w:rsidRPr="004E110E">
              <w:rPr>
                <w:rFonts w:ascii="Times New Roman" w:hAnsi="Times New Roman" w:cs="Times New Roman"/>
                <w:lang w:eastAsia="zh-CN"/>
              </w:rPr>
              <w:t>98+</w:t>
            </w:r>
            <w:r w:rsidRPr="004E110E">
              <w:rPr>
                <w:rFonts w:ascii="Times New Roman" w:hAnsi="Times New Roman" w:cs="Times New Roman"/>
                <w:lang w:eastAsia="zh-CN"/>
              </w:rPr>
              <w:t>、</w:t>
            </w:r>
            <w:r w:rsidRPr="004E110E">
              <w:rPr>
                <w:rFonts w:ascii="Times New Roman" w:hAnsi="Times New Roman" w:cs="Times New Roman"/>
                <w:lang w:eastAsia="zh-CN"/>
              </w:rPr>
              <w:t>100+</w:t>
            </w:r>
            <w:r w:rsidRPr="004E110E">
              <w:rPr>
                <w:rFonts w:ascii="Times New Roman" w:hAnsi="Times New Roman" w:cs="Times New Roman"/>
                <w:lang w:eastAsia="zh-CN"/>
              </w:rPr>
              <w:t>和</w:t>
            </w:r>
            <w:r w:rsidRPr="004E110E">
              <w:rPr>
                <w:rFonts w:ascii="Times New Roman" w:hAnsi="Times New Roman" w:cs="Times New Roman"/>
                <w:lang w:eastAsia="zh-CN"/>
              </w:rPr>
              <w:t>Mini LED</w:t>
            </w:r>
            <w:r w:rsidRPr="004E110E">
              <w:rPr>
                <w:rFonts w:ascii="Times New Roman" w:hAnsi="Times New Roman" w:cs="Times New Roman"/>
                <w:lang w:eastAsia="zh-CN"/>
              </w:rPr>
              <w:t>产品市场占有率均位居行业第一。据奥维睿沃数据，</w:t>
            </w:r>
            <w:r w:rsidRPr="004E110E">
              <w:rPr>
                <w:rFonts w:ascii="Times New Roman" w:hAnsi="Times New Roman" w:cs="Times New Roman"/>
                <w:lang w:eastAsia="zh-CN"/>
              </w:rPr>
              <w:t>2024</w:t>
            </w:r>
            <w:r w:rsidRPr="004E110E">
              <w:rPr>
                <w:rFonts w:ascii="Times New Roman" w:hAnsi="Times New Roman" w:cs="Times New Roman"/>
                <w:lang w:eastAsia="zh-CN"/>
              </w:rPr>
              <w:t>年，公司</w:t>
            </w:r>
            <w:r w:rsidRPr="004E110E">
              <w:rPr>
                <w:rFonts w:ascii="Times New Roman" w:hAnsi="Times New Roman" w:cs="Times New Roman"/>
                <w:lang w:eastAsia="zh-CN"/>
              </w:rPr>
              <w:t>75</w:t>
            </w:r>
            <w:r w:rsidRPr="004E110E">
              <w:rPr>
                <w:rFonts w:ascii="Times New Roman" w:hAnsi="Times New Roman" w:cs="Times New Roman"/>
                <w:lang w:eastAsia="zh-CN"/>
              </w:rPr>
              <w:t>英寸及以上电视销量占有率</w:t>
            </w:r>
            <w:r w:rsidRPr="004E110E">
              <w:rPr>
                <w:rFonts w:ascii="Times New Roman" w:hAnsi="Times New Roman" w:cs="Times New Roman"/>
                <w:lang w:eastAsia="zh-CN"/>
              </w:rPr>
              <w:t>20.9%</w:t>
            </w:r>
            <w:r w:rsidRPr="004E110E">
              <w:rPr>
                <w:rFonts w:ascii="Times New Roman" w:hAnsi="Times New Roman" w:cs="Times New Roman"/>
                <w:lang w:eastAsia="zh-CN"/>
              </w:rPr>
              <w:t>，排名全球第一；</w:t>
            </w:r>
            <w:r w:rsidRPr="004E110E">
              <w:rPr>
                <w:rFonts w:ascii="Times New Roman" w:hAnsi="Times New Roman" w:cs="Times New Roman"/>
                <w:lang w:eastAsia="zh-CN"/>
              </w:rPr>
              <w:t>85</w:t>
            </w:r>
            <w:r w:rsidRPr="004E110E">
              <w:rPr>
                <w:rFonts w:ascii="Times New Roman" w:hAnsi="Times New Roman" w:cs="Times New Roman"/>
                <w:lang w:eastAsia="zh-CN"/>
              </w:rPr>
              <w:t>英寸及以上电视销量占有率</w:t>
            </w:r>
            <w:r w:rsidRPr="004E110E">
              <w:rPr>
                <w:rFonts w:ascii="Times New Roman" w:hAnsi="Times New Roman" w:cs="Times New Roman"/>
                <w:lang w:eastAsia="zh-CN"/>
              </w:rPr>
              <w:t>21.9%</w:t>
            </w:r>
            <w:r w:rsidRPr="004E110E">
              <w:rPr>
                <w:rFonts w:ascii="Times New Roman" w:hAnsi="Times New Roman" w:cs="Times New Roman"/>
                <w:lang w:eastAsia="zh-CN"/>
              </w:rPr>
              <w:t>，排名全球第一；</w:t>
            </w:r>
            <w:r w:rsidRPr="004E110E">
              <w:rPr>
                <w:rFonts w:ascii="Times New Roman" w:hAnsi="Times New Roman" w:cs="Times New Roman"/>
                <w:lang w:eastAsia="zh-CN"/>
              </w:rPr>
              <w:t>100</w:t>
            </w:r>
            <w:r w:rsidRPr="004E110E">
              <w:rPr>
                <w:rFonts w:ascii="Times New Roman" w:hAnsi="Times New Roman" w:cs="Times New Roman"/>
                <w:lang w:eastAsia="zh-CN"/>
              </w:rPr>
              <w:t>英寸及以上电视销量占有率</w:t>
            </w:r>
            <w:r w:rsidRPr="004E110E">
              <w:rPr>
                <w:rFonts w:ascii="Times New Roman" w:hAnsi="Times New Roman" w:cs="Times New Roman"/>
                <w:lang w:eastAsia="zh-CN"/>
              </w:rPr>
              <w:t>47%</w:t>
            </w:r>
            <w:r w:rsidRPr="004E110E">
              <w:rPr>
                <w:rFonts w:ascii="Times New Roman" w:hAnsi="Times New Roman" w:cs="Times New Roman"/>
                <w:lang w:eastAsia="zh-CN"/>
              </w:rPr>
              <w:t>，排名全球第一。</w:t>
            </w:r>
          </w:p>
          <w:p w14:paraId="5863483D" w14:textId="61B970F6" w:rsidR="00F60D2B" w:rsidRPr="004E110E" w:rsidRDefault="00C235CF" w:rsidP="00C80C4A">
            <w:pPr>
              <w:pStyle w:val="TableText"/>
              <w:numPr>
                <w:ilvl w:val="0"/>
                <w:numId w:val="1"/>
              </w:numPr>
              <w:spacing w:beforeLines="50" w:before="120" w:afterLines="50" w:after="120" w:line="360" w:lineRule="auto"/>
              <w:jc w:val="both"/>
              <w:rPr>
                <w:rFonts w:ascii="Times New Roman" w:hAnsi="Times New Roman" w:cs="Times New Roman"/>
                <w:b/>
                <w:lang w:eastAsia="zh-CN"/>
              </w:rPr>
            </w:pPr>
            <w:r w:rsidRPr="004E110E">
              <w:rPr>
                <w:rFonts w:ascii="Times New Roman" w:hAnsi="Times New Roman" w:cs="Times New Roman"/>
                <w:b/>
                <w:lang w:eastAsia="zh-CN"/>
              </w:rPr>
              <w:t>海信电视接入</w:t>
            </w:r>
            <w:r w:rsidRPr="004E110E">
              <w:rPr>
                <w:rFonts w:ascii="Times New Roman" w:hAnsi="Times New Roman" w:cs="Times New Roman"/>
                <w:b/>
                <w:lang w:eastAsia="zh-CN"/>
              </w:rPr>
              <w:t>DeepSeek</w:t>
            </w:r>
            <w:r w:rsidRPr="004E110E">
              <w:rPr>
                <w:rFonts w:ascii="Times New Roman" w:hAnsi="Times New Roman" w:cs="Times New Roman"/>
                <w:b/>
                <w:lang w:eastAsia="zh-CN"/>
              </w:rPr>
              <w:t>后有哪些变化？</w:t>
            </w:r>
          </w:p>
          <w:p w14:paraId="3ED9EF6F" w14:textId="77777777" w:rsidR="00F60D2B" w:rsidRPr="004E110E" w:rsidRDefault="00C235CF">
            <w:pPr>
              <w:pStyle w:val="TableText"/>
              <w:spacing w:beforeLines="50" w:before="120" w:afterLines="50" w:after="120" w:line="360" w:lineRule="auto"/>
              <w:ind w:firstLineChars="200" w:firstLine="480"/>
              <w:jc w:val="both"/>
              <w:rPr>
                <w:rFonts w:ascii="Times New Roman" w:hAnsi="Times New Roman" w:cs="Times New Roman"/>
                <w:lang w:eastAsia="zh-CN"/>
              </w:rPr>
            </w:pPr>
            <w:r w:rsidRPr="004E110E">
              <w:rPr>
                <w:rFonts w:ascii="Times New Roman" w:hAnsi="Times New Roman" w:cs="Times New Roman"/>
                <w:lang w:eastAsia="zh-CN"/>
              </w:rPr>
              <w:t>答：海信电视接入</w:t>
            </w:r>
            <w:r w:rsidRPr="004E110E">
              <w:rPr>
                <w:rFonts w:ascii="Times New Roman" w:hAnsi="Times New Roman" w:cs="Times New Roman"/>
                <w:lang w:eastAsia="zh-CN"/>
              </w:rPr>
              <w:t>DeepSeek</w:t>
            </w:r>
            <w:r w:rsidRPr="004E110E">
              <w:rPr>
                <w:rFonts w:ascii="Times New Roman" w:hAnsi="Times New Roman" w:cs="Times New Roman"/>
                <w:lang w:eastAsia="zh-CN"/>
              </w:rPr>
              <w:t>，支持满血</w:t>
            </w:r>
            <w:r w:rsidRPr="004E110E">
              <w:rPr>
                <w:rFonts w:ascii="Times New Roman" w:hAnsi="Times New Roman" w:cs="Times New Roman"/>
                <w:lang w:eastAsia="zh-CN"/>
              </w:rPr>
              <w:t>R1</w:t>
            </w:r>
            <w:r w:rsidRPr="004E110E">
              <w:rPr>
                <w:rFonts w:ascii="Times New Roman" w:hAnsi="Times New Roman" w:cs="Times New Roman"/>
                <w:lang w:eastAsia="zh-CN"/>
              </w:rPr>
              <w:t>和</w:t>
            </w:r>
            <w:r w:rsidRPr="004E110E">
              <w:rPr>
                <w:rFonts w:ascii="Times New Roman" w:hAnsi="Times New Roman" w:cs="Times New Roman"/>
                <w:lang w:eastAsia="zh-CN"/>
              </w:rPr>
              <w:t>V3</w:t>
            </w:r>
            <w:r w:rsidRPr="004E110E">
              <w:rPr>
                <w:rFonts w:ascii="Times New Roman" w:hAnsi="Times New Roman" w:cs="Times New Roman"/>
                <w:lang w:eastAsia="zh-CN"/>
              </w:rPr>
              <w:t>版本自由切换，成为行业首个搭载深度思考智能体的电视品牌。目前，所有搭载智能体的海信电视都已完成升级并全面支持</w:t>
            </w:r>
            <w:r w:rsidRPr="004E110E">
              <w:rPr>
                <w:rFonts w:ascii="Times New Roman" w:hAnsi="Times New Roman" w:cs="Times New Roman"/>
                <w:lang w:eastAsia="zh-CN"/>
              </w:rPr>
              <w:t>DeepSeek</w:t>
            </w:r>
            <w:r w:rsidRPr="004E110E">
              <w:rPr>
                <w:rFonts w:ascii="Times New Roman" w:hAnsi="Times New Roman" w:cs="Times New Roman"/>
                <w:lang w:eastAsia="zh-CN"/>
              </w:rPr>
              <w:t>，即将上市的海信电视</w:t>
            </w:r>
            <w:r w:rsidRPr="004E110E">
              <w:rPr>
                <w:rFonts w:ascii="Times New Roman" w:hAnsi="Times New Roman" w:cs="Times New Roman"/>
                <w:lang w:eastAsia="zh-CN"/>
              </w:rPr>
              <w:t>2025</w:t>
            </w:r>
            <w:r w:rsidRPr="004E110E">
              <w:rPr>
                <w:rFonts w:ascii="Times New Roman" w:hAnsi="Times New Roman" w:cs="Times New Roman"/>
                <w:lang w:eastAsia="zh-CN"/>
              </w:rPr>
              <w:t>年新品也将深度融合</w:t>
            </w:r>
            <w:r w:rsidRPr="004E110E">
              <w:rPr>
                <w:rFonts w:ascii="Times New Roman" w:hAnsi="Times New Roman" w:cs="Times New Roman"/>
                <w:lang w:eastAsia="zh-CN"/>
              </w:rPr>
              <w:t>DeepSeek</w:t>
            </w:r>
            <w:r w:rsidRPr="004E110E">
              <w:rPr>
                <w:rFonts w:ascii="Times New Roman" w:hAnsi="Times New Roman" w:cs="Times New Roman"/>
                <w:lang w:eastAsia="zh-CN"/>
              </w:rPr>
              <w:t>模型能力，升级用户智能交互体验。接入</w:t>
            </w:r>
            <w:r w:rsidRPr="004E110E">
              <w:rPr>
                <w:rFonts w:ascii="Times New Roman" w:hAnsi="Times New Roman" w:cs="Times New Roman"/>
                <w:lang w:eastAsia="zh-CN"/>
              </w:rPr>
              <w:t>DeepSeek</w:t>
            </w:r>
            <w:r w:rsidRPr="004E110E">
              <w:rPr>
                <w:rFonts w:ascii="Times New Roman" w:hAnsi="Times New Roman" w:cs="Times New Roman"/>
                <w:lang w:eastAsia="zh-CN"/>
              </w:rPr>
              <w:t>后，海信电视用户无需复杂的操作步骤，使用海信电视遥控器小聚</w:t>
            </w:r>
            <w:r w:rsidRPr="004E110E">
              <w:rPr>
                <w:rFonts w:ascii="Times New Roman" w:hAnsi="Times New Roman" w:cs="Times New Roman"/>
                <w:lang w:eastAsia="zh-CN"/>
              </w:rPr>
              <w:t>AI</w:t>
            </w:r>
            <w:r w:rsidRPr="004E110E">
              <w:rPr>
                <w:rFonts w:ascii="Times New Roman" w:hAnsi="Times New Roman" w:cs="Times New Roman"/>
                <w:lang w:eastAsia="zh-CN"/>
              </w:rPr>
              <w:t>键或者直接通过语音打开</w:t>
            </w:r>
            <w:r w:rsidRPr="004E110E">
              <w:rPr>
                <w:rFonts w:ascii="Times New Roman" w:hAnsi="Times New Roman" w:cs="Times New Roman"/>
                <w:lang w:eastAsia="zh-CN"/>
              </w:rPr>
              <w:t>DeepSeek</w:t>
            </w:r>
            <w:r w:rsidRPr="004E110E">
              <w:rPr>
                <w:rFonts w:ascii="Times New Roman" w:hAnsi="Times New Roman" w:cs="Times New Roman"/>
                <w:lang w:eastAsia="zh-CN"/>
              </w:rPr>
              <w:t>，在对应的智能体对话页面内，用户通过语音对话即可便捷体验。同时，深度融合</w:t>
            </w:r>
            <w:r w:rsidRPr="004E110E">
              <w:rPr>
                <w:rFonts w:ascii="Times New Roman" w:hAnsi="Times New Roman" w:cs="Times New Roman"/>
                <w:lang w:eastAsia="zh-CN"/>
              </w:rPr>
              <w:t>DeepSeek</w:t>
            </w:r>
            <w:r w:rsidRPr="004E110E">
              <w:rPr>
                <w:rFonts w:ascii="Times New Roman" w:hAnsi="Times New Roman" w:cs="Times New Roman"/>
                <w:lang w:eastAsia="zh-CN"/>
              </w:rPr>
              <w:t>的星海大模型，定位家庭的智慧中枢，已集成了包含</w:t>
            </w:r>
            <w:r w:rsidRPr="004E110E">
              <w:rPr>
                <w:rFonts w:ascii="Times New Roman" w:hAnsi="Times New Roman" w:cs="Times New Roman"/>
                <w:lang w:eastAsia="zh-CN"/>
              </w:rPr>
              <w:t>DeepSeek</w:t>
            </w:r>
            <w:r w:rsidRPr="004E110E">
              <w:rPr>
                <w:rFonts w:ascii="Times New Roman" w:hAnsi="Times New Roman" w:cs="Times New Roman"/>
                <w:lang w:eastAsia="zh-CN"/>
              </w:rPr>
              <w:t>在内的影视、游戏、健身、育儿等</w:t>
            </w:r>
            <w:r w:rsidRPr="004E110E">
              <w:rPr>
                <w:rFonts w:ascii="Times New Roman" w:hAnsi="Times New Roman" w:cs="Times New Roman"/>
                <w:lang w:eastAsia="zh-CN"/>
              </w:rPr>
              <w:t>18</w:t>
            </w:r>
            <w:r w:rsidRPr="004E110E">
              <w:rPr>
                <w:rFonts w:ascii="Times New Roman" w:hAnsi="Times New Roman" w:cs="Times New Roman"/>
                <w:lang w:eastAsia="zh-CN"/>
              </w:rPr>
              <w:t>大智能体，每个都是专家级。</w:t>
            </w:r>
          </w:p>
          <w:p w14:paraId="3C9B8D9E" w14:textId="0FC80BBB" w:rsidR="00F60D2B" w:rsidRPr="004E110E" w:rsidRDefault="00C235CF" w:rsidP="00C80C4A">
            <w:pPr>
              <w:pStyle w:val="TableText"/>
              <w:numPr>
                <w:ilvl w:val="0"/>
                <w:numId w:val="1"/>
              </w:numPr>
              <w:spacing w:beforeLines="50" w:before="120" w:afterLines="50" w:after="120" w:line="360" w:lineRule="auto"/>
              <w:jc w:val="both"/>
              <w:rPr>
                <w:rFonts w:ascii="Times New Roman" w:hAnsi="Times New Roman" w:cs="Times New Roman"/>
                <w:b/>
                <w:lang w:eastAsia="zh-CN"/>
              </w:rPr>
            </w:pPr>
            <w:r w:rsidRPr="004E110E">
              <w:rPr>
                <w:rFonts w:ascii="Times New Roman" w:hAnsi="Times New Roman" w:cs="Times New Roman"/>
                <w:b/>
                <w:lang w:eastAsia="zh-CN"/>
              </w:rPr>
              <w:t>海信在</w:t>
            </w:r>
            <w:r w:rsidRPr="004E110E">
              <w:rPr>
                <w:rFonts w:ascii="Times New Roman" w:hAnsi="Times New Roman" w:cs="Times New Roman"/>
                <w:b/>
                <w:lang w:eastAsia="zh-CN"/>
              </w:rPr>
              <w:t>AI</w:t>
            </w:r>
            <w:r w:rsidRPr="004E110E">
              <w:rPr>
                <w:rFonts w:ascii="Times New Roman" w:hAnsi="Times New Roman" w:cs="Times New Roman"/>
                <w:b/>
                <w:lang w:eastAsia="zh-CN"/>
              </w:rPr>
              <w:t>领域有哪些布局和应用？</w:t>
            </w:r>
          </w:p>
          <w:p w14:paraId="6177E89C" w14:textId="77777777" w:rsidR="00F60D2B" w:rsidRPr="004E110E" w:rsidRDefault="00C235CF">
            <w:pPr>
              <w:pStyle w:val="TableText"/>
              <w:spacing w:beforeLines="50" w:before="120" w:afterLines="50" w:after="120" w:line="360" w:lineRule="auto"/>
              <w:ind w:firstLineChars="200" w:firstLine="480"/>
              <w:jc w:val="both"/>
              <w:rPr>
                <w:rFonts w:ascii="Times New Roman" w:hAnsi="Times New Roman" w:cs="Times New Roman"/>
                <w:lang w:eastAsia="zh-CN"/>
              </w:rPr>
            </w:pPr>
            <w:r w:rsidRPr="004E110E">
              <w:rPr>
                <w:rFonts w:ascii="Times New Roman" w:hAnsi="Times New Roman" w:cs="Times New Roman"/>
                <w:lang w:eastAsia="zh-CN"/>
              </w:rPr>
              <w:t>答：公司在</w:t>
            </w:r>
            <w:r w:rsidRPr="004E110E">
              <w:rPr>
                <w:rFonts w:ascii="Times New Roman" w:hAnsi="Times New Roman" w:cs="Times New Roman"/>
                <w:lang w:eastAsia="zh-CN"/>
              </w:rPr>
              <w:t>AI</w:t>
            </w:r>
            <w:r w:rsidRPr="004E110E">
              <w:rPr>
                <w:rFonts w:ascii="Times New Roman" w:hAnsi="Times New Roman" w:cs="Times New Roman"/>
                <w:lang w:eastAsia="zh-CN"/>
              </w:rPr>
              <w:t>领域的技术布局主要包括</w:t>
            </w:r>
            <w:r w:rsidRPr="004E110E">
              <w:rPr>
                <w:rFonts w:ascii="Times New Roman" w:hAnsi="Times New Roman" w:cs="Times New Roman"/>
                <w:lang w:eastAsia="zh-CN"/>
              </w:rPr>
              <w:t>AI</w:t>
            </w:r>
            <w:r w:rsidRPr="004E110E">
              <w:rPr>
                <w:rFonts w:ascii="Times New Roman" w:hAnsi="Times New Roman" w:cs="Times New Roman"/>
                <w:lang w:eastAsia="zh-CN"/>
              </w:rPr>
              <w:t>芯片、</w:t>
            </w:r>
            <w:r w:rsidRPr="004E110E">
              <w:rPr>
                <w:rFonts w:ascii="Times New Roman" w:hAnsi="Times New Roman" w:cs="Times New Roman"/>
                <w:lang w:eastAsia="zh-CN"/>
              </w:rPr>
              <w:t>AI</w:t>
            </w:r>
            <w:r w:rsidRPr="004E110E">
              <w:rPr>
                <w:rFonts w:ascii="Times New Roman" w:hAnsi="Times New Roman" w:cs="Times New Roman"/>
                <w:lang w:eastAsia="zh-CN"/>
              </w:rPr>
              <w:t>算法、</w:t>
            </w:r>
            <w:r w:rsidRPr="004E110E">
              <w:rPr>
                <w:rFonts w:ascii="Times New Roman" w:hAnsi="Times New Roman" w:cs="Times New Roman"/>
                <w:lang w:eastAsia="zh-CN"/>
              </w:rPr>
              <w:t>AI</w:t>
            </w:r>
            <w:r w:rsidRPr="004E110E">
              <w:rPr>
                <w:rFonts w:ascii="Times New Roman" w:hAnsi="Times New Roman" w:cs="Times New Roman"/>
                <w:lang w:eastAsia="zh-CN"/>
              </w:rPr>
              <w:t>大模型、</w:t>
            </w:r>
            <w:r w:rsidRPr="004E110E">
              <w:rPr>
                <w:rFonts w:ascii="Times New Roman" w:hAnsi="Times New Roman" w:cs="Times New Roman"/>
                <w:lang w:eastAsia="zh-CN"/>
              </w:rPr>
              <w:t>AI</w:t>
            </w:r>
            <w:r w:rsidRPr="004E110E">
              <w:rPr>
                <w:rFonts w:ascii="Times New Roman" w:hAnsi="Times New Roman" w:cs="Times New Roman"/>
                <w:lang w:eastAsia="zh-CN"/>
              </w:rPr>
              <w:t>智能体等。公司新一代</w:t>
            </w:r>
            <w:r w:rsidRPr="004E110E">
              <w:rPr>
                <w:rFonts w:ascii="Times New Roman" w:hAnsi="Times New Roman" w:cs="Times New Roman"/>
                <w:lang w:eastAsia="zh-CN"/>
              </w:rPr>
              <w:t>AI</w:t>
            </w:r>
            <w:r w:rsidRPr="004E110E">
              <w:rPr>
                <w:rFonts w:ascii="Times New Roman" w:hAnsi="Times New Roman" w:cs="Times New Roman"/>
                <w:lang w:eastAsia="zh-CN"/>
              </w:rPr>
              <w:t>画质芯片在今年</w:t>
            </w:r>
            <w:r w:rsidRPr="004E110E">
              <w:rPr>
                <w:rFonts w:ascii="Times New Roman" w:hAnsi="Times New Roman" w:cs="Times New Roman"/>
                <w:lang w:eastAsia="zh-CN"/>
              </w:rPr>
              <w:t>CES</w:t>
            </w:r>
            <w:r w:rsidRPr="004E110E">
              <w:rPr>
                <w:rFonts w:ascii="Times New Roman" w:hAnsi="Times New Roman" w:cs="Times New Roman"/>
                <w:lang w:eastAsia="zh-CN"/>
              </w:rPr>
              <w:t>展会亮相，通过</w:t>
            </w:r>
            <w:r w:rsidRPr="004E110E">
              <w:rPr>
                <w:rFonts w:ascii="Times New Roman" w:hAnsi="Times New Roman" w:cs="Times New Roman"/>
                <w:lang w:eastAsia="zh-CN"/>
              </w:rPr>
              <w:t>AI</w:t>
            </w:r>
            <w:r w:rsidRPr="004E110E">
              <w:rPr>
                <w:rFonts w:ascii="Times New Roman" w:hAnsi="Times New Roman" w:cs="Times New Roman"/>
                <w:lang w:eastAsia="zh-CN"/>
              </w:rPr>
              <w:t>与画质算法的深度融合，实现了全方位的画质提升。海信自主研发星海大模型，数据基础扎实，支持语言交互、多模态处理等。在</w:t>
            </w:r>
            <w:r w:rsidRPr="004E110E">
              <w:rPr>
                <w:rFonts w:ascii="Times New Roman" w:hAnsi="Times New Roman" w:cs="Times New Roman"/>
                <w:lang w:eastAsia="zh-CN"/>
              </w:rPr>
              <w:t>AI</w:t>
            </w:r>
            <w:r w:rsidRPr="004E110E">
              <w:rPr>
                <w:rFonts w:ascii="Times New Roman" w:hAnsi="Times New Roman" w:cs="Times New Roman"/>
                <w:lang w:eastAsia="zh-CN"/>
              </w:rPr>
              <w:t>的场景应用方面，主要围绕</w:t>
            </w:r>
            <w:r w:rsidRPr="004E110E">
              <w:rPr>
                <w:rFonts w:ascii="Times New Roman" w:hAnsi="Times New Roman" w:cs="Times New Roman"/>
                <w:lang w:eastAsia="zh-CN"/>
              </w:rPr>
              <w:t>AI</w:t>
            </w:r>
            <w:r w:rsidRPr="004E110E">
              <w:rPr>
                <w:rFonts w:ascii="Times New Roman" w:hAnsi="Times New Roman" w:cs="Times New Roman"/>
                <w:lang w:eastAsia="zh-CN"/>
              </w:rPr>
              <w:t>交互、</w:t>
            </w:r>
            <w:r w:rsidRPr="004E110E">
              <w:rPr>
                <w:rFonts w:ascii="Times New Roman" w:hAnsi="Times New Roman" w:cs="Times New Roman"/>
                <w:lang w:eastAsia="zh-CN"/>
              </w:rPr>
              <w:t>AI</w:t>
            </w:r>
            <w:r w:rsidRPr="004E110E">
              <w:rPr>
                <w:rFonts w:ascii="Times New Roman" w:hAnsi="Times New Roman" w:cs="Times New Roman"/>
                <w:lang w:eastAsia="zh-CN"/>
              </w:rPr>
              <w:t>服务、</w:t>
            </w:r>
            <w:r w:rsidRPr="004E110E">
              <w:rPr>
                <w:rFonts w:ascii="Times New Roman" w:hAnsi="Times New Roman" w:cs="Times New Roman"/>
                <w:lang w:eastAsia="zh-CN"/>
              </w:rPr>
              <w:t>AI</w:t>
            </w:r>
            <w:r w:rsidRPr="004E110E">
              <w:rPr>
                <w:rFonts w:ascii="Times New Roman" w:hAnsi="Times New Roman" w:cs="Times New Roman"/>
                <w:lang w:eastAsia="zh-CN"/>
              </w:rPr>
              <w:t>画质、</w:t>
            </w:r>
            <w:r w:rsidRPr="004E110E">
              <w:rPr>
                <w:rFonts w:ascii="Times New Roman" w:hAnsi="Times New Roman" w:cs="Times New Roman"/>
                <w:lang w:eastAsia="zh-CN"/>
              </w:rPr>
              <w:t>AI</w:t>
            </w:r>
            <w:r w:rsidRPr="004E110E">
              <w:rPr>
                <w:rFonts w:ascii="Times New Roman" w:hAnsi="Times New Roman" w:cs="Times New Roman"/>
                <w:lang w:eastAsia="zh-CN"/>
              </w:rPr>
              <w:t>音质等。</w:t>
            </w:r>
            <w:r w:rsidRPr="004E110E">
              <w:rPr>
                <w:rFonts w:ascii="Times New Roman" w:hAnsi="Times New Roman" w:cs="Times New Roman"/>
                <w:lang w:eastAsia="zh-CN"/>
              </w:rPr>
              <w:t>AI</w:t>
            </w:r>
            <w:r w:rsidRPr="004E110E">
              <w:rPr>
                <w:rFonts w:ascii="Times New Roman" w:hAnsi="Times New Roman" w:cs="Times New Roman"/>
                <w:lang w:eastAsia="zh-CN"/>
              </w:rPr>
              <w:t>交互包括语音交互、图像交互等，支持</w:t>
            </w:r>
            <w:r w:rsidRPr="004E110E">
              <w:rPr>
                <w:rFonts w:ascii="Times New Roman" w:hAnsi="Times New Roman" w:cs="Times New Roman"/>
                <w:lang w:eastAsia="zh-CN"/>
              </w:rPr>
              <w:t>100+</w:t>
            </w:r>
            <w:r w:rsidRPr="004E110E">
              <w:rPr>
                <w:rFonts w:ascii="Times New Roman" w:hAnsi="Times New Roman" w:cs="Times New Roman"/>
                <w:lang w:eastAsia="zh-CN"/>
              </w:rPr>
              <w:t>技能、多轮对话、影视搜索、周边服务、问答聊天、屏幕人物识别和影视推荐等。同时围绕观影、体育、游戏、教育等用户场景，开发</w:t>
            </w:r>
            <w:r w:rsidRPr="004E110E">
              <w:rPr>
                <w:rFonts w:ascii="Times New Roman" w:hAnsi="Times New Roman" w:cs="Times New Roman"/>
                <w:lang w:eastAsia="zh-CN"/>
              </w:rPr>
              <w:t>AI</w:t>
            </w:r>
            <w:r w:rsidRPr="004E110E">
              <w:rPr>
                <w:rFonts w:ascii="Times New Roman" w:hAnsi="Times New Roman" w:cs="Times New Roman"/>
                <w:lang w:eastAsia="zh-CN"/>
              </w:rPr>
              <w:t>智能体，提供</w:t>
            </w:r>
            <w:r w:rsidRPr="004E110E">
              <w:rPr>
                <w:rFonts w:ascii="Times New Roman" w:hAnsi="Times New Roman" w:cs="Times New Roman"/>
                <w:lang w:eastAsia="zh-CN"/>
              </w:rPr>
              <w:t>AI</w:t>
            </w:r>
            <w:r w:rsidRPr="004E110E">
              <w:rPr>
                <w:rFonts w:ascii="Times New Roman" w:hAnsi="Times New Roman" w:cs="Times New Roman"/>
                <w:lang w:eastAsia="zh-CN"/>
              </w:rPr>
              <w:t>服务。此外，公司第一时间接入</w:t>
            </w:r>
            <w:r w:rsidRPr="004E110E">
              <w:rPr>
                <w:rFonts w:ascii="Times New Roman" w:hAnsi="Times New Roman" w:cs="Times New Roman"/>
                <w:lang w:eastAsia="zh-CN"/>
              </w:rPr>
              <w:t>Deepseek</w:t>
            </w:r>
            <w:r w:rsidRPr="004E110E">
              <w:rPr>
                <w:rFonts w:ascii="Times New Roman" w:hAnsi="Times New Roman" w:cs="Times New Roman"/>
                <w:lang w:eastAsia="zh-CN"/>
              </w:rPr>
              <w:t>，全面强化</w:t>
            </w:r>
            <w:r w:rsidRPr="004E110E">
              <w:rPr>
                <w:rFonts w:ascii="Times New Roman" w:hAnsi="Times New Roman" w:cs="Times New Roman"/>
                <w:lang w:eastAsia="zh-CN"/>
              </w:rPr>
              <w:t>AI</w:t>
            </w:r>
            <w:r w:rsidRPr="004E110E">
              <w:rPr>
                <w:rFonts w:ascii="Times New Roman" w:hAnsi="Times New Roman" w:cs="Times New Roman"/>
                <w:lang w:eastAsia="zh-CN"/>
              </w:rPr>
              <w:t>相关能力，在产品技术、在内部经营提效等方面都发挥作用。</w:t>
            </w:r>
          </w:p>
          <w:p w14:paraId="08DDC225" w14:textId="0876BEA2" w:rsidR="00F60D2B" w:rsidRPr="004E110E" w:rsidRDefault="00C235CF" w:rsidP="00C80C4A">
            <w:pPr>
              <w:pStyle w:val="TableText"/>
              <w:numPr>
                <w:ilvl w:val="0"/>
                <w:numId w:val="1"/>
              </w:numPr>
              <w:spacing w:beforeLines="50" w:before="120" w:afterLines="50" w:after="120" w:line="360" w:lineRule="auto"/>
              <w:jc w:val="both"/>
              <w:rPr>
                <w:rFonts w:ascii="Times New Roman" w:hAnsi="Times New Roman" w:cs="Times New Roman"/>
                <w:b/>
                <w:lang w:eastAsia="zh-CN"/>
              </w:rPr>
            </w:pPr>
            <w:r w:rsidRPr="004E110E">
              <w:rPr>
                <w:rFonts w:ascii="Times New Roman" w:hAnsi="Times New Roman" w:cs="Times New Roman"/>
                <w:b/>
                <w:lang w:eastAsia="zh-CN"/>
              </w:rPr>
              <w:t>公司跟</w:t>
            </w:r>
            <w:r w:rsidRPr="004E110E">
              <w:rPr>
                <w:rFonts w:ascii="Times New Roman" w:hAnsi="Times New Roman" w:cs="Times New Roman"/>
                <w:lang w:eastAsia="zh-CN"/>
              </w:rPr>
              <w:t>XREAL</w:t>
            </w:r>
            <w:r w:rsidRPr="004E110E">
              <w:rPr>
                <w:rFonts w:ascii="Times New Roman" w:hAnsi="Times New Roman" w:cs="Times New Roman"/>
                <w:b/>
                <w:lang w:eastAsia="zh-CN"/>
              </w:rPr>
              <w:t>合作开发</w:t>
            </w:r>
            <w:r w:rsidRPr="004E110E">
              <w:rPr>
                <w:rFonts w:ascii="Times New Roman" w:hAnsi="Times New Roman" w:cs="Times New Roman"/>
                <w:lang w:eastAsia="zh-CN"/>
              </w:rPr>
              <w:t>AI</w:t>
            </w:r>
            <w:r w:rsidRPr="004E110E">
              <w:rPr>
                <w:rFonts w:ascii="Times New Roman" w:hAnsi="Times New Roman" w:cs="Times New Roman"/>
                <w:b/>
                <w:lang w:eastAsia="zh-CN"/>
              </w:rPr>
              <w:t>眼镜无疑是强强联合，能否介绍下具体合作方向及双方技术储备？</w:t>
            </w:r>
          </w:p>
          <w:p w14:paraId="6D79373B" w14:textId="704C80E5" w:rsidR="00F60D2B" w:rsidRPr="004E110E" w:rsidRDefault="00C235CF">
            <w:pPr>
              <w:pStyle w:val="TableText"/>
              <w:spacing w:beforeLines="50" w:before="120" w:afterLines="50" w:after="120" w:line="360" w:lineRule="auto"/>
              <w:ind w:firstLineChars="200" w:firstLine="480"/>
              <w:jc w:val="both"/>
              <w:rPr>
                <w:rFonts w:ascii="Times New Roman" w:hAnsi="Times New Roman" w:cs="Times New Roman"/>
                <w:lang w:eastAsia="zh-CN"/>
              </w:rPr>
            </w:pPr>
            <w:r w:rsidRPr="004E110E">
              <w:rPr>
                <w:rFonts w:ascii="Times New Roman" w:hAnsi="Times New Roman" w:cs="Times New Roman"/>
                <w:lang w:eastAsia="zh-CN"/>
              </w:rPr>
              <w:t>答：公司于</w:t>
            </w:r>
            <w:r w:rsidRPr="004E110E">
              <w:rPr>
                <w:rFonts w:ascii="Times New Roman" w:hAnsi="Times New Roman" w:cs="Times New Roman"/>
                <w:lang w:eastAsia="zh-CN"/>
              </w:rPr>
              <w:t>2</w:t>
            </w:r>
            <w:r w:rsidRPr="004E110E">
              <w:rPr>
                <w:rFonts w:ascii="Times New Roman" w:hAnsi="Times New Roman" w:cs="Times New Roman"/>
                <w:lang w:eastAsia="zh-CN"/>
              </w:rPr>
              <w:t>月</w:t>
            </w:r>
            <w:r w:rsidRPr="004E110E">
              <w:rPr>
                <w:rFonts w:ascii="Times New Roman" w:hAnsi="Times New Roman" w:cs="Times New Roman"/>
                <w:lang w:eastAsia="zh-CN"/>
              </w:rPr>
              <w:t>25</w:t>
            </w:r>
            <w:r w:rsidRPr="004E110E">
              <w:rPr>
                <w:rFonts w:ascii="Times New Roman" w:hAnsi="Times New Roman" w:cs="Times New Roman"/>
                <w:lang w:eastAsia="zh-CN"/>
              </w:rPr>
              <w:t>日与行业领军企业</w:t>
            </w:r>
            <w:r w:rsidRPr="004E110E">
              <w:rPr>
                <w:rFonts w:ascii="Times New Roman" w:hAnsi="Times New Roman" w:cs="Times New Roman"/>
                <w:lang w:eastAsia="zh-CN"/>
              </w:rPr>
              <w:t>XREAL</w:t>
            </w:r>
            <w:r w:rsidRPr="004E110E">
              <w:rPr>
                <w:rFonts w:ascii="Times New Roman" w:hAnsi="Times New Roman" w:cs="Times New Roman"/>
                <w:lang w:eastAsia="zh-CN"/>
              </w:rPr>
              <w:t>达成深度战略合作，合作方向涵盖了产品研发、光学显示、空间计算、智能图像、</w:t>
            </w:r>
            <w:r w:rsidRPr="004E110E">
              <w:rPr>
                <w:rFonts w:ascii="Times New Roman" w:hAnsi="Times New Roman" w:cs="Times New Roman"/>
                <w:lang w:eastAsia="zh-CN"/>
              </w:rPr>
              <w:t>AI</w:t>
            </w:r>
            <w:r w:rsidRPr="004E110E">
              <w:rPr>
                <w:rFonts w:ascii="Times New Roman" w:hAnsi="Times New Roman" w:cs="Times New Roman"/>
                <w:lang w:eastAsia="zh-CN"/>
              </w:rPr>
              <w:t>大模型和全球销售等多个方面。此次合作开创了显示产业龙头与</w:t>
            </w:r>
            <w:r w:rsidRPr="004E110E">
              <w:rPr>
                <w:rFonts w:ascii="Times New Roman" w:hAnsi="Times New Roman" w:cs="Times New Roman"/>
                <w:lang w:eastAsia="zh-CN"/>
              </w:rPr>
              <w:t>AR</w:t>
            </w:r>
            <w:r w:rsidRPr="004E110E">
              <w:rPr>
                <w:rFonts w:ascii="Times New Roman" w:hAnsi="Times New Roman" w:cs="Times New Roman"/>
                <w:lang w:eastAsia="zh-CN"/>
              </w:rPr>
              <w:t>行业领军者的全产业链协同范式，将重塑全球</w:t>
            </w:r>
            <w:r w:rsidRPr="004E110E">
              <w:rPr>
                <w:rFonts w:ascii="Times New Roman" w:hAnsi="Times New Roman" w:cs="Times New Roman"/>
                <w:lang w:eastAsia="zh-CN"/>
              </w:rPr>
              <w:t>AR/AI</w:t>
            </w:r>
            <w:r w:rsidRPr="004E110E">
              <w:rPr>
                <w:rFonts w:ascii="Times New Roman" w:hAnsi="Times New Roman" w:cs="Times New Roman"/>
                <w:lang w:eastAsia="zh-CN"/>
              </w:rPr>
              <w:t>眼镜产业竞争新格局。双方联合研发的首款</w:t>
            </w:r>
            <w:r w:rsidRPr="004E110E">
              <w:rPr>
                <w:rFonts w:ascii="Times New Roman" w:hAnsi="Times New Roman" w:cs="Times New Roman"/>
                <w:lang w:eastAsia="zh-CN"/>
              </w:rPr>
              <w:t>AR</w:t>
            </w:r>
            <w:r w:rsidRPr="004E110E">
              <w:rPr>
                <w:rFonts w:ascii="Times New Roman" w:hAnsi="Times New Roman" w:cs="Times New Roman"/>
                <w:lang w:eastAsia="zh-CN"/>
              </w:rPr>
              <w:t>高端观影产品将于今年下半年发布，</w:t>
            </w:r>
            <w:r w:rsidRPr="004E110E">
              <w:rPr>
                <w:rFonts w:ascii="Times New Roman" w:hAnsi="Times New Roman" w:cs="Times New Roman"/>
                <w:lang w:eastAsia="zh-CN"/>
              </w:rPr>
              <w:t>AI</w:t>
            </w:r>
            <w:r w:rsidRPr="004E110E">
              <w:rPr>
                <w:rFonts w:ascii="Times New Roman" w:hAnsi="Times New Roman" w:cs="Times New Roman"/>
                <w:lang w:eastAsia="zh-CN"/>
              </w:rPr>
              <w:t>技术的深度赋能成为关键支点。</w:t>
            </w:r>
          </w:p>
          <w:p w14:paraId="3EF0A2F4" w14:textId="77777777" w:rsidR="00F60D2B" w:rsidRPr="004E110E" w:rsidRDefault="00C235CF">
            <w:pPr>
              <w:pStyle w:val="TableText"/>
              <w:spacing w:beforeLines="50" w:before="120" w:afterLines="50" w:after="120" w:line="360" w:lineRule="auto"/>
              <w:ind w:firstLineChars="200" w:firstLine="480"/>
              <w:jc w:val="both"/>
              <w:rPr>
                <w:rFonts w:ascii="Times New Roman" w:hAnsi="Times New Roman" w:cs="Times New Roman"/>
                <w:lang w:eastAsia="zh-CN"/>
              </w:rPr>
            </w:pPr>
            <w:r w:rsidRPr="004E110E">
              <w:rPr>
                <w:rFonts w:ascii="Times New Roman" w:hAnsi="Times New Roman" w:cs="Times New Roman"/>
                <w:lang w:eastAsia="zh-CN"/>
              </w:rPr>
              <w:t>公司作为中国第一世界第二的电视品牌，聚焦家庭、商用、车载</w:t>
            </w:r>
            <w:r w:rsidRPr="004E110E">
              <w:rPr>
                <w:rFonts w:ascii="Times New Roman" w:hAnsi="Times New Roman" w:cs="Times New Roman"/>
                <w:lang w:eastAsia="zh-CN"/>
              </w:rPr>
              <w:t>3</w:t>
            </w:r>
            <w:r w:rsidRPr="004E110E">
              <w:rPr>
                <w:rFonts w:ascii="Times New Roman" w:hAnsi="Times New Roman" w:cs="Times New Roman"/>
                <w:lang w:eastAsia="zh-CN"/>
              </w:rPr>
              <w:t>大场景，锚定激光显示、</w:t>
            </w:r>
            <w:r w:rsidRPr="004E110E">
              <w:rPr>
                <w:rFonts w:ascii="Times New Roman" w:hAnsi="Times New Roman" w:cs="Times New Roman"/>
                <w:lang w:eastAsia="zh-CN"/>
              </w:rPr>
              <w:t>LCD</w:t>
            </w:r>
            <w:r w:rsidRPr="004E110E">
              <w:rPr>
                <w:rFonts w:ascii="Times New Roman" w:hAnsi="Times New Roman" w:cs="Times New Roman"/>
                <w:lang w:eastAsia="zh-CN"/>
              </w:rPr>
              <w:t>、</w:t>
            </w:r>
            <w:r w:rsidRPr="004E110E">
              <w:rPr>
                <w:rFonts w:ascii="Times New Roman" w:hAnsi="Times New Roman" w:cs="Times New Roman"/>
                <w:lang w:eastAsia="zh-CN"/>
              </w:rPr>
              <w:t>LED</w:t>
            </w:r>
            <w:r w:rsidRPr="004E110E">
              <w:rPr>
                <w:rFonts w:ascii="Times New Roman" w:hAnsi="Times New Roman" w:cs="Times New Roman"/>
                <w:lang w:eastAsia="zh-CN"/>
              </w:rPr>
              <w:t>、云服务、芯片、</w:t>
            </w:r>
            <w:r w:rsidRPr="004E110E">
              <w:rPr>
                <w:rFonts w:ascii="Times New Roman" w:hAnsi="Times New Roman" w:cs="Times New Roman"/>
                <w:lang w:eastAsia="zh-CN"/>
              </w:rPr>
              <w:t>AR/VR</w:t>
            </w:r>
            <w:r w:rsidRPr="004E110E">
              <w:rPr>
                <w:rFonts w:ascii="Times New Roman" w:hAnsi="Times New Roman" w:cs="Times New Roman"/>
                <w:lang w:eastAsia="zh-CN"/>
              </w:rPr>
              <w:t>六大产业，通过持续的技术创新升级，为全球用户提供一流的多场景系统显示解决方案。从</w:t>
            </w:r>
            <w:r w:rsidRPr="004E110E">
              <w:rPr>
                <w:rFonts w:ascii="Times New Roman" w:hAnsi="Times New Roman" w:cs="Times New Roman"/>
                <w:lang w:eastAsia="zh-CN"/>
              </w:rPr>
              <w:t>2020</w:t>
            </w:r>
            <w:r w:rsidRPr="004E110E">
              <w:rPr>
                <w:rFonts w:ascii="Times New Roman" w:hAnsi="Times New Roman" w:cs="Times New Roman"/>
                <w:lang w:eastAsia="zh-CN"/>
              </w:rPr>
              <w:t>年起，公司开始启动</w:t>
            </w:r>
            <w:r w:rsidRPr="004E110E">
              <w:rPr>
                <w:rFonts w:ascii="Times New Roman" w:hAnsi="Times New Roman" w:cs="Times New Roman"/>
                <w:lang w:eastAsia="zh-CN"/>
              </w:rPr>
              <w:t>AR/VR</w:t>
            </w:r>
            <w:r w:rsidRPr="004E110E">
              <w:rPr>
                <w:rFonts w:ascii="Times New Roman" w:hAnsi="Times New Roman" w:cs="Times New Roman"/>
                <w:lang w:eastAsia="zh-CN"/>
              </w:rPr>
              <w:t>产品开发，面向工业、教育、医疗等多个行业用户，通过技术攻关，先后推出</w:t>
            </w:r>
            <w:r w:rsidRPr="004E110E">
              <w:rPr>
                <w:rFonts w:ascii="Times New Roman" w:hAnsi="Times New Roman" w:cs="Times New Roman"/>
                <w:lang w:eastAsia="zh-CN"/>
              </w:rPr>
              <w:t>VR</w:t>
            </w:r>
            <w:r w:rsidRPr="004E110E">
              <w:rPr>
                <w:rFonts w:ascii="Times New Roman" w:hAnsi="Times New Roman" w:cs="Times New Roman"/>
                <w:lang w:eastAsia="zh-CN"/>
              </w:rPr>
              <w:t>一体机、</w:t>
            </w:r>
            <w:r w:rsidRPr="004E110E">
              <w:rPr>
                <w:rFonts w:ascii="Times New Roman" w:hAnsi="Times New Roman" w:cs="Times New Roman"/>
                <w:lang w:eastAsia="zh-CN"/>
              </w:rPr>
              <w:t>AR</w:t>
            </w:r>
            <w:r w:rsidRPr="004E110E">
              <w:rPr>
                <w:rFonts w:ascii="Times New Roman" w:hAnsi="Times New Roman" w:cs="Times New Roman"/>
                <w:lang w:eastAsia="zh-CN"/>
              </w:rPr>
              <w:t>眼镜、工业实训平台、</w:t>
            </w:r>
            <w:r w:rsidRPr="004E110E">
              <w:rPr>
                <w:rFonts w:ascii="Times New Roman" w:hAnsi="Times New Roman" w:cs="Times New Roman"/>
                <w:lang w:eastAsia="zh-CN"/>
              </w:rPr>
              <w:t>AI</w:t>
            </w:r>
            <w:r w:rsidRPr="004E110E">
              <w:rPr>
                <w:rFonts w:ascii="Times New Roman" w:hAnsi="Times New Roman" w:cs="Times New Roman"/>
                <w:lang w:eastAsia="zh-CN"/>
              </w:rPr>
              <w:t>拍照眼镜等多款产品和解决方案。截至</w:t>
            </w:r>
            <w:r w:rsidRPr="004E110E">
              <w:rPr>
                <w:rFonts w:ascii="Times New Roman" w:hAnsi="Times New Roman" w:cs="Times New Roman"/>
                <w:lang w:eastAsia="zh-CN"/>
              </w:rPr>
              <w:t>2024</w:t>
            </w:r>
            <w:r w:rsidRPr="004E110E">
              <w:rPr>
                <w:rFonts w:ascii="Times New Roman" w:hAnsi="Times New Roman" w:cs="Times New Roman"/>
                <w:lang w:eastAsia="zh-CN"/>
              </w:rPr>
              <w:t>年底，海信在虚拟现实领域累计申请超过</w:t>
            </w:r>
            <w:r w:rsidRPr="004E110E">
              <w:rPr>
                <w:rFonts w:ascii="Times New Roman" w:hAnsi="Times New Roman" w:cs="Times New Roman"/>
                <w:lang w:eastAsia="zh-CN"/>
              </w:rPr>
              <w:t>280</w:t>
            </w:r>
            <w:r w:rsidRPr="004E110E">
              <w:rPr>
                <w:rFonts w:ascii="Times New Roman" w:hAnsi="Times New Roman" w:cs="Times New Roman"/>
                <w:lang w:eastAsia="zh-CN"/>
              </w:rPr>
              <w:t>项专利，主导制订国家标准和国际标准各</w:t>
            </w:r>
            <w:r w:rsidRPr="004E110E">
              <w:rPr>
                <w:rFonts w:ascii="Times New Roman" w:hAnsi="Times New Roman" w:cs="Times New Roman"/>
                <w:lang w:eastAsia="zh-CN"/>
              </w:rPr>
              <w:t>1</w:t>
            </w:r>
            <w:r w:rsidRPr="004E110E">
              <w:rPr>
                <w:rFonts w:ascii="Times New Roman" w:hAnsi="Times New Roman" w:cs="Times New Roman"/>
                <w:lang w:eastAsia="zh-CN"/>
              </w:rPr>
              <w:t>项，团体标准三项以上。</w:t>
            </w:r>
          </w:p>
          <w:p w14:paraId="3A3E0925" w14:textId="77777777" w:rsidR="00F60D2B" w:rsidRPr="004E110E" w:rsidRDefault="00C235CF">
            <w:pPr>
              <w:pStyle w:val="TableText"/>
              <w:spacing w:beforeLines="50" w:before="120" w:afterLines="50" w:after="120" w:line="360" w:lineRule="auto"/>
              <w:ind w:firstLineChars="200" w:firstLine="480"/>
              <w:jc w:val="both"/>
              <w:rPr>
                <w:rFonts w:ascii="Times New Roman" w:hAnsi="Times New Roman" w:cs="Times New Roman"/>
                <w:lang w:eastAsia="zh-CN"/>
              </w:rPr>
            </w:pPr>
            <w:r w:rsidRPr="004E110E">
              <w:rPr>
                <w:rFonts w:ascii="Times New Roman" w:hAnsi="Times New Roman" w:cs="Times New Roman"/>
                <w:lang w:eastAsia="zh-CN"/>
              </w:rPr>
              <w:t>XREAL</w:t>
            </w:r>
            <w:r w:rsidRPr="004E110E">
              <w:rPr>
                <w:rFonts w:ascii="Times New Roman" w:hAnsi="Times New Roman" w:cs="Times New Roman"/>
                <w:lang w:eastAsia="zh-CN"/>
              </w:rPr>
              <w:t>作为全球顶尖的</w:t>
            </w:r>
            <w:r w:rsidRPr="004E110E">
              <w:rPr>
                <w:rFonts w:ascii="Times New Roman" w:hAnsi="Times New Roman" w:cs="Times New Roman"/>
                <w:lang w:eastAsia="zh-CN"/>
              </w:rPr>
              <w:t>AR</w:t>
            </w:r>
            <w:r w:rsidRPr="004E110E">
              <w:rPr>
                <w:rFonts w:ascii="Times New Roman" w:hAnsi="Times New Roman" w:cs="Times New Roman"/>
                <w:lang w:eastAsia="zh-CN"/>
              </w:rPr>
              <w:t>科技公司，始终站在科技创新的最前沿，通过革命性技术突破产业边界。其自主研发的</w:t>
            </w:r>
            <w:r w:rsidRPr="004E110E">
              <w:rPr>
                <w:rFonts w:ascii="Times New Roman" w:hAnsi="Times New Roman" w:cs="Times New Roman"/>
                <w:lang w:eastAsia="zh-CN"/>
              </w:rPr>
              <w:t>X1</w:t>
            </w:r>
            <w:r w:rsidRPr="004E110E">
              <w:rPr>
                <w:rFonts w:ascii="Times New Roman" w:hAnsi="Times New Roman" w:cs="Times New Roman"/>
                <w:lang w:eastAsia="zh-CN"/>
              </w:rPr>
              <w:t>空间计算芯片开创行业先河，原生</w:t>
            </w:r>
            <w:r w:rsidRPr="004E110E">
              <w:rPr>
                <w:rFonts w:ascii="Times New Roman" w:hAnsi="Times New Roman" w:cs="Times New Roman"/>
                <w:lang w:eastAsia="zh-CN"/>
              </w:rPr>
              <w:t>3DoF</w:t>
            </w:r>
            <w:r w:rsidRPr="004E110E">
              <w:rPr>
                <w:rFonts w:ascii="Times New Roman" w:hAnsi="Times New Roman" w:cs="Times New Roman"/>
                <w:lang w:eastAsia="zh-CN"/>
              </w:rPr>
              <w:t>能力刷新行业产品体验天花板。</w:t>
            </w:r>
            <w:r w:rsidRPr="004E110E">
              <w:rPr>
                <w:rFonts w:ascii="Times New Roman" w:hAnsi="Times New Roman" w:cs="Times New Roman"/>
                <w:lang w:eastAsia="zh-CN"/>
              </w:rPr>
              <w:t>XREAL</w:t>
            </w:r>
            <w:r w:rsidRPr="004E110E">
              <w:rPr>
                <w:rFonts w:ascii="Times New Roman" w:hAnsi="Times New Roman" w:cs="Times New Roman"/>
                <w:lang w:eastAsia="zh-CN"/>
              </w:rPr>
              <w:t>也是目前全球唯一一家可以实现核心零部件光学引擎自研自产的公司。根据</w:t>
            </w:r>
            <w:r w:rsidRPr="004E110E">
              <w:rPr>
                <w:rFonts w:ascii="Times New Roman" w:hAnsi="Times New Roman" w:cs="Times New Roman"/>
                <w:lang w:eastAsia="zh-CN"/>
              </w:rPr>
              <w:t>IDC</w:t>
            </w:r>
            <w:r w:rsidRPr="004E110E">
              <w:rPr>
                <w:rFonts w:ascii="Times New Roman" w:hAnsi="Times New Roman" w:cs="Times New Roman"/>
                <w:lang w:eastAsia="zh-CN"/>
              </w:rPr>
              <w:t>数据，</w:t>
            </w:r>
            <w:r w:rsidRPr="004E110E">
              <w:rPr>
                <w:rFonts w:ascii="Times New Roman" w:hAnsi="Times New Roman" w:cs="Times New Roman"/>
                <w:lang w:eastAsia="zh-CN"/>
              </w:rPr>
              <w:t>XREAL</w:t>
            </w:r>
            <w:r w:rsidRPr="004E110E">
              <w:rPr>
                <w:rFonts w:ascii="Times New Roman" w:hAnsi="Times New Roman" w:cs="Times New Roman"/>
                <w:lang w:eastAsia="zh-CN"/>
              </w:rPr>
              <w:t>在</w:t>
            </w:r>
            <w:r w:rsidRPr="004E110E">
              <w:rPr>
                <w:rFonts w:ascii="Times New Roman" w:hAnsi="Times New Roman" w:cs="Times New Roman"/>
                <w:lang w:eastAsia="zh-CN"/>
              </w:rPr>
              <w:t>2024</w:t>
            </w:r>
            <w:r w:rsidRPr="004E110E">
              <w:rPr>
                <w:rFonts w:ascii="Times New Roman" w:hAnsi="Times New Roman" w:cs="Times New Roman"/>
                <w:lang w:eastAsia="zh-CN"/>
              </w:rPr>
              <w:t>年上半年占据市场</w:t>
            </w:r>
            <w:r w:rsidRPr="004E110E">
              <w:rPr>
                <w:rFonts w:ascii="Times New Roman" w:hAnsi="Times New Roman" w:cs="Times New Roman"/>
                <w:lang w:eastAsia="zh-CN"/>
              </w:rPr>
              <w:t>47.2%</w:t>
            </w:r>
            <w:r w:rsidRPr="004E110E">
              <w:rPr>
                <w:rFonts w:ascii="Times New Roman" w:hAnsi="Times New Roman" w:cs="Times New Roman"/>
                <w:lang w:eastAsia="zh-CN"/>
              </w:rPr>
              <w:t>的份额，在全球市场保持绝对的领先优势，并连续三年蝉联</w:t>
            </w:r>
            <w:r w:rsidRPr="004E110E">
              <w:rPr>
                <w:rFonts w:ascii="Times New Roman" w:hAnsi="Times New Roman" w:cs="Times New Roman"/>
                <w:lang w:eastAsia="zh-CN"/>
              </w:rPr>
              <w:t>AR</w:t>
            </w:r>
            <w:r w:rsidRPr="004E110E">
              <w:rPr>
                <w:rFonts w:ascii="Times New Roman" w:hAnsi="Times New Roman" w:cs="Times New Roman"/>
                <w:lang w:eastAsia="zh-CN"/>
              </w:rPr>
              <w:t>品类销量冠军。</w:t>
            </w:r>
          </w:p>
        </w:tc>
      </w:tr>
    </w:tbl>
    <w:p w14:paraId="49762EC5" w14:textId="77777777" w:rsidR="00F60D2B" w:rsidRPr="004E110E" w:rsidRDefault="00F60D2B">
      <w:pPr>
        <w:rPr>
          <w:rFonts w:ascii="Times New Roman" w:hAnsi="Times New Roman" w:cs="Times New Roman"/>
          <w:lang w:eastAsia="zh-CN"/>
        </w:rPr>
      </w:pPr>
    </w:p>
    <w:sectPr w:rsidR="00F60D2B" w:rsidRPr="004E110E">
      <w:pgSz w:w="11907" w:h="16839"/>
      <w:pgMar w:top="737" w:right="1694" w:bottom="737" w:left="169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D2DC" w14:textId="77777777" w:rsidR="00365786" w:rsidRDefault="00365786" w:rsidP="00B54DEB">
      <w:r>
        <w:separator/>
      </w:r>
    </w:p>
  </w:endnote>
  <w:endnote w:type="continuationSeparator" w:id="0">
    <w:p w14:paraId="65CEF36E" w14:textId="77777777" w:rsidR="00365786" w:rsidRDefault="00365786" w:rsidP="00B5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AC5A4" w14:textId="77777777" w:rsidR="00365786" w:rsidRDefault="00365786" w:rsidP="00B54DEB">
      <w:r>
        <w:separator/>
      </w:r>
    </w:p>
  </w:footnote>
  <w:footnote w:type="continuationSeparator" w:id="0">
    <w:p w14:paraId="0A1B0368" w14:textId="77777777" w:rsidR="00365786" w:rsidRDefault="00365786" w:rsidP="00B54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53066"/>
    <w:multiLevelType w:val="hybridMultilevel"/>
    <w:tmpl w:val="E5C42DAE"/>
    <w:lvl w:ilvl="0" w:tplc="F09897F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7"/>
    <w:rsid w:val="CFFA9BEF"/>
    <w:rsid w:val="DFDBE67B"/>
    <w:rsid w:val="F5A7D12F"/>
    <w:rsid w:val="FFDF8FA6"/>
    <w:rsid w:val="FFEFFB37"/>
    <w:rsid w:val="00013270"/>
    <w:rsid w:val="000258DA"/>
    <w:rsid w:val="00026A3C"/>
    <w:rsid w:val="00027473"/>
    <w:rsid w:val="000433B0"/>
    <w:rsid w:val="000566D4"/>
    <w:rsid w:val="00063A98"/>
    <w:rsid w:val="000648F2"/>
    <w:rsid w:val="000720F6"/>
    <w:rsid w:val="000878B0"/>
    <w:rsid w:val="00096328"/>
    <w:rsid w:val="000A12D3"/>
    <w:rsid w:val="000B5B1D"/>
    <w:rsid w:val="000C4CE2"/>
    <w:rsid w:val="000D7D44"/>
    <w:rsid w:val="000F6158"/>
    <w:rsid w:val="001010F6"/>
    <w:rsid w:val="00102283"/>
    <w:rsid w:val="00132FD5"/>
    <w:rsid w:val="001339D6"/>
    <w:rsid w:val="00152FD0"/>
    <w:rsid w:val="00153A81"/>
    <w:rsid w:val="00161E1E"/>
    <w:rsid w:val="00180497"/>
    <w:rsid w:val="0018684E"/>
    <w:rsid w:val="001878F1"/>
    <w:rsid w:val="001A7542"/>
    <w:rsid w:val="001B21C1"/>
    <w:rsid w:val="001B58A9"/>
    <w:rsid w:val="001C061C"/>
    <w:rsid w:val="001C5778"/>
    <w:rsid w:val="001D1F73"/>
    <w:rsid w:val="001F443D"/>
    <w:rsid w:val="00202EDC"/>
    <w:rsid w:val="002078FE"/>
    <w:rsid w:val="00227F8A"/>
    <w:rsid w:val="002330D1"/>
    <w:rsid w:val="002419CA"/>
    <w:rsid w:val="00251171"/>
    <w:rsid w:val="0025222F"/>
    <w:rsid w:val="00253848"/>
    <w:rsid w:val="00255864"/>
    <w:rsid w:val="002630E1"/>
    <w:rsid w:val="002639ED"/>
    <w:rsid w:val="00282F35"/>
    <w:rsid w:val="002F1506"/>
    <w:rsid w:val="00304697"/>
    <w:rsid w:val="00313B73"/>
    <w:rsid w:val="0033713F"/>
    <w:rsid w:val="00364753"/>
    <w:rsid w:val="00365786"/>
    <w:rsid w:val="003727CA"/>
    <w:rsid w:val="00381231"/>
    <w:rsid w:val="003A1EDC"/>
    <w:rsid w:val="003A6954"/>
    <w:rsid w:val="003B42D1"/>
    <w:rsid w:val="003C6F36"/>
    <w:rsid w:val="003D14E6"/>
    <w:rsid w:val="003F4193"/>
    <w:rsid w:val="003F77B0"/>
    <w:rsid w:val="00400638"/>
    <w:rsid w:val="00416404"/>
    <w:rsid w:val="004264B0"/>
    <w:rsid w:val="004466A9"/>
    <w:rsid w:val="0045514D"/>
    <w:rsid w:val="0046515E"/>
    <w:rsid w:val="0047436B"/>
    <w:rsid w:val="00483747"/>
    <w:rsid w:val="004902CD"/>
    <w:rsid w:val="0049271B"/>
    <w:rsid w:val="00497D95"/>
    <w:rsid w:val="004A074D"/>
    <w:rsid w:val="004A6B28"/>
    <w:rsid w:val="004A6E80"/>
    <w:rsid w:val="004D379F"/>
    <w:rsid w:val="004D650C"/>
    <w:rsid w:val="004E110E"/>
    <w:rsid w:val="004F0040"/>
    <w:rsid w:val="00503B28"/>
    <w:rsid w:val="00511139"/>
    <w:rsid w:val="005203B6"/>
    <w:rsid w:val="005242AD"/>
    <w:rsid w:val="00555B77"/>
    <w:rsid w:val="0057355D"/>
    <w:rsid w:val="00582B2F"/>
    <w:rsid w:val="0059784C"/>
    <w:rsid w:val="005A7D2E"/>
    <w:rsid w:val="005B57CE"/>
    <w:rsid w:val="005B5D5C"/>
    <w:rsid w:val="005E02BA"/>
    <w:rsid w:val="005F3B68"/>
    <w:rsid w:val="00603B0A"/>
    <w:rsid w:val="0060571A"/>
    <w:rsid w:val="0061331C"/>
    <w:rsid w:val="006262FC"/>
    <w:rsid w:val="00642804"/>
    <w:rsid w:val="00646BDD"/>
    <w:rsid w:val="006771F2"/>
    <w:rsid w:val="00697AF8"/>
    <w:rsid w:val="006A40AC"/>
    <w:rsid w:val="006B0432"/>
    <w:rsid w:val="006B1E29"/>
    <w:rsid w:val="006B5826"/>
    <w:rsid w:val="006B6C0C"/>
    <w:rsid w:val="006C6E82"/>
    <w:rsid w:val="006D6CFE"/>
    <w:rsid w:val="006D76E5"/>
    <w:rsid w:val="006F253E"/>
    <w:rsid w:val="006F3A6B"/>
    <w:rsid w:val="00701A97"/>
    <w:rsid w:val="007069FF"/>
    <w:rsid w:val="00721A3C"/>
    <w:rsid w:val="007235DA"/>
    <w:rsid w:val="007253E1"/>
    <w:rsid w:val="00734E08"/>
    <w:rsid w:val="00735CFA"/>
    <w:rsid w:val="00735FB6"/>
    <w:rsid w:val="0073618F"/>
    <w:rsid w:val="00747F36"/>
    <w:rsid w:val="00754290"/>
    <w:rsid w:val="00754498"/>
    <w:rsid w:val="00756484"/>
    <w:rsid w:val="00763464"/>
    <w:rsid w:val="00790039"/>
    <w:rsid w:val="007B14E0"/>
    <w:rsid w:val="007C57A9"/>
    <w:rsid w:val="007C6CB9"/>
    <w:rsid w:val="007D3C9B"/>
    <w:rsid w:val="007F30CB"/>
    <w:rsid w:val="008035EF"/>
    <w:rsid w:val="008062D6"/>
    <w:rsid w:val="0081198C"/>
    <w:rsid w:val="008254FF"/>
    <w:rsid w:val="00832AC0"/>
    <w:rsid w:val="0087238E"/>
    <w:rsid w:val="00877B66"/>
    <w:rsid w:val="00897825"/>
    <w:rsid w:val="008B4BD6"/>
    <w:rsid w:val="008C2D1A"/>
    <w:rsid w:val="008C4D9D"/>
    <w:rsid w:val="008D6412"/>
    <w:rsid w:val="008F0267"/>
    <w:rsid w:val="00912E03"/>
    <w:rsid w:val="0091785A"/>
    <w:rsid w:val="009301CB"/>
    <w:rsid w:val="00935084"/>
    <w:rsid w:val="009445BA"/>
    <w:rsid w:val="009570DB"/>
    <w:rsid w:val="00963F33"/>
    <w:rsid w:val="0098378D"/>
    <w:rsid w:val="009A1671"/>
    <w:rsid w:val="009A7ED2"/>
    <w:rsid w:val="009B2534"/>
    <w:rsid w:val="009B5B12"/>
    <w:rsid w:val="009B7B0F"/>
    <w:rsid w:val="009C1127"/>
    <w:rsid w:val="009E77AC"/>
    <w:rsid w:val="009F5C67"/>
    <w:rsid w:val="00A007F4"/>
    <w:rsid w:val="00A25571"/>
    <w:rsid w:val="00A25AB4"/>
    <w:rsid w:val="00A262F1"/>
    <w:rsid w:val="00A30CCF"/>
    <w:rsid w:val="00A3641B"/>
    <w:rsid w:val="00A4434C"/>
    <w:rsid w:val="00A634F6"/>
    <w:rsid w:val="00A77627"/>
    <w:rsid w:val="00AA70F6"/>
    <w:rsid w:val="00AB32CF"/>
    <w:rsid w:val="00AC7BB4"/>
    <w:rsid w:val="00B42227"/>
    <w:rsid w:val="00B54DEB"/>
    <w:rsid w:val="00B608BD"/>
    <w:rsid w:val="00B635FD"/>
    <w:rsid w:val="00B77915"/>
    <w:rsid w:val="00B82CFC"/>
    <w:rsid w:val="00B90D34"/>
    <w:rsid w:val="00B97E05"/>
    <w:rsid w:val="00BC36E1"/>
    <w:rsid w:val="00BC7451"/>
    <w:rsid w:val="00BE2107"/>
    <w:rsid w:val="00BE5771"/>
    <w:rsid w:val="00C012C4"/>
    <w:rsid w:val="00C04086"/>
    <w:rsid w:val="00C06DF6"/>
    <w:rsid w:val="00C12561"/>
    <w:rsid w:val="00C21C58"/>
    <w:rsid w:val="00C22DFC"/>
    <w:rsid w:val="00C235CF"/>
    <w:rsid w:val="00C248D5"/>
    <w:rsid w:val="00C330F9"/>
    <w:rsid w:val="00C54CCF"/>
    <w:rsid w:val="00C721DD"/>
    <w:rsid w:val="00C80C4A"/>
    <w:rsid w:val="00C8294D"/>
    <w:rsid w:val="00C92ECE"/>
    <w:rsid w:val="00C9419A"/>
    <w:rsid w:val="00CA5D74"/>
    <w:rsid w:val="00CB6B05"/>
    <w:rsid w:val="00CB7634"/>
    <w:rsid w:val="00CB78FF"/>
    <w:rsid w:val="00CC30E7"/>
    <w:rsid w:val="00CC6824"/>
    <w:rsid w:val="00D05F96"/>
    <w:rsid w:val="00D0641B"/>
    <w:rsid w:val="00D30CD2"/>
    <w:rsid w:val="00D6574B"/>
    <w:rsid w:val="00D70681"/>
    <w:rsid w:val="00D82759"/>
    <w:rsid w:val="00D96A06"/>
    <w:rsid w:val="00DE3D73"/>
    <w:rsid w:val="00DE5956"/>
    <w:rsid w:val="00DF152D"/>
    <w:rsid w:val="00DF24CF"/>
    <w:rsid w:val="00E104C3"/>
    <w:rsid w:val="00E13EDA"/>
    <w:rsid w:val="00E22F5A"/>
    <w:rsid w:val="00E273C3"/>
    <w:rsid w:val="00E36234"/>
    <w:rsid w:val="00E40699"/>
    <w:rsid w:val="00E4143F"/>
    <w:rsid w:val="00E72277"/>
    <w:rsid w:val="00E73F47"/>
    <w:rsid w:val="00EA0E43"/>
    <w:rsid w:val="00EB2569"/>
    <w:rsid w:val="00F01655"/>
    <w:rsid w:val="00F066C2"/>
    <w:rsid w:val="00F078B0"/>
    <w:rsid w:val="00F16B8C"/>
    <w:rsid w:val="00F564FC"/>
    <w:rsid w:val="00F60D2B"/>
    <w:rsid w:val="00F6150B"/>
    <w:rsid w:val="00F65269"/>
    <w:rsid w:val="00F654B8"/>
    <w:rsid w:val="00F65985"/>
    <w:rsid w:val="00F67A80"/>
    <w:rsid w:val="00FB37BD"/>
    <w:rsid w:val="00FC266A"/>
    <w:rsid w:val="00FD1A68"/>
    <w:rsid w:val="00FD4774"/>
    <w:rsid w:val="00FD7C16"/>
    <w:rsid w:val="00FE4037"/>
    <w:rsid w:val="00FE57BF"/>
    <w:rsid w:val="012B4701"/>
    <w:rsid w:val="01D628BE"/>
    <w:rsid w:val="036A7762"/>
    <w:rsid w:val="037C716B"/>
    <w:rsid w:val="03E219EE"/>
    <w:rsid w:val="04137DFA"/>
    <w:rsid w:val="076C7F34"/>
    <w:rsid w:val="08A70B11"/>
    <w:rsid w:val="091A424A"/>
    <w:rsid w:val="09671F72"/>
    <w:rsid w:val="09E10052"/>
    <w:rsid w:val="09FB7366"/>
    <w:rsid w:val="0CDA7707"/>
    <w:rsid w:val="12AA1929"/>
    <w:rsid w:val="1384217A"/>
    <w:rsid w:val="150D0E85"/>
    <w:rsid w:val="160E6673"/>
    <w:rsid w:val="1708666A"/>
    <w:rsid w:val="19037FE5"/>
    <w:rsid w:val="19C24C2F"/>
    <w:rsid w:val="19F33BB6"/>
    <w:rsid w:val="1AC437A4"/>
    <w:rsid w:val="1B5A59F0"/>
    <w:rsid w:val="1CFA16FF"/>
    <w:rsid w:val="1E000793"/>
    <w:rsid w:val="1F182311"/>
    <w:rsid w:val="1F69491A"/>
    <w:rsid w:val="1F980D5B"/>
    <w:rsid w:val="208D2876"/>
    <w:rsid w:val="210B63F6"/>
    <w:rsid w:val="211D3DA7"/>
    <w:rsid w:val="21FB3F4F"/>
    <w:rsid w:val="23E00F22"/>
    <w:rsid w:val="267F67D1"/>
    <w:rsid w:val="2B822FEC"/>
    <w:rsid w:val="2BDA654F"/>
    <w:rsid w:val="2CA15303"/>
    <w:rsid w:val="2EA927A9"/>
    <w:rsid w:val="2EAB0AAB"/>
    <w:rsid w:val="2F991CA5"/>
    <w:rsid w:val="315076E8"/>
    <w:rsid w:val="3652180C"/>
    <w:rsid w:val="37922808"/>
    <w:rsid w:val="38F60B75"/>
    <w:rsid w:val="3A2B2AA0"/>
    <w:rsid w:val="3C3519B4"/>
    <w:rsid w:val="3DC6320C"/>
    <w:rsid w:val="3EFB0C93"/>
    <w:rsid w:val="3F7B000C"/>
    <w:rsid w:val="3FBDE036"/>
    <w:rsid w:val="41B45A71"/>
    <w:rsid w:val="437E6337"/>
    <w:rsid w:val="44537B7B"/>
    <w:rsid w:val="45B846D6"/>
    <w:rsid w:val="47F008D6"/>
    <w:rsid w:val="48C46704"/>
    <w:rsid w:val="492D2391"/>
    <w:rsid w:val="49D62A28"/>
    <w:rsid w:val="49E8450A"/>
    <w:rsid w:val="4A6E0CD3"/>
    <w:rsid w:val="4AD60806"/>
    <w:rsid w:val="4BF74ED8"/>
    <w:rsid w:val="4C013FBC"/>
    <w:rsid w:val="4C7402D7"/>
    <w:rsid w:val="4C8B22A5"/>
    <w:rsid w:val="4F0F2539"/>
    <w:rsid w:val="4F1B7FA7"/>
    <w:rsid w:val="529B7BC9"/>
    <w:rsid w:val="53E06252"/>
    <w:rsid w:val="55F10BEA"/>
    <w:rsid w:val="5C2B2A4F"/>
    <w:rsid w:val="5CEB76B4"/>
    <w:rsid w:val="5D464BE3"/>
    <w:rsid w:val="5DE30E18"/>
    <w:rsid w:val="5FF39DF9"/>
    <w:rsid w:val="60B13450"/>
    <w:rsid w:val="60FE2644"/>
    <w:rsid w:val="625E7607"/>
    <w:rsid w:val="63021D41"/>
    <w:rsid w:val="63057A83"/>
    <w:rsid w:val="657F3B1C"/>
    <w:rsid w:val="660D1128"/>
    <w:rsid w:val="66553BDD"/>
    <w:rsid w:val="677671A1"/>
    <w:rsid w:val="691A4E3E"/>
    <w:rsid w:val="6E712470"/>
    <w:rsid w:val="6E7B6E4B"/>
    <w:rsid w:val="6F024E2E"/>
    <w:rsid w:val="6F2A4AF9"/>
    <w:rsid w:val="722B4B4E"/>
    <w:rsid w:val="72E5624E"/>
    <w:rsid w:val="752244C4"/>
    <w:rsid w:val="770045CD"/>
    <w:rsid w:val="77212C85"/>
    <w:rsid w:val="77534E09"/>
    <w:rsid w:val="775F515F"/>
    <w:rsid w:val="796B2DFE"/>
    <w:rsid w:val="7AB67B89"/>
    <w:rsid w:val="7CE26037"/>
    <w:rsid w:val="7DD30D3F"/>
    <w:rsid w:val="7E1153D8"/>
    <w:rsid w:val="7EAB7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B643C"/>
  <w15:docId w15:val="{6880339C-58C7-487F-8ABC-868C7B9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pPr>
    <w:rPr>
      <w:sz w:val="18"/>
      <w:szCs w:val="18"/>
    </w:rPr>
  </w:style>
  <w:style w:type="paragraph" w:styleId="a9">
    <w:name w:val="header"/>
    <w:basedOn w:val="a"/>
    <w:link w:val="aa"/>
    <w:qFormat/>
    <w:pPr>
      <w:pBdr>
        <w:bottom w:val="single" w:sz="6" w:space="1" w:color="auto"/>
      </w:pBdr>
      <w:tabs>
        <w:tab w:val="center" w:pos="4153"/>
        <w:tab w:val="right" w:pos="8306"/>
      </w:tabs>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lang w:eastAsia="zh-CN"/>
    </w:rPr>
  </w:style>
  <w:style w:type="paragraph" w:styleId="ab">
    <w:name w:val="Normal (Web)"/>
    <w:basedOn w:val="a"/>
    <w:uiPriority w:val="99"/>
    <w:qFormat/>
    <w:pPr>
      <w:widowControl w:val="0"/>
      <w:kinsoku/>
      <w:autoSpaceDE/>
      <w:autoSpaceDN/>
      <w:adjustRightInd/>
      <w:snapToGrid/>
      <w:jc w:val="both"/>
      <w:textAlignment w:val="auto"/>
    </w:pPr>
    <w:rPr>
      <w:rFonts w:asciiTheme="minorHAnsi" w:eastAsiaTheme="minorEastAsia" w:hAnsiTheme="minorHAnsi" w:cstheme="minorBidi"/>
      <w:snapToGrid/>
      <w:color w:val="auto"/>
      <w:kern w:val="2"/>
      <w:sz w:val="24"/>
      <w:szCs w:val="24"/>
      <w:lang w:eastAsia="zh-CN"/>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styleId="af">
    <w:name w:val="List Paragraph"/>
    <w:basedOn w:val="a"/>
    <w:uiPriority w:val="34"/>
    <w:qFormat/>
    <w:pPr>
      <w:ind w:firstLineChars="200" w:firstLine="420"/>
    </w:pPr>
  </w:style>
  <w:style w:type="character" w:customStyle="1" w:styleId="aa">
    <w:name w:val="页眉 字符"/>
    <w:basedOn w:val="a0"/>
    <w:link w:val="a9"/>
    <w:qFormat/>
    <w:rPr>
      <w:rFonts w:ascii="Arial" w:eastAsia="Arial" w:hAnsi="Arial" w:cs="Arial"/>
      <w:snapToGrid w:val="0"/>
      <w:color w:val="000000"/>
      <w:sz w:val="18"/>
      <w:szCs w:val="18"/>
      <w:lang w:eastAsia="en-US"/>
    </w:rPr>
  </w:style>
  <w:style w:type="character" w:customStyle="1" w:styleId="a8">
    <w:name w:val="页脚 字符"/>
    <w:basedOn w:val="a0"/>
    <w:link w:val="a7"/>
    <w:qFormat/>
    <w:rPr>
      <w:rFonts w:ascii="Arial" w:eastAsia="Arial" w:hAnsi="Arial" w:cs="Arial"/>
      <w:snapToGrid w:val="0"/>
      <w:color w:val="000000"/>
      <w:sz w:val="18"/>
      <w:szCs w:val="18"/>
      <w:lang w:eastAsia="en-US"/>
    </w:rPr>
  </w:style>
  <w:style w:type="paragraph" w:customStyle="1" w:styleId="1">
    <w:name w:val="修订1"/>
    <w:hidden/>
    <w:uiPriority w:val="99"/>
    <w:semiHidden/>
    <w:qFormat/>
    <w:rPr>
      <w:rFonts w:ascii="Arial" w:eastAsia="Arial" w:hAnsi="Arial" w:cs="Arial"/>
      <w:snapToGrid w:val="0"/>
      <w:color w:val="000000"/>
      <w:sz w:val="21"/>
      <w:szCs w:val="21"/>
      <w:lang w:eastAsia="en-US"/>
    </w:rPr>
  </w:style>
  <w:style w:type="character" w:customStyle="1" w:styleId="a4">
    <w:name w:val="批注文字 字符"/>
    <w:basedOn w:val="a0"/>
    <w:link w:val="a3"/>
    <w:uiPriority w:val="99"/>
    <w:semiHidden/>
    <w:qFormat/>
    <w:rPr>
      <w:rFonts w:ascii="Arial" w:eastAsia="Arial" w:hAnsi="Arial" w:cs="Arial"/>
      <w:snapToGrid w:val="0"/>
      <w:color w:val="000000"/>
      <w:sz w:val="21"/>
      <w:szCs w:val="21"/>
      <w:lang w:eastAsia="en-US"/>
    </w:rPr>
  </w:style>
  <w:style w:type="character" w:customStyle="1" w:styleId="ad">
    <w:name w:val="批注主题 字符"/>
    <w:basedOn w:val="a4"/>
    <w:link w:val="ac"/>
    <w:qFormat/>
    <w:rPr>
      <w:rFonts w:ascii="Arial" w:eastAsia="Arial" w:hAnsi="Arial" w:cs="Arial"/>
      <w:b/>
      <w:bCs/>
      <w:snapToGrid w:val="0"/>
      <w:color w:val="000000"/>
      <w:sz w:val="21"/>
      <w:szCs w:val="21"/>
      <w:lang w:eastAsia="en-US"/>
    </w:rPr>
  </w:style>
  <w:style w:type="character" w:customStyle="1" w:styleId="a6">
    <w:name w:val="批注框文本 字符"/>
    <w:basedOn w:val="a0"/>
    <w:link w:val="a5"/>
    <w:qFormat/>
    <w:rPr>
      <w:rFonts w:ascii="Arial" w:eastAsia="Arial" w:hAnsi="Arial" w:cs="Arial"/>
      <w:snapToGrid w:val="0"/>
      <w:color w:val="000000"/>
      <w:sz w:val="18"/>
      <w:szCs w:val="18"/>
      <w:lang w:eastAsia="en-US"/>
    </w:rPr>
  </w:style>
  <w:style w:type="paragraph" w:customStyle="1" w:styleId="2">
    <w:name w:val="修订2"/>
    <w:hidden/>
    <w:uiPriority w:val="99"/>
    <w:unhideWhenUsed/>
    <w:qFormat/>
    <w:rPr>
      <w:rFonts w:ascii="Arial" w:eastAsia="Arial" w:hAnsi="Arial" w:cs="Arial"/>
      <w:snapToGrid w:val="0"/>
      <w:color w:val="000000"/>
      <w:sz w:val="21"/>
      <w:szCs w:val="21"/>
      <w:lang w:eastAsia="en-US"/>
    </w:rPr>
  </w:style>
  <w:style w:type="paragraph" w:customStyle="1" w:styleId="3">
    <w:name w:val="修订3"/>
    <w:hidden/>
    <w:uiPriority w:val="99"/>
    <w:semiHidden/>
    <w:qFormat/>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F624-369A-421F-860E-0821CDCB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Data</dc:creator>
  <cp:lastModifiedBy>郝艳芳</cp:lastModifiedBy>
  <cp:revision>3</cp:revision>
  <dcterms:created xsi:type="dcterms:W3CDTF">2025-02-27T08:35:00Z</dcterms:created>
  <dcterms:modified xsi:type="dcterms:W3CDTF">2025-02-27T12:03:00Z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2024-08-12T09:26:14Z</vt:filetime>
  </property>
  <property fmtid="{D5CDD505-2E9C-101B-9397-08002B2CF9AE}" pid="4" name="KSOProductBuildVer">
    <vt:lpwstr>2052-12.1.0.20305</vt:lpwstr>
  </property>
  <property fmtid="{D5CDD505-2E9C-101B-9397-08002B2CF9AE}" pid="5" name="ICV">
    <vt:lpwstr>71051276D6694E84B22590D0AD56E5BB_13</vt:lpwstr>
  </property>
  <property fmtid="{D5CDD505-2E9C-101B-9397-08002B2CF9AE}" pid="6" name="KSOTemplateDocerSaveRecord">
    <vt:lpwstr>eyJoZGlkIjoiYjVmMGJhNWM4N2IxZGZhOTNmZmI4ZjlmMDBjOTJlMjciLCJ1c2VySWQiOiIyMjg0MTQ5MDAifQ==</vt:lpwstr>
  </property>
</Properties>
</file>