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/>
          <w:bCs/>
          <w:iCs/>
          <w:color w:val="000000"/>
          <w:sz w:val="24"/>
          <w:lang w:val="en-US" w:eastAsia="zh-CN"/>
        </w:rPr>
        <w:t>5</w:t>
      </w:r>
      <w:r>
        <w:rPr>
          <w:rFonts w:ascii="Times New Roman" w:hAnsi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/>
          <w:bCs/>
          <w:iCs/>
          <w:color w:val="000000"/>
          <w:sz w:val="24"/>
          <w:lang w:val="en-US" w:eastAsia="zh-CN"/>
        </w:rPr>
        <w:t>02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kern w:val="0"/>
                <w:sz w:val="24"/>
              </w:rPr>
              <w:t>诺德基金：朱明睿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；天治基金管理有限公司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：王娟；国联安基金管理有限公司：赵子淇；惠升基金：张政；园信永丰：许睿；上海趣时资产管理有限公司：郭望裁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湘财基金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张泉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华安基金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杨磊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富国基金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刘锡源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深圳智诚海威资产管理有限公司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周嘉声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。华福证券策略会、华创证券策略会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adjustRightInd w:val="0"/>
              <w:snapToGrid w:val="0"/>
              <w:spacing w:before="156" w:beforeLines="50"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上海、长沙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>
            <w:pPr>
              <w:pStyle w:val="20"/>
              <w:numPr>
                <w:ilvl w:val="0"/>
                <w:numId w:val="2"/>
              </w:numPr>
              <w:adjustRightInd w:val="0"/>
              <w:snapToGrid w:val="0"/>
              <w:spacing w:before="159" w:beforeLines="50" w:beforeAutospacing="0" w:line="360" w:lineRule="auto"/>
              <w:ind w:left="985" w:leftChars="0" w:hanging="505" w:firstLineChars="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09B5626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问答环节主要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内容</w:t>
            </w:r>
          </w:p>
          <w:p w14:paraId="3A2A6C2D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公司注射用多种维生素（12）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最新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的集采进展情况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72DE46BC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 w:eastAsiaTheme="minorEastAsia"/>
              </w:rPr>
              <w:t>注射用多种维生素（12）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 w:eastAsiaTheme="minorEastAsia"/>
              </w:rPr>
              <w:t>河南十九省联盟集中带量采购、浙江第四批药品集中带量采购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中中选</w:t>
            </w:r>
            <w:r>
              <w:rPr>
                <w:rFonts w:hint="default" w:ascii="Times New Roman" w:hAnsi="Times New Roman" w:cs="Times New Roman" w:eastAsiaTheme="minorEastAsi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截止2024年末，</w:t>
            </w:r>
            <w:r>
              <w:rPr>
                <w:rFonts w:hint="default" w:ascii="Times New Roman" w:hAnsi="Times New Roman" w:cs="Times New Roman" w:eastAsiaTheme="minorEastAsia"/>
              </w:rPr>
              <w:t>共有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</w:rPr>
              <w:t>个省（区、兵团）正式执行中选结果。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2025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  <w:t>月，注射用多种维生素（12）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  <w:t>河北牵头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  <w:t>京津冀赣化学药品集中带量采购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  <w:t>江苏省第五轮药品集中带量采购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中中选。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具体情况以各地医保局公告为准。</w:t>
            </w:r>
          </w:p>
          <w:p w14:paraId="7B146CAA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公司多种微量元素注射液最新的集采进展情况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1F848F8E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</w:rPr>
              <w:t>多种微量元素注射液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在京津冀“3+N”联盟集中带量采购中中选，截止2024年末，</w:t>
            </w:r>
            <w:r>
              <w:rPr>
                <w:rFonts w:hint="default" w:ascii="Times New Roman" w:hAnsi="Times New Roman" w:cs="Times New Roman"/>
              </w:rPr>
              <w:t>共有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个省（区、兵团）正式执行中选结果。</w:t>
            </w:r>
            <w:r>
              <w:rPr>
                <w:rFonts w:hint="default" w:ascii="Times New Roman" w:hAnsi="Times New Roman" w:cs="Times New Roman" w:eastAsiaTheme="minorEastAsia"/>
              </w:rPr>
              <w:t>2025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月，江苏省第五轮药品集采拟中选结果公布，多种微量元素注射液、多种微量元素注射液(I) 拟中选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；河北省国家、联盟（省）集采到期接续药品拟中选结果公布，公司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多种微量元素注射液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拟中选。具体情况以各地医保局公告为准。</w:t>
            </w:r>
          </w:p>
          <w:p w14:paraId="31C9BE42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请介绍核心产品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在部分地区集采中选对公司的影响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5908E6C9">
            <w:pPr>
              <w:pStyle w:val="20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答：集采中选对于处方药产品拓展医院覆盖范围、提高临床可及性有促进作用。根据2024年前三季度情况显示，公司核心产品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在部分区域集采中选后</w:t>
            </w:r>
            <w:r>
              <w:rPr>
                <w:rFonts w:hint="default" w:ascii="Times New Roman" w:hAnsi="Times New Roman" w:cs="Times New Roman" w:eastAsiaTheme="minorEastAsia"/>
              </w:rPr>
              <w:t>，随着市场覆盖范围的扩大以及成本费用的降低，配送费、市场投入等均有不同程度下降，销售数量及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总体</w:t>
            </w:r>
            <w:r>
              <w:rPr>
                <w:rFonts w:hint="default" w:ascii="Times New Roman" w:hAnsi="Times New Roman" w:cs="Times New Roman" w:eastAsiaTheme="minorEastAsia"/>
              </w:rPr>
              <w:t>收益有所提升。</w:t>
            </w:r>
          </w:p>
          <w:p w14:paraId="6B32C331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公司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现金分红情况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268C48E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答：公司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高度</w:t>
            </w:r>
            <w:r>
              <w:rPr>
                <w:rFonts w:hint="default" w:ascii="Times New Roman" w:hAnsi="Times New Roman" w:cs="Times New Roman" w:eastAsiaTheme="minorEastAsia"/>
              </w:rPr>
              <w:t>重视对全体股东的投资回报，自上市以来，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公司累计分红金额已超IPO融资金额，</w:t>
            </w:r>
            <w:r>
              <w:rPr>
                <w:rFonts w:hint="default" w:ascii="Times New Roman" w:hAnsi="Times New Roman" w:cs="Times New Roman" w:eastAsiaTheme="minorEastAsia"/>
              </w:rPr>
              <w:t>每年进行现金分红的比例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均</w:t>
            </w:r>
            <w:r>
              <w:rPr>
                <w:rFonts w:hint="default" w:ascii="Times New Roman" w:hAnsi="Times New Roman" w:cs="Times New Roman" w:eastAsiaTheme="minorEastAsia"/>
              </w:rPr>
              <w:t>超过当年归属于上市公司股东净利润的30%，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且近</w:t>
            </w:r>
            <w:r>
              <w:rPr>
                <w:rFonts w:hint="default" w:ascii="Times New Roman" w:hAnsi="Times New Roman" w:cs="Times New Roman" w:eastAsiaTheme="minorEastAsia"/>
              </w:rPr>
              <w:t>三年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该</w:t>
            </w:r>
            <w:r>
              <w:rPr>
                <w:rFonts w:hint="default" w:ascii="Times New Roman" w:hAnsi="Times New Roman" w:cs="Times New Roman" w:eastAsiaTheme="minorEastAsia"/>
              </w:rPr>
              <w:t>现金分红比例超过50%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2024年更推出了中期分红方案。未来，公司将继续积极响应政策号召，</w:t>
            </w:r>
            <w:r>
              <w:rPr>
                <w:rFonts w:hint="default" w:ascii="Times New Roman" w:hAnsi="Times New Roman" w:cs="Times New Roman" w:eastAsiaTheme="minorEastAsia"/>
              </w:rPr>
              <w:t>在不影响持续经营能力的前提下，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通过现金分红等利润分配方式为投资者带来长期、稳定的投资回报，切实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提升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投资者获得感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，坚定投资者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对公司未来发展的信心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。</w:t>
            </w:r>
          </w:p>
          <w:p w14:paraId="31E00C01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请介绍公司研发项目情况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834FB04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公司以临床需求为导向，立足于研发创新，坚持仿创结合，抢仿高难度、高壁垒产品和领先上市的优势品种，不断研发具有自主知识产权的新产品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>。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Theme="minorEastAsia"/>
              </w:rPr>
              <w:t>主要在研新产品项目包括吸入类药物、抗真菌药物、静脉补铁剂、血容量补充剂、贴剂类、氨基酸类等40多项，研发进度均符合预期。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2024年度，公司2</w:t>
            </w:r>
            <w:r>
              <w:rPr>
                <w:rFonts w:hint="eastAsia" w:ascii="Times New Roman" w:hAnsi="Times New Roman" w:eastAsiaTheme="minorEastAsia"/>
              </w:rPr>
              <w:t>个产品取得药物临床试验批准通知书，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</w:rPr>
              <w:t>个产品通过一致性评价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>，</w:t>
            </w:r>
            <w:r>
              <w:rPr>
                <w:rFonts w:hint="eastAsia" w:ascii="Times New Roman" w:hAnsi="Times New Roman" w:eastAsiaTheme="minorEastAsia"/>
              </w:rPr>
              <w:t>多种微量元素注射液（I）、多种微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量元素注射液（III）等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个产品取得药品注册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。2025年1-2月，公司复方氨基酸注射液(18AA-Ⅶ)、吸入用乙酰半胱氨酸溶液2个产品取得药品注册证书。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D2927"/>
    <w:multiLevelType w:val="multilevel"/>
    <w:tmpl w:val="631D292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2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>
    <w:nsid w:val="7F45403C"/>
    <w:multiLevelType w:val="multilevel"/>
    <w:tmpl w:val="7F45403C"/>
    <w:lvl w:ilvl="0" w:tentative="0">
      <w:start w:val="1"/>
      <w:numFmt w:val="decimal"/>
      <w:suff w:val="nothing"/>
      <w:lvlText w:val="%1、"/>
      <w:lvlJc w:val="left"/>
      <w:pPr>
        <w:ind w:left="1691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211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31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95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337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791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421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63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505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31E56FD"/>
    <w:rsid w:val="04A61D6F"/>
    <w:rsid w:val="04D611E5"/>
    <w:rsid w:val="04D6720D"/>
    <w:rsid w:val="051F4750"/>
    <w:rsid w:val="05283431"/>
    <w:rsid w:val="055E5EA9"/>
    <w:rsid w:val="05BA0075"/>
    <w:rsid w:val="05BC67A7"/>
    <w:rsid w:val="079A457C"/>
    <w:rsid w:val="07EA61E2"/>
    <w:rsid w:val="091E4F7D"/>
    <w:rsid w:val="0A1B2311"/>
    <w:rsid w:val="0A1B64C5"/>
    <w:rsid w:val="0A6C2012"/>
    <w:rsid w:val="0ABA4720"/>
    <w:rsid w:val="0B275F39"/>
    <w:rsid w:val="0B8E57A5"/>
    <w:rsid w:val="0C943AA2"/>
    <w:rsid w:val="0CFA1B57"/>
    <w:rsid w:val="0E2F662F"/>
    <w:rsid w:val="0E4704FD"/>
    <w:rsid w:val="0EA004DC"/>
    <w:rsid w:val="0ED63EFE"/>
    <w:rsid w:val="10405054"/>
    <w:rsid w:val="10986FB0"/>
    <w:rsid w:val="12B06C64"/>
    <w:rsid w:val="12B075AF"/>
    <w:rsid w:val="12BA7692"/>
    <w:rsid w:val="134A422D"/>
    <w:rsid w:val="1420337E"/>
    <w:rsid w:val="14773EFC"/>
    <w:rsid w:val="157B75AD"/>
    <w:rsid w:val="15BB56FA"/>
    <w:rsid w:val="15D20DB4"/>
    <w:rsid w:val="161552E4"/>
    <w:rsid w:val="1694148D"/>
    <w:rsid w:val="16E06427"/>
    <w:rsid w:val="17B22C3C"/>
    <w:rsid w:val="19A215AC"/>
    <w:rsid w:val="19BE64A0"/>
    <w:rsid w:val="19E576EB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E5F5527"/>
    <w:rsid w:val="1E9D2342"/>
    <w:rsid w:val="1F374545"/>
    <w:rsid w:val="1F5E70A8"/>
    <w:rsid w:val="1FB51739"/>
    <w:rsid w:val="1FE54495"/>
    <w:rsid w:val="20317609"/>
    <w:rsid w:val="20D60628"/>
    <w:rsid w:val="20DD179A"/>
    <w:rsid w:val="2186530F"/>
    <w:rsid w:val="21D97B35"/>
    <w:rsid w:val="21ED35E0"/>
    <w:rsid w:val="236B5698"/>
    <w:rsid w:val="244D6ECE"/>
    <w:rsid w:val="24612F5B"/>
    <w:rsid w:val="249064A5"/>
    <w:rsid w:val="2492046F"/>
    <w:rsid w:val="24D10F97"/>
    <w:rsid w:val="25076767"/>
    <w:rsid w:val="25AA3F69"/>
    <w:rsid w:val="26292E76"/>
    <w:rsid w:val="277B294C"/>
    <w:rsid w:val="277D0F63"/>
    <w:rsid w:val="28096C9A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9A62D0"/>
    <w:rsid w:val="2B835370"/>
    <w:rsid w:val="2BE40509"/>
    <w:rsid w:val="2C232461"/>
    <w:rsid w:val="2C245E51"/>
    <w:rsid w:val="2C372DF6"/>
    <w:rsid w:val="2D4F41C3"/>
    <w:rsid w:val="2D7050C6"/>
    <w:rsid w:val="2E2E37B4"/>
    <w:rsid w:val="2F126434"/>
    <w:rsid w:val="2F6D160E"/>
    <w:rsid w:val="305C57CD"/>
    <w:rsid w:val="306F1F07"/>
    <w:rsid w:val="309F019C"/>
    <w:rsid w:val="30C376C5"/>
    <w:rsid w:val="30F332BD"/>
    <w:rsid w:val="312E16A3"/>
    <w:rsid w:val="31AF2BF4"/>
    <w:rsid w:val="331210F9"/>
    <w:rsid w:val="332E1CAB"/>
    <w:rsid w:val="339468F0"/>
    <w:rsid w:val="33977850"/>
    <w:rsid w:val="33D12D62"/>
    <w:rsid w:val="34110C26"/>
    <w:rsid w:val="34426C76"/>
    <w:rsid w:val="34B44240"/>
    <w:rsid w:val="35963096"/>
    <w:rsid w:val="36083340"/>
    <w:rsid w:val="36373EA2"/>
    <w:rsid w:val="376C52A2"/>
    <w:rsid w:val="37A036E8"/>
    <w:rsid w:val="37E2066E"/>
    <w:rsid w:val="383E0B80"/>
    <w:rsid w:val="39166ACD"/>
    <w:rsid w:val="3A5E7E93"/>
    <w:rsid w:val="3A8A5D21"/>
    <w:rsid w:val="3A927098"/>
    <w:rsid w:val="3AE0388B"/>
    <w:rsid w:val="3B1A12EE"/>
    <w:rsid w:val="3BAF01E0"/>
    <w:rsid w:val="3BE40AE0"/>
    <w:rsid w:val="3C155874"/>
    <w:rsid w:val="3C744451"/>
    <w:rsid w:val="3C887370"/>
    <w:rsid w:val="3CA06699"/>
    <w:rsid w:val="3CF578B9"/>
    <w:rsid w:val="3E1845A9"/>
    <w:rsid w:val="3EF7528A"/>
    <w:rsid w:val="3F117E4C"/>
    <w:rsid w:val="3F1B15C6"/>
    <w:rsid w:val="3FD05DB3"/>
    <w:rsid w:val="409932D8"/>
    <w:rsid w:val="41226A4B"/>
    <w:rsid w:val="41EF3361"/>
    <w:rsid w:val="420D7708"/>
    <w:rsid w:val="425A3C21"/>
    <w:rsid w:val="43005430"/>
    <w:rsid w:val="438B3949"/>
    <w:rsid w:val="43C638E3"/>
    <w:rsid w:val="442F2049"/>
    <w:rsid w:val="447D039C"/>
    <w:rsid w:val="44B30262"/>
    <w:rsid w:val="4743767B"/>
    <w:rsid w:val="47585CD6"/>
    <w:rsid w:val="481E4693"/>
    <w:rsid w:val="48754510"/>
    <w:rsid w:val="48953FBF"/>
    <w:rsid w:val="493C593E"/>
    <w:rsid w:val="496F0BFB"/>
    <w:rsid w:val="49BD5A7D"/>
    <w:rsid w:val="4AAA2491"/>
    <w:rsid w:val="4C25513A"/>
    <w:rsid w:val="4C577725"/>
    <w:rsid w:val="4C7A2FF8"/>
    <w:rsid w:val="4CCC51F9"/>
    <w:rsid w:val="4CDB340E"/>
    <w:rsid w:val="4D564672"/>
    <w:rsid w:val="4DFC4A28"/>
    <w:rsid w:val="4E5268A5"/>
    <w:rsid w:val="4E920EE8"/>
    <w:rsid w:val="4EF460F6"/>
    <w:rsid w:val="4F086B2B"/>
    <w:rsid w:val="4FC852ED"/>
    <w:rsid w:val="506672DE"/>
    <w:rsid w:val="50AF13AB"/>
    <w:rsid w:val="50EA0B67"/>
    <w:rsid w:val="50F71E65"/>
    <w:rsid w:val="51183927"/>
    <w:rsid w:val="51ED4DB3"/>
    <w:rsid w:val="5211098D"/>
    <w:rsid w:val="527903F5"/>
    <w:rsid w:val="528D3EA0"/>
    <w:rsid w:val="54161C73"/>
    <w:rsid w:val="543045A1"/>
    <w:rsid w:val="54D75D13"/>
    <w:rsid w:val="54EF5819"/>
    <w:rsid w:val="5590373B"/>
    <w:rsid w:val="566079B5"/>
    <w:rsid w:val="56CB782D"/>
    <w:rsid w:val="56EF512A"/>
    <w:rsid w:val="56FF6147"/>
    <w:rsid w:val="57A0421C"/>
    <w:rsid w:val="58164C79"/>
    <w:rsid w:val="58FF3FEA"/>
    <w:rsid w:val="59AF294E"/>
    <w:rsid w:val="59BD32BD"/>
    <w:rsid w:val="5A504131"/>
    <w:rsid w:val="5BA865A6"/>
    <w:rsid w:val="5C017366"/>
    <w:rsid w:val="5C335AB8"/>
    <w:rsid w:val="5C3B496D"/>
    <w:rsid w:val="5CBC3EFB"/>
    <w:rsid w:val="5D243724"/>
    <w:rsid w:val="5D975303"/>
    <w:rsid w:val="5DC71E4B"/>
    <w:rsid w:val="5E8E5228"/>
    <w:rsid w:val="5EE410BC"/>
    <w:rsid w:val="604D741A"/>
    <w:rsid w:val="60795AB7"/>
    <w:rsid w:val="612B4FB0"/>
    <w:rsid w:val="61FE26C5"/>
    <w:rsid w:val="621D1CBB"/>
    <w:rsid w:val="63D01E3F"/>
    <w:rsid w:val="64F73A13"/>
    <w:rsid w:val="65084DB4"/>
    <w:rsid w:val="650970BA"/>
    <w:rsid w:val="65C9078D"/>
    <w:rsid w:val="667859B3"/>
    <w:rsid w:val="66BF302A"/>
    <w:rsid w:val="66E94331"/>
    <w:rsid w:val="675F1BCD"/>
    <w:rsid w:val="679124B9"/>
    <w:rsid w:val="67DD0FCE"/>
    <w:rsid w:val="68153C99"/>
    <w:rsid w:val="69065605"/>
    <w:rsid w:val="6A292A7E"/>
    <w:rsid w:val="6A2A2DAD"/>
    <w:rsid w:val="6A9B3D76"/>
    <w:rsid w:val="6B2700DD"/>
    <w:rsid w:val="6B3672EE"/>
    <w:rsid w:val="6B6A52CA"/>
    <w:rsid w:val="6BF80185"/>
    <w:rsid w:val="6D457C30"/>
    <w:rsid w:val="6D604233"/>
    <w:rsid w:val="6F286EDE"/>
    <w:rsid w:val="6FB500C8"/>
    <w:rsid w:val="710650F2"/>
    <w:rsid w:val="71691FCA"/>
    <w:rsid w:val="72336CE6"/>
    <w:rsid w:val="727970C6"/>
    <w:rsid w:val="72EA3A04"/>
    <w:rsid w:val="73521A35"/>
    <w:rsid w:val="74B80429"/>
    <w:rsid w:val="74C13C4B"/>
    <w:rsid w:val="74F82FA3"/>
    <w:rsid w:val="75297557"/>
    <w:rsid w:val="75631691"/>
    <w:rsid w:val="762B73A9"/>
    <w:rsid w:val="764C17F9"/>
    <w:rsid w:val="766E26D2"/>
    <w:rsid w:val="76D56288"/>
    <w:rsid w:val="777871B5"/>
    <w:rsid w:val="77F56908"/>
    <w:rsid w:val="78606274"/>
    <w:rsid w:val="786B671A"/>
    <w:rsid w:val="786B6E2A"/>
    <w:rsid w:val="78E85B2F"/>
    <w:rsid w:val="793230AC"/>
    <w:rsid w:val="796C21B2"/>
    <w:rsid w:val="79A20079"/>
    <w:rsid w:val="79AB6836"/>
    <w:rsid w:val="7A122DE1"/>
    <w:rsid w:val="7A7A49A1"/>
    <w:rsid w:val="7AC22541"/>
    <w:rsid w:val="7B1473AC"/>
    <w:rsid w:val="7B352242"/>
    <w:rsid w:val="7B8632CC"/>
    <w:rsid w:val="7C223568"/>
    <w:rsid w:val="7DA95783"/>
    <w:rsid w:val="7E501A73"/>
    <w:rsid w:val="7E7B2326"/>
    <w:rsid w:val="7EAE398C"/>
    <w:rsid w:val="7EBA6D72"/>
    <w:rsid w:val="7EE12CFA"/>
    <w:rsid w:val="7F8853AE"/>
    <w:rsid w:val="7F9A0A60"/>
    <w:rsid w:val="7FCD4339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1235</Words>
  <Characters>1303</Characters>
  <Lines>12</Lines>
  <Paragraphs>3</Paragraphs>
  <TotalTime>0</TotalTime>
  <ScaleCrop>false</ScaleCrop>
  <LinksUpToDate>false</LinksUpToDate>
  <CharactersWithSpaces>1406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2025-02-27T08:07:04Z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