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1" w:line="219" w:lineRule="auto"/>
        <w:ind w:left="23"/>
        <w:rPr>
          <w:rFonts w:hint="eastAsia" w:ascii="Arial Narrow" w:hAnsi="Arial Narrow" w:eastAsia="宋体" w:cs="宋体"/>
          <w:b/>
          <w:bCs/>
          <w:spacing w:val="-4"/>
          <w:sz w:val="32"/>
          <w:szCs w:val="32"/>
          <w:lang w:eastAsia="zh-CN"/>
        </w:rPr>
      </w:pPr>
      <w:r>
        <w:rPr>
          <w:rFonts w:ascii="Arial Narrow" w:hAnsi="Arial Narrow" w:eastAsia="宋体" w:cs="宋体"/>
          <w:sz w:val="24"/>
          <w:szCs w:val="24"/>
          <w:lang w:eastAsia="zh-CN"/>
        </w:rPr>
        <w:t>证券代码：60</w:t>
      </w:r>
      <w:r>
        <w:rPr>
          <w:rFonts w:hint="eastAsia" w:ascii="Arial Narrow" w:hAnsi="Arial Narrow" w:eastAsia="宋体" w:cs="宋体"/>
          <w:sz w:val="24"/>
          <w:szCs w:val="24"/>
          <w:lang w:eastAsia="zh-CN"/>
        </w:rPr>
        <w:t>0438</w:t>
      </w:r>
      <w:r>
        <w:rPr>
          <w:rFonts w:ascii="Arial Narrow" w:hAnsi="Arial Narrow" w:eastAsia="宋体" w:cs="宋体"/>
          <w:sz w:val="24"/>
          <w:szCs w:val="24"/>
          <w:lang w:eastAsia="zh-CN"/>
        </w:rPr>
        <w:t xml:space="preserve">      </w:t>
      </w:r>
      <w:r>
        <w:rPr>
          <w:rFonts w:hint="eastAsia" w:ascii="Arial Narrow" w:hAnsi="Arial Narrow" w:eastAsia="宋体" w:cs="宋体"/>
          <w:sz w:val="24"/>
          <w:szCs w:val="24"/>
          <w:lang w:eastAsia="zh-CN"/>
        </w:rPr>
        <w:t xml:space="preserve">     </w:t>
      </w:r>
      <w:r>
        <w:rPr>
          <w:rFonts w:ascii="Arial Narrow" w:hAnsi="Arial Narrow" w:eastAsia="宋体" w:cs="宋体"/>
          <w:spacing w:val="-1"/>
          <w:sz w:val="24"/>
          <w:szCs w:val="24"/>
          <w:lang w:eastAsia="zh-CN"/>
        </w:rPr>
        <w:t>证券简称：</w:t>
      </w:r>
      <w:r>
        <w:rPr>
          <w:rFonts w:hint="eastAsia" w:ascii="Arial Narrow" w:hAnsi="Arial Narrow" w:eastAsia="宋体" w:cs="宋体"/>
          <w:spacing w:val="-1"/>
          <w:sz w:val="24"/>
          <w:szCs w:val="24"/>
          <w:lang w:eastAsia="zh-CN"/>
        </w:rPr>
        <w:t>通威股份            编号：202</w:t>
      </w:r>
      <w:r>
        <w:rPr>
          <w:rFonts w:hint="eastAsia" w:ascii="Arial Narrow" w:hAnsi="Arial Narrow" w:eastAsia="宋体" w:cs="宋体"/>
          <w:spacing w:val="-1"/>
          <w:sz w:val="24"/>
          <w:szCs w:val="24"/>
          <w:lang w:val="en-US" w:eastAsia="zh-CN"/>
        </w:rPr>
        <w:t>5</w:t>
      </w:r>
      <w:r>
        <w:rPr>
          <w:rFonts w:hint="eastAsia" w:ascii="Arial Narrow" w:hAnsi="Arial Narrow" w:eastAsia="宋体" w:cs="宋体"/>
          <w:spacing w:val="-1"/>
          <w:sz w:val="24"/>
          <w:szCs w:val="24"/>
          <w:lang w:eastAsia="zh-CN"/>
        </w:rPr>
        <w:t>-0</w:t>
      </w:r>
      <w:r>
        <w:rPr>
          <w:rFonts w:hint="eastAsia" w:ascii="Arial Narrow" w:hAnsi="Arial Narrow" w:eastAsia="宋体" w:cs="宋体"/>
          <w:spacing w:val="-1"/>
          <w:sz w:val="24"/>
          <w:szCs w:val="24"/>
          <w:lang w:val="en-US" w:eastAsia="zh-CN"/>
        </w:rPr>
        <w:t>3</w:t>
      </w:r>
    </w:p>
    <w:p>
      <w:pPr>
        <w:spacing w:before="480" w:beforeLines="200" w:line="360" w:lineRule="auto"/>
        <w:jc w:val="center"/>
        <w:outlineLvl w:val="0"/>
        <w:rPr>
          <w:rFonts w:ascii="Arial Narrow" w:hAnsi="Arial Narrow" w:eastAsia="宋体" w:cs="宋体"/>
          <w:spacing w:val="3"/>
          <w:sz w:val="32"/>
          <w:szCs w:val="32"/>
          <w:lang w:eastAsia="zh-CN"/>
        </w:rPr>
      </w:pPr>
      <w:r>
        <w:rPr>
          <w:rFonts w:hint="eastAsia" w:ascii="Arial Narrow" w:hAnsi="Arial Narrow" w:eastAsia="宋体" w:cs="宋体"/>
          <w:b/>
          <w:bCs/>
          <w:spacing w:val="-4"/>
          <w:sz w:val="32"/>
          <w:szCs w:val="32"/>
          <w:lang w:eastAsia="zh-CN"/>
        </w:rPr>
        <w:t>通威股份</w:t>
      </w:r>
      <w:r>
        <w:rPr>
          <w:rFonts w:ascii="Arial Narrow" w:hAnsi="Arial Narrow" w:eastAsia="宋体" w:cs="宋体"/>
          <w:b/>
          <w:bCs/>
          <w:spacing w:val="-4"/>
          <w:sz w:val="32"/>
          <w:szCs w:val="32"/>
          <w:lang w:eastAsia="zh-CN"/>
        </w:rPr>
        <w:t>股份有限公司</w:t>
      </w:r>
    </w:p>
    <w:p>
      <w:pPr>
        <w:spacing w:line="360" w:lineRule="auto"/>
        <w:jc w:val="center"/>
        <w:outlineLvl w:val="0"/>
        <w:rPr>
          <w:rFonts w:ascii="Arial Narrow" w:hAnsi="Arial Narrow" w:eastAsia="宋体" w:cs="宋体"/>
          <w:sz w:val="32"/>
          <w:szCs w:val="32"/>
          <w:lang w:eastAsia="zh-CN"/>
        </w:rPr>
      </w:pPr>
      <w:r>
        <w:rPr>
          <w:rFonts w:ascii="Arial Narrow" w:hAnsi="Arial Narrow" w:eastAsia="宋体" w:cs="宋体"/>
          <w:b/>
          <w:bCs/>
          <w:spacing w:val="-3"/>
          <w:sz w:val="32"/>
          <w:szCs w:val="32"/>
          <w:lang w:eastAsia="zh-CN"/>
        </w:rPr>
        <w:t>投资者关系活动记录表</w:t>
      </w:r>
    </w:p>
    <w:p>
      <w:pPr>
        <w:spacing w:line="69" w:lineRule="exact"/>
        <w:rPr>
          <w:lang w:eastAsia="zh-CN"/>
        </w:rPr>
      </w:pPr>
    </w:p>
    <w:tbl>
      <w:tblPr>
        <w:tblStyle w:val="6"/>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55"/>
        <w:gridCol w:w="2361"/>
        <w:gridCol w:w="41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1112" w:type="pct"/>
            <w:vAlign w:val="center"/>
          </w:tcPr>
          <w:p>
            <w:pPr>
              <w:pStyle w:val="7"/>
              <w:spacing w:before="120" w:line="347" w:lineRule="auto"/>
              <w:ind w:left="118" w:right="109" w:firstLine="1"/>
              <w:rPr>
                <w:rFonts w:hint="eastAsia"/>
              </w:rPr>
            </w:pPr>
            <w:r>
              <w:rPr>
                <w:spacing w:val="-6"/>
                <w:lang w:eastAsia="zh-CN"/>
              </w:rPr>
              <w:t>投资者关系活 动类别</w:t>
            </w:r>
          </w:p>
        </w:tc>
        <w:tc>
          <w:tcPr>
            <w:tcW w:w="1415" w:type="pct"/>
            <w:tcBorders>
              <w:right w:val="nil"/>
            </w:tcBorders>
          </w:tcPr>
          <w:p>
            <w:pPr>
              <w:pStyle w:val="7"/>
              <w:spacing w:before="120" w:line="220" w:lineRule="auto"/>
              <w:ind w:left="137"/>
              <w:rPr>
                <w:rFonts w:hint="eastAsia"/>
                <w:lang w:eastAsia="zh-CN"/>
              </w:rPr>
            </w:pPr>
            <w:r>
              <w:rPr>
                <w:rFonts w:hint="eastAsia" w:ascii="Segoe UI Symbol" w:hAnsi="Segoe UI Symbol" w:cs="Segoe UI Symbol"/>
                <w:spacing w:val="-5"/>
                <w:lang w:eastAsia="zh-CN"/>
              </w:rPr>
              <w:t>☑</w:t>
            </w:r>
            <w:r>
              <w:rPr>
                <w:spacing w:val="-5"/>
                <w:lang w:eastAsia="zh-CN"/>
              </w:rPr>
              <w:t>特定对象调研</w:t>
            </w:r>
          </w:p>
          <w:p>
            <w:pPr>
              <w:pStyle w:val="7"/>
              <w:spacing w:before="120" w:line="219" w:lineRule="auto"/>
              <w:ind w:left="137"/>
              <w:rPr>
                <w:rFonts w:hint="eastAsia"/>
                <w:lang w:eastAsia="zh-CN"/>
              </w:rPr>
            </w:pPr>
            <w:r>
              <w:rPr>
                <w:spacing w:val="-6"/>
                <w:lang w:eastAsia="zh-CN"/>
              </w:rPr>
              <w:t>□媒体采访</w:t>
            </w:r>
          </w:p>
          <w:p>
            <w:pPr>
              <w:pStyle w:val="7"/>
              <w:spacing w:before="120" w:line="219" w:lineRule="auto"/>
              <w:ind w:left="137"/>
              <w:rPr>
                <w:rFonts w:hint="eastAsia"/>
                <w:lang w:eastAsia="zh-CN"/>
              </w:rPr>
            </w:pPr>
            <w:r>
              <w:rPr>
                <w:spacing w:val="-5"/>
                <w:lang w:eastAsia="zh-CN"/>
              </w:rPr>
              <w:t>□新闻发布会</w:t>
            </w:r>
          </w:p>
          <w:p>
            <w:pPr>
              <w:pStyle w:val="7"/>
              <w:spacing w:before="120" w:line="220" w:lineRule="auto"/>
              <w:ind w:left="137"/>
              <w:rPr>
                <w:rFonts w:hint="eastAsia"/>
                <w:lang w:eastAsia="zh-CN"/>
              </w:rPr>
            </w:pPr>
            <w:r>
              <w:rPr>
                <w:rFonts w:hint="eastAsia" w:ascii="Segoe UI Symbol" w:hAnsi="Segoe UI Symbol" w:cs="Segoe UI Symbol"/>
                <w:spacing w:val="-5"/>
                <w:lang w:eastAsia="zh-CN"/>
              </w:rPr>
              <w:t>☑</w:t>
            </w:r>
            <w:r>
              <w:rPr>
                <w:spacing w:val="-6"/>
                <w:lang w:eastAsia="zh-CN"/>
              </w:rPr>
              <w:t>现场参观</w:t>
            </w:r>
          </w:p>
          <w:p>
            <w:pPr>
              <w:pStyle w:val="7"/>
              <w:spacing w:before="120" w:line="220" w:lineRule="auto"/>
              <w:ind w:left="137"/>
              <w:rPr>
                <w:rFonts w:hint="eastAsia"/>
                <w:lang w:eastAsia="zh-CN"/>
              </w:rPr>
            </w:pPr>
            <w:r>
              <w:rPr>
                <w:rFonts w:hint="eastAsia" w:ascii="Segoe UI Symbol" w:hAnsi="Segoe UI Symbol" w:cs="Segoe UI Symbol"/>
                <w:spacing w:val="-5"/>
                <w:lang w:eastAsia="zh-CN"/>
              </w:rPr>
              <w:t>☑</w:t>
            </w:r>
            <w:r>
              <w:rPr>
                <w:spacing w:val="-12"/>
                <w:lang w:eastAsia="zh-CN"/>
              </w:rPr>
              <w:t>其他</w:t>
            </w:r>
            <w:r>
              <w:rPr>
                <w:u w:val="single"/>
                <w:lang w:eastAsia="zh-CN"/>
              </w:rPr>
              <w:t xml:space="preserve">  </w:t>
            </w:r>
            <w:r>
              <w:rPr>
                <w:rFonts w:hint="eastAsia"/>
                <w:u w:val="single"/>
                <w:lang w:eastAsia="zh-CN"/>
              </w:rPr>
              <w:t>线上会议</w:t>
            </w:r>
            <w:r>
              <w:rPr>
                <w:u w:val="single"/>
                <w:lang w:eastAsia="zh-CN"/>
              </w:rPr>
              <w:t xml:space="preserve">          </w:t>
            </w:r>
          </w:p>
        </w:tc>
        <w:tc>
          <w:tcPr>
            <w:tcW w:w="2472" w:type="pct"/>
            <w:tcBorders>
              <w:left w:val="nil"/>
            </w:tcBorders>
          </w:tcPr>
          <w:p>
            <w:pPr>
              <w:pStyle w:val="7"/>
              <w:spacing w:before="120" w:line="219" w:lineRule="auto"/>
              <w:ind w:left="197"/>
              <w:rPr>
                <w:rFonts w:hint="eastAsia"/>
                <w:lang w:eastAsia="zh-CN"/>
              </w:rPr>
            </w:pPr>
            <w:r>
              <w:rPr>
                <w:rFonts w:hint="eastAsia" w:ascii="Segoe UI Symbol" w:hAnsi="Segoe UI Symbol" w:cs="Segoe UI Symbol"/>
                <w:spacing w:val="-5"/>
                <w:lang w:eastAsia="zh-CN"/>
              </w:rPr>
              <w:t>☑</w:t>
            </w:r>
            <w:r>
              <w:rPr>
                <w:spacing w:val="-5"/>
                <w:lang w:eastAsia="zh-CN"/>
              </w:rPr>
              <w:t>分析师会议</w:t>
            </w:r>
          </w:p>
          <w:p>
            <w:pPr>
              <w:pStyle w:val="7"/>
              <w:spacing w:before="120" w:line="219" w:lineRule="auto"/>
              <w:ind w:left="197"/>
              <w:rPr>
                <w:rFonts w:hint="eastAsia"/>
                <w:lang w:eastAsia="zh-CN"/>
              </w:rPr>
            </w:pPr>
            <w:r>
              <w:rPr>
                <w:rFonts w:hint="eastAsia"/>
                <w:spacing w:val="-5"/>
                <w:lang w:eastAsia="zh-CN"/>
              </w:rPr>
              <w:t>□</w:t>
            </w:r>
            <w:r>
              <w:rPr>
                <w:spacing w:val="-6"/>
                <w:lang w:eastAsia="zh-CN"/>
              </w:rPr>
              <w:t>业绩说明会</w:t>
            </w:r>
          </w:p>
          <w:p>
            <w:pPr>
              <w:pStyle w:val="7"/>
              <w:spacing w:before="120" w:line="220" w:lineRule="auto"/>
              <w:ind w:left="197"/>
              <w:rPr>
                <w:rFonts w:hint="eastAsia"/>
              </w:rPr>
            </w:pPr>
            <w:r>
              <w:rPr>
                <w:rFonts w:hint="eastAsia" w:ascii="Segoe UI Symbol" w:hAnsi="Segoe UI Symbol" w:cs="Segoe UI Symbol"/>
                <w:spacing w:val="-6"/>
                <w:lang w:eastAsia="zh-CN"/>
              </w:rPr>
              <w:t>□</w:t>
            </w:r>
            <w:r>
              <w:rPr>
                <w:spacing w:val="-6"/>
              </w:rPr>
              <w:t>路演活动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112" w:type="pct"/>
            <w:vAlign w:val="center"/>
          </w:tcPr>
          <w:p>
            <w:pPr>
              <w:pStyle w:val="7"/>
              <w:spacing w:before="120" w:line="347" w:lineRule="auto"/>
              <w:ind w:left="116" w:right="109" w:firstLine="2"/>
              <w:rPr>
                <w:rFonts w:hint="eastAsia"/>
                <w:lang w:eastAsia="zh-CN"/>
              </w:rPr>
            </w:pPr>
            <w:r>
              <w:rPr>
                <w:spacing w:val="-6"/>
                <w:lang w:eastAsia="zh-CN"/>
              </w:rPr>
              <w:t>参与单位名称 及人员姓名</w:t>
            </w:r>
          </w:p>
        </w:tc>
        <w:tc>
          <w:tcPr>
            <w:tcW w:w="3887" w:type="pct"/>
            <w:gridSpan w:val="2"/>
          </w:tcPr>
          <w:p>
            <w:pPr>
              <w:pStyle w:val="7"/>
              <w:numPr>
                <w:ilvl w:val="0"/>
                <w:numId w:val="1"/>
              </w:numPr>
              <w:spacing w:before="120" w:line="345" w:lineRule="auto"/>
              <w:ind w:right="23"/>
              <w:jc w:val="both"/>
              <w:rPr>
                <w:rFonts w:hint="eastAsia"/>
                <w:b/>
                <w:bCs/>
                <w:lang w:eastAsia="zh-CN"/>
              </w:rPr>
            </w:pPr>
            <w:r>
              <w:rPr>
                <w:rFonts w:hint="eastAsia"/>
                <w:b/>
                <w:bCs/>
                <w:spacing w:val="-2"/>
                <w:lang w:eastAsia="zh-CN"/>
              </w:rPr>
              <w:t>现场调研</w:t>
            </w:r>
          </w:p>
          <w:p>
            <w:pPr>
              <w:pStyle w:val="7"/>
              <w:spacing w:before="120" w:line="329" w:lineRule="auto"/>
              <w:ind w:left="113" w:right="105" w:firstLine="480" w:firstLineChars="200"/>
              <w:jc w:val="both"/>
              <w:rPr>
                <w:rFonts w:hint="eastAsia"/>
                <w:lang w:eastAsia="zh-CN"/>
              </w:rPr>
            </w:pPr>
            <w:r>
              <w:rPr>
                <w:rFonts w:hint="eastAsia"/>
                <w:lang w:eastAsia="zh-CN"/>
              </w:rPr>
              <w:t>本期公司在成都总部接待的机构有</w:t>
            </w:r>
            <w:r>
              <w:rPr>
                <w:rFonts w:hint="eastAsia"/>
                <w:lang w:val="en-US" w:eastAsia="zh-CN"/>
              </w:rPr>
              <w:t>万家基金</w:t>
            </w:r>
            <w:r>
              <w:rPr>
                <w:rFonts w:hint="eastAsia"/>
                <w:lang w:eastAsia="zh-CN"/>
              </w:rPr>
              <w:t>。</w:t>
            </w:r>
          </w:p>
          <w:p>
            <w:pPr>
              <w:pStyle w:val="7"/>
              <w:numPr>
                <w:ilvl w:val="0"/>
                <w:numId w:val="1"/>
              </w:numPr>
              <w:spacing w:before="120" w:line="345" w:lineRule="auto"/>
              <w:ind w:right="23"/>
              <w:jc w:val="both"/>
              <w:rPr>
                <w:rFonts w:hint="eastAsia"/>
                <w:b/>
                <w:bCs/>
                <w:lang w:eastAsia="zh-CN"/>
              </w:rPr>
            </w:pPr>
            <w:r>
              <w:rPr>
                <w:rFonts w:hint="eastAsia"/>
                <w:b/>
                <w:bCs/>
                <w:spacing w:val="-2"/>
                <w:lang w:eastAsia="zh-CN"/>
              </w:rPr>
              <w:t>线上会议</w:t>
            </w:r>
          </w:p>
          <w:p>
            <w:pPr>
              <w:pStyle w:val="7"/>
              <w:spacing w:before="120" w:line="329" w:lineRule="auto"/>
              <w:ind w:left="113" w:right="105" w:firstLine="480" w:firstLineChars="200"/>
              <w:jc w:val="both"/>
              <w:rPr>
                <w:rFonts w:hint="eastAsia"/>
                <w:lang w:eastAsia="zh-CN"/>
              </w:rPr>
            </w:pPr>
            <w:r>
              <w:rPr>
                <w:rFonts w:hint="eastAsia"/>
                <w:lang w:eastAsia="zh-CN"/>
              </w:rPr>
              <w:t>本期公司与</w:t>
            </w:r>
            <w:r>
              <w:rPr>
                <w:rFonts w:hint="eastAsia"/>
                <w:lang w:val="en-US" w:eastAsia="zh-CN"/>
              </w:rPr>
              <w:t>富国基金</w:t>
            </w:r>
            <w:r>
              <w:rPr>
                <w:rFonts w:hint="eastAsia"/>
                <w:lang w:eastAsia="zh-CN"/>
              </w:rPr>
              <w:t>、</w:t>
            </w:r>
            <w:r>
              <w:rPr>
                <w:rFonts w:hint="eastAsia"/>
                <w:lang w:val="en-US" w:eastAsia="zh-CN"/>
              </w:rPr>
              <w:t>财通资管</w:t>
            </w:r>
            <w:r>
              <w:rPr>
                <w:rFonts w:hint="eastAsia"/>
                <w:lang w:eastAsia="zh-CN"/>
              </w:rPr>
              <w:t>、</w:t>
            </w:r>
            <w:r>
              <w:rPr>
                <w:rFonts w:hint="eastAsia"/>
                <w:lang w:val="en-US" w:eastAsia="zh-CN"/>
              </w:rPr>
              <w:t>信达澳亚基金</w:t>
            </w:r>
            <w:r>
              <w:rPr>
                <w:rFonts w:hint="eastAsia"/>
                <w:lang w:eastAsia="zh-CN"/>
              </w:rPr>
              <w:t>等机构进行了线上交流。</w:t>
            </w:r>
          </w:p>
          <w:p>
            <w:pPr>
              <w:pStyle w:val="7"/>
              <w:numPr>
                <w:ilvl w:val="0"/>
                <w:numId w:val="1"/>
              </w:numPr>
              <w:spacing w:before="120" w:line="345" w:lineRule="auto"/>
              <w:ind w:right="23"/>
              <w:jc w:val="both"/>
              <w:rPr>
                <w:rFonts w:hint="eastAsia"/>
                <w:b/>
                <w:bCs/>
                <w:spacing w:val="-2"/>
                <w:lang w:eastAsia="zh-CN"/>
              </w:rPr>
            </w:pPr>
            <w:r>
              <w:rPr>
                <w:rFonts w:hint="eastAsia"/>
                <w:b/>
                <w:bCs/>
                <w:spacing w:val="-2"/>
                <w:lang w:eastAsia="zh-CN"/>
              </w:rPr>
              <w:t>策略会</w:t>
            </w:r>
          </w:p>
          <w:p>
            <w:pPr>
              <w:pStyle w:val="7"/>
              <w:spacing w:before="120" w:line="276" w:lineRule="auto"/>
              <w:ind w:left="136" w:right="23" w:firstLine="480" w:firstLineChars="200"/>
              <w:jc w:val="both"/>
              <w:rPr>
                <w:rFonts w:hint="eastAsia"/>
                <w:lang w:eastAsia="zh-CN"/>
              </w:rPr>
            </w:pPr>
            <w:r>
              <w:rPr>
                <w:rFonts w:hint="eastAsia"/>
                <w:lang w:eastAsia="zh-CN"/>
              </w:rPr>
              <w:t>本期公司参加了</w:t>
            </w:r>
            <w:r>
              <w:rPr>
                <w:rFonts w:hint="eastAsia"/>
                <w:lang w:val="en-US" w:eastAsia="zh-CN"/>
              </w:rPr>
              <w:t>长江证券、东吴证券、中信建投证券、中金公司、广发证券等券商研究所</w:t>
            </w:r>
            <w:r>
              <w:rPr>
                <w:rFonts w:hint="eastAsia"/>
                <w:lang w:eastAsia="zh-CN"/>
              </w:rPr>
              <w:t>组织的策略会，参加策略会并与公司交流的投资机构有</w:t>
            </w:r>
            <w:r>
              <w:rPr>
                <w:rFonts w:hint="eastAsia"/>
                <w:lang w:val="en-US" w:eastAsia="zh-CN"/>
              </w:rPr>
              <w:t>招商基金、大成基金、嘉实基金、博时基金、银华基金、东方红基金、汇添富基金、高毅资产、华夏基金、国寿养老、新华基金、宝盈基金、友邦人寿</w:t>
            </w:r>
            <w:r>
              <w:rPr>
                <w:rFonts w:hint="eastAsia"/>
                <w:lang w:eastAsia="zh-CN"/>
              </w:rPr>
              <w:t>等投资机构。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112" w:type="pct"/>
          </w:tcPr>
          <w:p>
            <w:pPr>
              <w:pStyle w:val="7"/>
              <w:spacing w:before="120" w:line="222" w:lineRule="auto"/>
              <w:ind w:left="128"/>
              <w:rPr>
                <w:rFonts w:hint="eastAsia"/>
              </w:rPr>
            </w:pPr>
            <w:r>
              <w:rPr>
                <w:spacing w:val="-6"/>
              </w:rPr>
              <w:t>时间</w:t>
            </w:r>
          </w:p>
        </w:tc>
        <w:tc>
          <w:tcPr>
            <w:tcW w:w="3887" w:type="pct"/>
            <w:gridSpan w:val="2"/>
          </w:tcPr>
          <w:p>
            <w:pPr>
              <w:pStyle w:val="7"/>
              <w:spacing w:before="120" w:line="220" w:lineRule="auto"/>
              <w:ind w:left="116"/>
              <w:rPr>
                <w:rFonts w:hint="eastAsia"/>
                <w:lang w:eastAsia="zh-CN"/>
              </w:rPr>
            </w:pPr>
            <w:r>
              <w:rPr>
                <w:rFonts w:hint="eastAsia"/>
                <w:spacing w:val="-7"/>
              </w:rPr>
              <w:t>202</w:t>
            </w:r>
            <w:r>
              <w:rPr>
                <w:rFonts w:hint="eastAsia"/>
                <w:spacing w:val="-7"/>
                <w:lang w:eastAsia="zh-CN"/>
              </w:rPr>
              <w:t>5年</w:t>
            </w:r>
            <w:r>
              <w:rPr>
                <w:rFonts w:hint="eastAsia"/>
                <w:spacing w:val="-7"/>
                <w:lang w:val="en-US" w:eastAsia="zh-CN"/>
              </w:rPr>
              <w:t>2</w:t>
            </w:r>
            <w:r>
              <w:rPr>
                <w:rFonts w:hint="eastAsia"/>
                <w:spacing w:val="-7"/>
              </w:rPr>
              <w:t>月</w:t>
            </w:r>
            <w:r>
              <w:rPr>
                <w:rFonts w:hint="eastAsia"/>
                <w:spacing w:val="-7"/>
                <w:lang w:eastAsia="zh-CN"/>
              </w:rPr>
              <w:t>1</w:t>
            </w:r>
            <w:r>
              <w:rPr>
                <w:rFonts w:hint="eastAsia"/>
                <w:spacing w:val="-7"/>
              </w:rPr>
              <w:t>日</w:t>
            </w:r>
            <w:r>
              <w:rPr>
                <w:rFonts w:hint="eastAsia"/>
                <w:spacing w:val="-7"/>
                <w:lang w:eastAsia="zh-CN"/>
              </w:rPr>
              <w:t>-</w:t>
            </w:r>
            <w:r>
              <w:rPr>
                <w:rFonts w:hint="eastAsia"/>
                <w:spacing w:val="-7"/>
                <w:lang w:val="en-US" w:eastAsia="zh-CN"/>
              </w:rPr>
              <w:t>2</w:t>
            </w:r>
            <w:r>
              <w:rPr>
                <w:rFonts w:hint="eastAsia"/>
                <w:spacing w:val="-7"/>
                <w:lang w:eastAsia="zh-CN"/>
              </w:rPr>
              <w:t>月</w:t>
            </w:r>
            <w:r>
              <w:rPr>
                <w:rFonts w:hint="eastAsia"/>
                <w:spacing w:val="-7"/>
                <w:lang w:val="en-US" w:eastAsia="zh-CN"/>
              </w:rPr>
              <w:t>28</w:t>
            </w:r>
            <w:r>
              <w:rPr>
                <w:rFonts w:hint="eastAsia"/>
                <w:spacing w:val="-7"/>
                <w:lang w:eastAsia="zh-CN"/>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112" w:type="pct"/>
          </w:tcPr>
          <w:p>
            <w:pPr>
              <w:pStyle w:val="7"/>
              <w:spacing w:before="120" w:line="224" w:lineRule="auto"/>
              <w:ind w:left="117"/>
              <w:rPr>
                <w:rFonts w:hint="eastAsia"/>
              </w:rPr>
            </w:pPr>
            <w:r>
              <w:rPr>
                <w:spacing w:val="-3"/>
              </w:rPr>
              <w:t>地点</w:t>
            </w:r>
          </w:p>
        </w:tc>
        <w:tc>
          <w:tcPr>
            <w:tcW w:w="3887" w:type="pct"/>
            <w:gridSpan w:val="2"/>
          </w:tcPr>
          <w:p>
            <w:pPr>
              <w:pStyle w:val="7"/>
              <w:spacing w:before="120" w:line="220" w:lineRule="auto"/>
              <w:ind w:left="128"/>
              <w:rPr>
                <w:rFonts w:hint="default"/>
                <w:lang w:val="en-US" w:eastAsia="zh-CN"/>
              </w:rPr>
            </w:pPr>
            <w:r>
              <w:rPr>
                <w:rFonts w:hint="eastAsia"/>
                <w:lang w:eastAsia="zh-CN"/>
              </w:rPr>
              <w:t>通威股份成都总部、</w:t>
            </w:r>
            <w:r>
              <w:rPr>
                <w:rFonts w:hint="eastAsia"/>
                <w:lang w:val="en-US" w:eastAsia="zh-CN"/>
              </w:rPr>
              <w:t>北京、上海、深圳、香港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5" w:hRule="atLeast"/>
        </w:trPr>
        <w:tc>
          <w:tcPr>
            <w:tcW w:w="1112" w:type="pct"/>
            <w:vAlign w:val="center"/>
          </w:tcPr>
          <w:p>
            <w:pPr>
              <w:pStyle w:val="7"/>
              <w:spacing w:before="120" w:line="347" w:lineRule="auto"/>
              <w:ind w:left="119" w:right="109"/>
              <w:rPr>
                <w:rFonts w:hint="eastAsia"/>
                <w:lang w:eastAsia="zh-CN"/>
              </w:rPr>
            </w:pPr>
            <w:r>
              <w:rPr>
                <w:spacing w:val="-6"/>
                <w:lang w:eastAsia="zh-CN"/>
              </w:rPr>
              <w:t>上市公司接待 人员姓名</w:t>
            </w:r>
          </w:p>
        </w:tc>
        <w:tc>
          <w:tcPr>
            <w:tcW w:w="3887" w:type="pct"/>
            <w:gridSpan w:val="2"/>
          </w:tcPr>
          <w:p>
            <w:pPr>
              <w:pStyle w:val="7"/>
              <w:spacing w:before="120" w:line="220" w:lineRule="auto"/>
              <w:ind w:left="128"/>
              <w:rPr>
                <w:rFonts w:hint="eastAsia"/>
                <w:spacing w:val="-4"/>
                <w:lang w:eastAsia="zh-CN"/>
              </w:rPr>
            </w:pPr>
            <w:r>
              <w:rPr>
                <w:rFonts w:hint="eastAsia"/>
                <w:lang w:eastAsia="zh-CN"/>
              </w:rPr>
              <w:t>董事会秘书 严轲</w:t>
            </w:r>
          </w:p>
          <w:p>
            <w:pPr>
              <w:pStyle w:val="7"/>
              <w:spacing w:before="120" w:line="220" w:lineRule="auto"/>
              <w:ind w:left="128"/>
              <w:rPr>
                <w:rFonts w:hint="eastAsia"/>
                <w:spacing w:val="-4"/>
                <w:lang w:eastAsia="zh-CN"/>
              </w:rPr>
            </w:pPr>
            <w:r>
              <w:rPr>
                <w:rFonts w:hint="eastAsia"/>
                <w:spacing w:val="-4"/>
                <w:lang w:eastAsia="zh-CN"/>
              </w:rPr>
              <w:t>投资者关系经理 钟秋实</w:t>
            </w:r>
          </w:p>
          <w:p>
            <w:pPr>
              <w:pStyle w:val="7"/>
              <w:spacing w:before="120" w:line="220" w:lineRule="auto"/>
              <w:ind w:left="128"/>
              <w:rPr>
                <w:rFonts w:hint="eastAsia"/>
                <w:spacing w:val="-4"/>
                <w:lang w:eastAsia="zh-CN"/>
              </w:rPr>
            </w:pPr>
            <w:r>
              <w:rPr>
                <w:rFonts w:hint="eastAsia"/>
                <w:spacing w:val="-4"/>
                <w:lang w:eastAsia="zh-CN"/>
              </w:rPr>
              <w:t>投资者关系经理 孙书恒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0" w:hRule="atLeast"/>
        </w:trPr>
        <w:tc>
          <w:tcPr>
            <w:tcW w:w="1112" w:type="pct"/>
            <w:vAlign w:val="center"/>
          </w:tcPr>
          <w:p>
            <w:pPr>
              <w:pStyle w:val="7"/>
              <w:spacing w:before="120" w:line="353" w:lineRule="auto"/>
              <w:ind w:left="118" w:right="109" w:firstLine="1"/>
              <w:jc w:val="both"/>
              <w:rPr>
                <w:rFonts w:hint="eastAsia"/>
                <w:lang w:eastAsia="zh-CN"/>
              </w:rPr>
            </w:pPr>
            <w:r>
              <w:rPr>
                <w:spacing w:val="-6"/>
                <w:lang w:eastAsia="zh-CN"/>
              </w:rPr>
              <w:t>投资者关系活动主要内容介绍</w:t>
            </w:r>
          </w:p>
        </w:tc>
        <w:tc>
          <w:tcPr>
            <w:tcW w:w="3887" w:type="pct"/>
            <w:gridSpan w:val="2"/>
          </w:tcPr>
          <w:p>
            <w:pPr>
              <w:pStyle w:val="7"/>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beforeLines="50" w:line="329" w:lineRule="auto"/>
              <w:ind w:left="0" w:leftChars="0" w:right="108" w:firstLine="482" w:firstLineChars="200"/>
              <w:jc w:val="both"/>
              <w:textAlignment w:val="baseline"/>
              <w:rPr>
                <w:rFonts w:hint="eastAsia"/>
                <w:b/>
                <w:bCs/>
                <w:lang w:val="en-US" w:eastAsia="zh-CN"/>
              </w:rPr>
            </w:pPr>
            <w:r>
              <w:rPr>
                <w:rFonts w:hint="eastAsia"/>
                <w:b/>
                <w:bCs/>
                <w:lang w:val="en-US" w:eastAsia="zh-CN"/>
              </w:rPr>
              <w:t>请问公司如何展望3月行业组件排产情况，公司是否有提高组件开工率的计划？</w:t>
            </w:r>
          </w:p>
          <w:p>
            <w:pPr>
              <w:pStyle w:val="7"/>
              <w:spacing w:before="120" w:line="329" w:lineRule="auto"/>
              <w:ind w:left="113" w:right="105" w:firstLine="480" w:firstLineChars="200"/>
              <w:jc w:val="both"/>
              <w:rPr>
                <w:rFonts w:hint="eastAsia"/>
                <w:lang w:eastAsia="zh-CN"/>
              </w:rPr>
            </w:pPr>
            <w:r>
              <w:rPr>
                <w:rFonts w:hint="eastAsia"/>
                <w:lang w:eastAsia="zh-CN"/>
              </w:rPr>
              <w:t>答：从目前行业情况来看，随着3月旺季来临，叠加新能源电价入市政策落地后市场对二季度的抢装预期，预计组件环节3月排产将环比显著提升。公司3月组件排产也将跟随行业提升趋势。此外，公司也会根据市场需求、自身订单情况及产业链协同等多方面因素，灵活调整组件开工率。</w:t>
            </w:r>
          </w:p>
          <w:p>
            <w:pPr>
              <w:pStyle w:val="7"/>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beforeLines="50" w:line="329" w:lineRule="auto"/>
              <w:ind w:left="0" w:leftChars="0" w:right="108" w:firstLine="482" w:firstLineChars="200"/>
              <w:jc w:val="both"/>
              <w:textAlignment w:val="baseline"/>
              <w:rPr>
                <w:rFonts w:hint="eastAsia"/>
                <w:b/>
                <w:bCs/>
                <w:lang w:val="en-US" w:eastAsia="zh-CN"/>
              </w:rPr>
            </w:pPr>
            <w:r>
              <w:rPr>
                <w:rFonts w:hint="eastAsia"/>
                <w:b/>
                <w:bCs/>
                <w:lang w:val="en-US" w:eastAsia="zh-CN"/>
              </w:rPr>
              <w:t>关注到公司HJT组件功率再创新高，请问公司是否有HJT量产平均功率的目标？</w:t>
            </w:r>
          </w:p>
          <w:p>
            <w:pPr>
              <w:pStyle w:val="7"/>
              <w:spacing w:before="120" w:line="329" w:lineRule="auto"/>
              <w:ind w:left="113" w:right="105" w:firstLine="480" w:firstLineChars="200"/>
              <w:jc w:val="both"/>
              <w:rPr>
                <w:rFonts w:hint="eastAsia"/>
                <w:lang w:eastAsia="zh-CN"/>
              </w:rPr>
            </w:pPr>
            <w:r>
              <w:rPr>
                <w:rFonts w:hint="eastAsia"/>
                <w:lang w:eastAsia="zh-CN"/>
              </w:rPr>
              <w:t>答：公司一直致力于</w:t>
            </w:r>
            <w:r>
              <w:rPr>
                <w:rFonts w:hint="eastAsia"/>
                <w:lang w:val="en-US" w:eastAsia="zh-CN"/>
              </w:rPr>
              <w:t>多种电池新技术</w:t>
            </w:r>
            <w:r>
              <w:rPr>
                <w:rFonts w:hint="eastAsia"/>
                <w:lang w:eastAsia="zh-CN"/>
              </w:rPr>
              <w:t>的研发和提升，目前1GW的HJT中试线组件平均功率超7</w:t>
            </w:r>
            <w:r>
              <w:rPr>
                <w:rFonts w:hint="eastAsia"/>
                <w:lang w:val="en-US" w:eastAsia="zh-CN"/>
              </w:rPr>
              <w:t>37</w:t>
            </w:r>
            <w:r>
              <w:rPr>
                <w:rFonts w:hint="eastAsia"/>
                <w:lang w:eastAsia="zh-CN"/>
              </w:rPr>
              <w:t>W（210-66版型，莱茵标准）。公司已制定清晰的功率提升路线图，并有信心在2025年年底前将HJT中试线组件平均功率提升至765W以上，对应组件转换效率超24.</w:t>
            </w:r>
            <w:r>
              <w:rPr>
                <w:rFonts w:hint="eastAsia"/>
                <w:lang w:val="en-US" w:eastAsia="zh-CN"/>
              </w:rPr>
              <w:t>6</w:t>
            </w:r>
            <w:r>
              <w:rPr>
                <w:rFonts w:hint="eastAsia"/>
                <w:lang w:eastAsia="zh-CN"/>
              </w:rPr>
              <w:t>%。未来，公司会持续投入研发，以市场需求和技术发展为导向，不断提高HJT组件的量产平均功率。</w:t>
            </w:r>
          </w:p>
          <w:p>
            <w:pPr>
              <w:pStyle w:val="7"/>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beforeLines="50" w:line="329" w:lineRule="auto"/>
              <w:ind w:left="0" w:leftChars="0" w:right="108" w:firstLine="482" w:firstLineChars="200"/>
              <w:jc w:val="both"/>
              <w:textAlignment w:val="baseline"/>
              <w:rPr>
                <w:rFonts w:hint="eastAsia"/>
                <w:b/>
                <w:bCs/>
                <w:lang w:val="en-US" w:eastAsia="zh-CN"/>
              </w:rPr>
            </w:pPr>
            <w:r>
              <w:rPr>
                <w:rFonts w:hint="eastAsia"/>
                <w:b/>
                <w:bCs/>
                <w:lang w:val="en-US" w:eastAsia="zh-CN"/>
              </w:rPr>
              <w:t>请介绍公司2025年各环节经营出货目标？</w:t>
            </w:r>
          </w:p>
          <w:p>
            <w:pPr>
              <w:pStyle w:val="7"/>
              <w:spacing w:before="120" w:line="329" w:lineRule="auto"/>
              <w:ind w:left="113" w:right="105" w:firstLine="480" w:firstLineChars="200"/>
              <w:jc w:val="both"/>
              <w:rPr>
                <w:rFonts w:hint="eastAsia"/>
                <w:lang w:eastAsia="zh-CN"/>
              </w:rPr>
            </w:pPr>
            <w:r>
              <w:rPr>
                <w:rFonts w:hint="eastAsia"/>
                <w:lang w:eastAsia="zh-CN"/>
              </w:rPr>
              <w:t>答：</w:t>
            </w:r>
            <w:r>
              <w:rPr>
                <w:rFonts w:hint="eastAsia"/>
                <w:lang w:val="en-US" w:eastAsia="zh-CN"/>
              </w:rPr>
              <w:t>2025年，</w:t>
            </w:r>
            <w:r>
              <w:rPr>
                <w:rFonts w:hint="eastAsia"/>
                <w:lang w:eastAsia="zh-CN"/>
              </w:rPr>
              <w:t>公司继续秉承“聚势聚焦、执行到位、高效经营”的经营方针，在充分把握行业发展趋势的基础上，立足自身实际、行业自律和需求情况，持续优化产能结构和市场策略，审慎制定各环节产能的生产组态，稳健推进各项业务高质量发展，不断夯实核心竞争力，致力于为全球客户提供更具价值的产品和服务。</w:t>
            </w:r>
          </w:p>
          <w:p>
            <w:pPr>
              <w:pStyle w:val="7"/>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beforeLines="50" w:line="329" w:lineRule="auto"/>
              <w:ind w:left="0" w:leftChars="0" w:right="108" w:firstLine="482" w:firstLineChars="200"/>
              <w:jc w:val="both"/>
              <w:textAlignment w:val="baseline"/>
              <w:rPr>
                <w:rFonts w:hint="eastAsia"/>
                <w:b/>
                <w:bCs/>
                <w:lang w:val="en-US" w:eastAsia="zh-CN"/>
              </w:rPr>
            </w:pPr>
            <w:r>
              <w:rPr>
                <w:rFonts w:hint="eastAsia"/>
                <w:b/>
                <w:bCs/>
                <w:lang w:val="en-US" w:eastAsia="zh-CN"/>
              </w:rPr>
              <w:t>近期隆基绿能、天合光能等光伏企业纷纷下调可转债转股价，考虑到光伏行业目前还未走出内卷式竞争，公司是否也会在近期考虑下调转股价以缓解财务压力？</w:t>
            </w:r>
          </w:p>
          <w:p>
            <w:pPr>
              <w:pStyle w:val="7"/>
              <w:spacing w:before="120" w:line="329" w:lineRule="auto"/>
              <w:ind w:left="113" w:right="105" w:firstLine="480" w:firstLineChars="200"/>
              <w:jc w:val="both"/>
              <w:rPr>
                <w:rFonts w:hint="eastAsia"/>
                <w:lang w:eastAsia="zh-CN"/>
              </w:rPr>
            </w:pPr>
            <w:r>
              <w:rPr>
                <w:rFonts w:hint="eastAsia"/>
                <w:lang w:eastAsia="zh-CN"/>
              </w:rPr>
              <w:t>答：公司目前经营情况稳定，财务状况良好，各项业务均有序开展。关于未来是否调整可转债转股价，公司会综合考虑行业发展趋势、市场环境及全体股东利益等多方面因素，审慎做出决策，并严格按照相关法律法规及时履行信息披露义务。</w:t>
            </w:r>
          </w:p>
          <w:p>
            <w:pPr>
              <w:pStyle w:val="7"/>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beforeLines="50" w:line="329" w:lineRule="auto"/>
              <w:ind w:left="0" w:leftChars="0" w:right="108" w:firstLine="482" w:firstLineChars="200"/>
              <w:jc w:val="both"/>
              <w:textAlignment w:val="baseline"/>
              <w:rPr>
                <w:rFonts w:hint="eastAsia"/>
                <w:b/>
                <w:bCs/>
                <w:lang w:val="en-US" w:eastAsia="zh-CN"/>
              </w:rPr>
            </w:pPr>
            <w:r>
              <w:rPr>
                <w:rFonts w:hint="eastAsia"/>
                <w:b/>
                <w:bCs/>
                <w:lang w:val="en-US" w:eastAsia="zh-CN"/>
              </w:rPr>
              <w:t>公司云南和四川多晶硅项目计划何时复产，若考虑复产预计多久可以满产？</w:t>
            </w:r>
          </w:p>
          <w:p>
            <w:pPr>
              <w:pStyle w:val="7"/>
              <w:spacing w:before="120" w:line="329" w:lineRule="auto"/>
              <w:ind w:left="113" w:right="105" w:firstLine="480" w:firstLineChars="200"/>
              <w:jc w:val="both"/>
              <w:rPr>
                <w:rFonts w:hint="eastAsia"/>
                <w:lang w:eastAsia="zh-CN"/>
              </w:rPr>
            </w:pPr>
            <w:r>
              <w:rPr>
                <w:rFonts w:hint="eastAsia"/>
                <w:lang w:eastAsia="zh-CN"/>
              </w:rPr>
              <w:t>答：目前上述基地公司复产计划尚未完全确定，未来将根据市场环境、电价走势以及公司整体经营策略综合判断复产规划。公司凭借在多晶硅领域的深厚工艺积累和高效运营能力，预计在复产后1个月左右即可实现满产，以迅速响应市场需求并为股东创造更大价值。</w:t>
            </w:r>
          </w:p>
          <w:p>
            <w:pPr>
              <w:pStyle w:val="7"/>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before="120" w:beforeLines="50" w:line="329" w:lineRule="auto"/>
              <w:ind w:right="108" w:rightChars="0" w:firstLine="482" w:firstLineChars="200"/>
              <w:jc w:val="both"/>
              <w:textAlignment w:val="baseline"/>
              <w:rPr>
                <w:rFonts w:hint="eastAsia"/>
                <w:b/>
                <w:bCs/>
                <w:lang w:eastAsia="zh-CN"/>
              </w:rPr>
            </w:pPr>
            <w:r>
              <w:rPr>
                <w:rFonts w:hint="eastAsia"/>
                <w:b/>
                <w:bCs/>
                <w:lang w:val="en-US" w:eastAsia="zh-CN"/>
              </w:rPr>
              <w:t>6、请问公司终止收购润阳主要是出于什么考虑？</w:t>
            </w:r>
          </w:p>
          <w:p>
            <w:pPr>
              <w:pStyle w:val="7"/>
              <w:spacing w:before="120" w:line="329" w:lineRule="auto"/>
              <w:ind w:left="113" w:right="105" w:firstLine="480" w:firstLineChars="200"/>
              <w:jc w:val="both"/>
              <w:rPr>
                <w:rFonts w:hint="eastAsia" w:eastAsia="宋体"/>
                <w:lang w:eastAsia="zh-CN"/>
              </w:rPr>
            </w:pPr>
            <w:r>
              <w:rPr>
                <w:rFonts w:hint="eastAsia"/>
                <w:lang w:eastAsia="zh-CN"/>
              </w:rPr>
              <w:t>答：公司于2月14日晚公告终止对润阳股份的意向收购。自签署增资协议之后，双方虽</w:t>
            </w:r>
            <w:r>
              <w:rPr>
                <w:rFonts w:ascii="宋体" w:hAnsi="宋体" w:eastAsia="宋体" w:cs="宋体"/>
                <w:sz w:val="24"/>
                <w:szCs w:val="24"/>
              </w:rPr>
              <w:t>进行了多轮详细、全面地沟通磋商，但仍有部分商务条款未能达成一致。基于对交易各方诉求的充分研讨及高度尊重，经协商一致，并经公司第八届董事会第二十五次会议及第八届监事会第二十次会议审议通过，公司决定终止本次意向性增资事项</w:t>
            </w:r>
            <w:r>
              <w:rPr>
                <w:rFonts w:hint="eastAsia" w:cs="宋体"/>
                <w:sz w:val="24"/>
                <w:szCs w:val="24"/>
                <w:lang w:eastAsia="zh-CN"/>
              </w:rPr>
              <w:t>。</w:t>
            </w:r>
          </w:p>
          <w:p>
            <w:pPr>
              <w:pStyle w:val="7"/>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before="120" w:beforeLines="50" w:line="329" w:lineRule="auto"/>
              <w:ind w:leftChars="0" w:right="108" w:rightChars="0" w:firstLine="482" w:firstLineChars="200"/>
              <w:jc w:val="both"/>
              <w:textAlignment w:val="baseline"/>
              <w:rPr>
                <w:rFonts w:hint="eastAsia"/>
                <w:b/>
                <w:bCs/>
                <w:lang w:val="en-US" w:eastAsia="zh-CN"/>
              </w:rPr>
            </w:pPr>
            <w:r>
              <w:rPr>
                <w:rFonts w:hint="eastAsia"/>
                <w:b/>
                <w:bCs/>
                <w:lang w:val="en-US" w:eastAsia="zh-CN"/>
              </w:rPr>
              <w:t>7、自去年底实施行业自律以来，各家硅料企业已明显降低开工率，产量环比持续下降，但为什么三方报价显示硅料价格至今都没有出现明显上涨？公司如何展望短期硅料价格走势？</w:t>
            </w:r>
          </w:p>
          <w:p>
            <w:pPr>
              <w:pStyle w:val="7"/>
              <w:spacing w:before="120" w:line="329" w:lineRule="auto"/>
              <w:ind w:left="113" w:right="105" w:firstLine="480" w:firstLineChars="200"/>
              <w:jc w:val="both"/>
              <w:rPr>
                <w:rFonts w:hint="eastAsia"/>
                <w:lang w:eastAsia="zh-CN"/>
              </w:rPr>
            </w:pPr>
            <w:r>
              <w:rPr>
                <w:rFonts w:hint="eastAsia"/>
                <w:lang w:eastAsia="zh-CN"/>
              </w:rPr>
              <w:t>答：自行业自律倡议实施以来，产业链主要企业积极响应，通过阶段性产能调节实现了开工率</w:t>
            </w:r>
            <w:bookmarkStart w:id="0" w:name="_GoBack"/>
            <w:bookmarkEnd w:id="0"/>
            <w:r>
              <w:rPr>
                <w:rFonts w:hint="eastAsia"/>
                <w:lang w:eastAsia="zh-CN"/>
              </w:rPr>
              <w:t>与产量的合理化控制，供给端边际改善态势逐步显现。然而，年初1-2月历来为行业传统淡季，终端装机需求季节性走弱，叠加前期产业链各环节仍有一定库存有待消化，导致短期内市场成交活跃度受到抑制，硅料价格尚未完全反映供给收缩的影响，随着二季度起国内外光伏项目建设节奏回暖，产业链有望进入“去库加速-价格修复”的正向传导周期，</w:t>
            </w:r>
            <w:r>
              <w:rPr>
                <w:rFonts w:hint="eastAsia"/>
                <w:lang w:val="en-US" w:eastAsia="zh-CN"/>
              </w:rPr>
              <w:t>多晶硅价格有望呈现</w:t>
            </w:r>
            <w:r>
              <w:rPr>
                <w:rFonts w:hint="eastAsia"/>
              </w:rPr>
              <w:t>企稳回升的态势</w:t>
            </w:r>
            <w:r>
              <w:rPr>
                <w:rFonts w:hint="eastAsia"/>
                <w:lang w:eastAsia="zh-CN"/>
              </w:rPr>
              <w:t>。公司始终秉持量利协同的策略，在行业波动中坚持技术领先、成本最优的经营方针，并依托垂直一体化布局强化供应链韧性。公司将持续跟踪市场和库存变化，灵活调整产销策略，最大化把握行业回暖带来的发展机遇。</w:t>
            </w:r>
          </w:p>
        </w:tc>
      </w:tr>
    </w:tbl>
    <w:p>
      <w:pPr>
        <w:spacing w:line="91" w:lineRule="auto"/>
        <w:rPr>
          <w:sz w:val="2"/>
          <w:lang w:eastAsia="zh-CN"/>
        </w:rPr>
      </w:pPr>
    </w:p>
    <w:sectPr>
      <w:pgSz w:w="11907" w:h="16839"/>
      <w:pgMar w:top="1431" w:right="1785" w:bottom="1429"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B9ECE"/>
    <w:multiLevelType w:val="singleLevel"/>
    <w:tmpl w:val="93AB9ECE"/>
    <w:lvl w:ilvl="0" w:tentative="0">
      <w:start w:val="1"/>
      <w:numFmt w:val="decimal"/>
      <w:suff w:val="nothing"/>
      <w:lvlText w:val="%1、"/>
      <w:lvlJc w:val="left"/>
      <w:pPr>
        <w:tabs>
          <w:tab w:val="left" w:pos="0"/>
        </w:tabs>
      </w:pPr>
      <w:rPr>
        <w:rFonts w:hint="default"/>
        <w:b/>
        <w:bCs/>
      </w:rPr>
    </w:lvl>
  </w:abstractNum>
  <w:abstractNum w:abstractNumId="1">
    <w:nsid w:val="30EC01F0"/>
    <w:multiLevelType w:val="multilevel"/>
    <w:tmpl w:val="30EC01F0"/>
    <w:lvl w:ilvl="0" w:tentative="0">
      <w:start w:val="1"/>
      <w:numFmt w:val="decimal"/>
      <w:lvlText w:val="%1."/>
      <w:lvlJc w:val="left"/>
      <w:pPr>
        <w:ind w:left="496" w:hanging="360"/>
      </w:pPr>
      <w:rPr>
        <w:rFonts w:hint="default"/>
      </w:rPr>
    </w:lvl>
    <w:lvl w:ilvl="1" w:tentative="0">
      <w:start w:val="1"/>
      <w:numFmt w:val="lowerLetter"/>
      <w:lvlText w:val="%2)"/>
      <w:lvlJc w:val="left"/>
      <w:pPr>
        <w:ind w:left="1016" w:hanging="440"/>
      </w:pPr>
    </w:lvl>
    <w:lvl w:ilvl="2" w:tentative="0">
      <w:start w:val="1"/>
      <w:numFmt w:val="lowerRoman"/>
      <w:lvlText w:val="%3."/>
      <w:lvlJc w:val="right"/>
      <w:pPr>
        <w:ind w:left="1456" w:hanging="440"/>
      </w:pPr>
    </w:lvl>
    <w:lvl w:ilvl="3" w:tentative="0">
      <w:start w:val="1"/>
      <w:numFmt w:val="decimal"/>
      <w:lvlText w:val="%4."/>
      <w:lvlJc w:val="left"/>
      <w:pPr>
        <w:ind w:left="1896" w:hanging="440"/>
      </w:pPr>
    </w:lvl>
    <w:lvl w:ilvl="4" w:tentative="0">
      <w:start w:val="1"/>
      <w:numFmt w:val="lowerLetter"/>
      <w:lvlText w:val="%5)"/>
      <w:lvlJc w:val="left"/>
      <w:pPr>
        <w:ind w:left="2336" w:hanging="440"/>
      </w:pPr>
    </w:lvl>
    <w:lvl w:ilvl="5" w:tentative="0">
      <w:start w:val="1"/>
      <w:numFmt w:val="lowerRoman"/>
      <w:lvlText w:val="%6."/>
      <w:lvlJc w:val="right"/>
      <w:pPr>
        <w:ind w:left="2776" w:hanging="440"/>
      </w:pPr>
    </w:lvl>
    <w:lvl w:ilvl="6" w:tentative="0">
      <w:start w:val="1"/>
      <w:numFmt w:val="decimal"/>
      <w:lvlText w:val="%7."/>
      <w:lvlJc w:val="left"/>
      <w:pPr>
        <w:ind w:left="3216" w:hanging="440"/>
      </w:pPr>
    </w:lvl>
    <w:lvl w:ilvl="7" w:tentative="0">
      <w:start w:val="1"/>
      <w:numFmt w:val="lowerLetter"/>
      <w:lvlText w:val="%8)"/>
      <w:lvlJc w:val="left"/>
      <w:pPr>
        <w:ind w:left="3656" w:hanging="440"/>
      </w:pPr>
    </w:lvl>
    <w:lvl w:ilvl="8" w:tentative="0">
      <w:start w:val="1"/>
      <w:numFmt w:val="lowerRoman"/>
      <w:lvlText w:val="%9."/>
      <w:lvlJc w:val="right"/>
      <w:pPr>
        <w:ind w:left="4096"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DljYzUzMWQ4OWI0YzBkYjYzMDRhZTY5ZjZkYmFmYTgifQ=="/>
  </w:docVars>
  <w:rsids>
    <w:rsidRoot w:val="00172A27"/>
    <w:rsid w:val="0011396C"/>
    <w:rsid w:val="00132B6D"/>
    <w:rsid w:val="00172A27"/>
    <w:rsid w:val="002576A1"/>
    <w:rsid w:val="00331F12"/>
    <w:rsid w:val="003A6CFD"/>
    <w:rsid w:val="00400D62"/>
    <w:rsid w:val="00596886"/>
    <w:rsid w:val="005B59FB"/>
    <w:rsid w:val="00683645"/>
    <w:rsid w:val="006E7F37"/>
    <w:rsid w:val="00771B31"/>
    <w:rsid w:val="0078453B"/>
    <w:rsid w:val="007F42C5"/>
    <w:rsid w:val="008403A8"/>
    <w:rsid w:val="008A76DD"/>
    <w:rsid w:val="008E70A9"/>
    <w:rsid w:val="0091362C"/>
    <w:rsid w:val="009535AB"/>
    <w:rsid w:val="00976E2F"/>
    <w:rsid w:val="009F4741"/>
    <w:rsid w:val="00A6467F"/>
    <w:rsid w:val="00A9039C"/>
    <w:rsid w:val="00AB32EF"/>
    <w:rsid w:val="00AB4538"/>
    <w:rsid w:val="00B13C7A"/>
    <w:rsid w:val="00B93ECE"/>
    <w:rsid w:val="00C13080"/>
    <w:rsid w:val="00C317EF"/>
    <w:rsid w:val="00C429A0"/>
    <w:rsid w:val="00C508A0"/>
    <w:rsid w:val="00C72E13"/>
    <w:rsid w:val="00CE140A"/>
    <w:rsid w:val="00CE4236"/>
    <w:rsid w:val="00D3524C"/>
    <w:rsid w:val="00D57320"/>
    <w:rsid w:val="00E051F7"/>
    <w:rsid w:val="00E20F93"/>
    <w:rsid w:val="00E41DB5"/>
    <w:rsid w:val="00EE2C33"/>
    <w:rsid w:val="00F44F20"/>
    <w:rsid w:val="00F72996"/>
    <w:rsid w:val="00F979D6"/>
    <w:rsid w:val="02467801"/>
    <w:rsid w:val="045E21FF"/>
    <w:rsid w:val="05DC161E"/>
    <w:rsid w:val="080C431F"/>
    <w:rsid w:val="084C21FB"/>
    <w:rsid w:val="09C259E5"/>
    <w:rsid w:val="0B225DFB"/>
    <w:rsid w:val="0EE01B92"/>
    <w:rsid w:val="10BA36DE"/>
    <w:rsid w:val="11C65D17"/>
    <w:rsid w:val="128B2CED"/>
    <w:rsid w:val="12C63575"/>
    <w:rsid w:val="136C6BDF"/>
    <w:rsid w:val="136E7FE7"/>
    <w:rsid w:val="160F5D86"/>
    <w:rsid w:val="180327A7"/>
    <w:rsid w:val="18B01199"/>
    <w:rsid w:val="210278B5"/>
    <w:rsid w:val="21AA5206"/>
    <w:rsid w:val="22D154DE"/>
    <w:rsid w:val="25397C3C"/>
    <w:rsid w:val="25D063A7"/>
    <w:rsid w:val="270859F3"/>
    <w:rsid w:val="27DD3A7C"/>
    <w:rsid w:val="28F705B3"/>
    <w:rsid w:val="294871F6"/>
    <w:rsid w:val="2A1808F5"/>
    <w:rsid w:val="2CFA073B"/>
    <w:rsid w:val="2F8741E0"/>
    <w:rsid w:val="300F4032"/>
    <w:rsid w:val="3054695C"/>
    <w:rsid w:val="32572810"/>
    <w:rsid w:val="3603788C"/>
    <w:rsid w:val="37965BD5"/>
    <w:rsid w:val="38AE4472"/>
    <w:rsid w:val="39C35FBC"/>
    <w:rsid w:val="3B507E5D"/>
    <w:rsid w:val="3B77553C"/>
    <w:rsid w:val="3BB10BEF"/>
    <w:rsid w:val="3DEE79DD"/>
    <w:rsid w:val="3E556C1E"/>
    <w:rsid w:val="41647664"/>
    <w:rsid w:val="417523CC"/>
    <w:rsid w:val="43AF21D5"/>
    <w:rsid w:val="45B83443"/>
    <w:rsid w:val="46585F54"/>
    <w:rsid w:val="49B574B4"/>
    <w:rsid w:val="4B87668E"/>
    <w:rsid w:val="533945E1"/>
    <w:rsid w:val="54B36524"/>
    <w:rsid w:val="54CA6DEF"/>
    <w:rsid w:val="55401139"/>
    <w:rsid w:val="56730E64"/>
    <w:rsid w:val="587E2868"/>
    <w:rsid w:val="589624C5"/>
    <w:rsid w:val="592811CD"/>
    <w:rsid w:val="5F753FA5"/>
    <w:rsid w:val="607A36DE"/>
    <w:rsid w:val="60D3786A"/>
    <w:rsid w:val="62B81089"/>
    <w:rsid w:val="63525FE4"/>
    <w:rsid w:val="64A55009"/>
    <w:rsid w:val="65D75D9B"/>
    <w:rsid w:val="66522FDF"/>
    <w:rsid w:val="6B7878AD"/>
    <w:rsid w:val="6CF97C65"/>
    <w:rsid w:val="6D363C39"/>
    <w:rsid w:val="6D634B37"/>
    <w:rsid w:val="6DD16EDF"/>
    <w:rsid w:val="73013807"/>
    <w:rsid w:val="764D33B5"/>
    <w:rsid w:val="79CB43E5"/>
    <w:rsid w:val="7A07659C"/>
    <w:rsid w:val="7CD05C51"/>
    <w:rsid w:val="7CFA40F4"/>
    <w:rsid w:val="7D591F62"/>
    <w:rsid w:val="7E80031E"/>
    <w:rsid w:val="7F350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pPr>
    <w:rPr>
      <w:sz w:val="18"/>
      <w:szCs w:val="18"/>
    </w:rPr>
  </w:style>
  <w:style w:type="paragraph" w:styleId="3">
    <w:name w:val="header"/>
    <w:basedOn w:val="1"/>
    <w:link w:val="8"/>
    <w:autoRedefine/>
    <w:unhideWhenUsed/>
    <w:qFormat/>
    <w:uiPriority w:val="99"/>
    <w:pPr>
      <w:tabs>
        <w:tab w:val="center" w:pos="4153"/>
        <w:tab w:val="right" w:pos="8306"/>
      </w:tabs>
      <w:jc w:val="center"/>
    </w:pPr>
    <w:rPr>
      <w:sz w:val="18"/>
      <w:szCs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宋体" w:hAnsi="宋体" w:eastAsia="宋体" w:cs="宋体"/>
      <w:sz w:val="24"/>
      <w:szCs w:val="24"/>
    </w:rPr>
  </w:style>
  <w:style w:type="character" w:customStyle="1" w:styleId="8">
    <w:name w:val="页眉 字符"/>
    <w:basedOn w:val="5"/>
    <w:link w:val="3"/>
    <w:autoRedefine/>
    <w:qFormat/>
    <w:uiPriority w:val="99"/>
    <w:rPr>
      <w:sz w:val="18"/>
      <w:szCs w:val="18"/>
    </w:rPr>
  </w:style>
  <w:style w:type="character" w:customStyle="1" w:styleId="9">
    <w:name w:val="页脚 字符"/>
    <w:basedOn w:val="5"/>
    <w:link w:val="2"/>
    <w:autoRedefine/>
    <w:qFormat/>
    <w:uiPriority w:val="99"/>
    <w:rPr>
      <w:sz w:val="18"/>
      <w:szCs w:val="18"/>
    </w:rPr>
  </w:style>
  <w:style w:type="paragraph" w:styleId="10">
    <w:name w:val="List Paragraph"/>
    <w:basedOn w:val="1"/>
    <w:autoRedefine/>
    <w:unhideWhenUsed/>
    <w:qFormat/>
    <w:uiPriority w:val="99"/>
    <w:pPr>
      <w:ind w:firstLine="420" w:firstLineChars="200"/>
    </w:pPr>
  </w:style>
  <w:style w:type="paragraph" w:customStyle="1" w:styleId="11">
    <w:name w:val="Revision"/>
    <w:autoRedefine/>
    <w:hidden/>
    <w:unhideWhenUsed/>
    <w:qFormat/>
    <w:uiPriority w:val="99"/>
    <w:rPr>
      <w:rFonts w:ascii="Arial" w:hAnsi="Arial" w:cs="Arial" w:eastAsiaTheme="minorEastAsia"/>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227</Words>
  <Characters>1298</Characters>
  <Lines>1</Lines>
  <Paragraphs>1</Paragraphs>
  <TotalTime>9</TotalTime>
  <ScaleCrop>false</ScaleCrop>
  <LinksUpToDate>false</LinksUpToDate>
  <CharactersWithSpaces>1522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2022-05-06T15:20:00Z</dcterms:created>
  <dc:creator>毋晓妮</dc:creator>
  <cp:lastModifiedBy>陈泓宇</cp:lastModifiedBy>
  <cp:lastPrinted>2025-01-03T01:46:00Z</cp:lastPrinted>
  <dcterms:modified xsi:type="dcterms:W3CDTF">2025-03-05T07:16:18Z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2024-05-03T16:40:34Z</vt:filetime>
  </property>
  <property fmtid="{D5CDD505-2E9C-101B-9397-08002B2CF9AE}" pid="4" name="KSOProductBuildVer">
    <vt:lpwstr>2052-12.1.0.16120</vt:lpwstr>
  </property>
  <property fmtid="{D5CDD505-2E9C-101B-9397-08002B2CF9AE}" pid="5" name="ICV">
    <vt:lpwstr>63F001C03A374975BD2F0B27584E4D16_13</vt:lpwstr>
  </property>
</Properties>
</file>