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after="156" w:afterLines="50" w:line="520" w:lineRule="exact"/>
        <w:jc w:val="left"/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证券代码：6</w:t>
      </w:r>
      <w:r>
        <w:rPr>
          <w:rFonts w:ascii="楷体" w:hAnsi="楷体" w:eastAsia="楷体"/>
          <w:sz w:val="24"/>
        </w:rPr>
        <w:t xml:space="preserve">00968   </w:t>
      </w:r>
      <w:r>
        <w:rPr>
          <w:rFonts w:hint="eastAsia" w:ascii="楷体" w:hAnsi="楷体" w:eastAsia="楷体"/>
          <w:sz w:val="24"/>
        </w:rPr>
        <w:t xml:space="preserve">                              证券简称：海油发展 </w:t>
      </w:r>
      <w:r>
        <w:rPr>
          <w:rFonts w:ascii="楷体" w:hAnsi="楷体" w:eastAsia="楷体"/>
          <w:sz w:val="24"/>
        </w:rPr>
        <w:t xml:space="preserve"> </w:t>
      </w:r>
    </w:p>
    <w:p>
      <w:pPr>
        <w:spacing w:line="480" w:lineRule="exact"/>
        <w:jc w:val="center"/>
        <w:rPr>
          <w:rFonts w:ascii="宋体" w:hAnsi="宋体"/>
          <w:b/>
          <w:bCs/>
          <w:sz w:val="28"/>
          <w:szCs w:val="30"/>
        </w:rPr>
      </w:pPr>
      <w:r>
        <w:rPr>
          <w:rFonts w:hint="eastAsia" w:ascii="宋体" w:hAnsi="宋体"/>
          <w:b/>
          <w:bCs/>
          <w:sz w:val="28"/>
          <w:szCs w:val="30"/>
        </w:rPr>
        <w:t>中海油能源发展股份有限公司</w:t>
      </w:r>
    </w:p>
    <w:p>
      <w:pPr>
        <w:spacing w:line="480" w:lineRule="exact"/>
        <w:jc w:val="center"/>
        <w:outlineLvl w:val="0"/>
        <w:rPr>
          <w:rFonts w:ascii="宋体" w:hAnsi="宋体"/>
          <w:b/>
          <w:bCs/>
          <w:sz w:val="28"/>
          <w:szCs w:val="30"/>
        </w:rPr>
      </w:pPr>
      <w:r>
        <w:rPr>
          <w:rFonts w:hint="eastAsia" w:ascii="宋体" w:hAnsi="宋体"/>
          <w:b/>
          <w:bCs/>
          <w:sz w:val="28"/>
          <w:szCs w:val="30"/>
        </w:rPr>
        <w:t>投资者关系活动记录表</w:t>
      </w:r>
    </w:p>
    <w:tbl>
      <w:tblPr>
        <w:tblStyle w:val="9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7"/>
        <w:gridCol w:w="75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Arial" w:hAnsi="Arial"/>
                <w:bCs/>
                <w:sz w:val="24"/>
              </w:rPr>
            </w:pPr>
            <w:r>
              <w:rPr>
                <w:rFonts w:hint="eastAsia" w:ascii="Arial" w:hAnsi="Arial"/>
                <w:bCs/>
                <w:sz w:val="24"/>
              </w:rPr>
              <w:t>投资者关系活动类别</w:t>
            </w:r>
          </w:p>
        </w:tc>
        <w:tc>
          <w:tcPr>
            <w:tcW w:w="4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Arial" w:hAnsi="Arial"/>
                <w:bCs/>
                <w:sz w:val="24"/>
              </w:rPr>
            </w:pPr>
            <w:r>
              <w:rPr>
                <w:rFonts w:hint="eastAsia" w:ascii="Arial" w:hAnsi="Arial"/>
                <w:bCs/>
                <w:sz w:val="24"/>
              </w:rPr>
              <w:sym w:font="Wingdings 2" w:char="0052"/>
            </w:r>
            <w:r>
              <w:rPr>
                <w:rFonts w:hint="eastAsia" w:ascii="Arial" w:hAnsi="Arial"/>
                <w:bCs/>
                <w:sz w:val="24"/>
              </w:rPr>
              <w:t xml:space="preserve">特定对象调研 </w:t>
            </w:r>
            <w:r>
              <w:rPr>
                <w:rFonts w:hint="eastAsia" w:ascii="Arial" w:hAnsi="Arial"/>
                <w:bCs/>
                <w:sz w:val="24"/>
              </w:rPr>
              <w:sym w:font="Wingdings 2" w:char="0052"/>
            </w:r>
            <w:r>
              <w:rPr>
                <w:rFonts w:hint="eastAsia" w:ascii="Arial" w:hAnsi="Arial"/>
                <w:bCs/>
                <w:sz w:val="24"/>
              </w:rPr>
              <w:t>分析师会议</w:t>
            </w:r>
          </w:p>
          <w:p>
            <w:pPr>
              <w:spacing w:line="400" w:lineRule="exact"/>
              <w:rPr>
                <w:rFonts w:ascii="Arial" w:hAnsi="Arial"/>
                <w:bCs/>
                <w:sz w:val="24"/>
              </w:rPr>
            </w:pPr>
            <w:r>
              <w:rPr>
                <w:rFonts w:hint="eastAsia" w:ascii="Arial" w:hAnsi="Arial"/>
                <w:bCs/>
                <w:sz w:val="24"/>
              </w:rPr>
              <w:t xml:space="preserve">□媒体采访 </w:t>
            </w:r>
            <w:r>
              <w:rPr>
                <w:rFonts w:ascii="Arial" w:hAnsi="Arial"/>
                <w:bCs/>
                <w:sz w:val="24"/>
              </w:rPr>
              <w:t xml:space="preserve">   </w:t>
            </w:r>
            <w:r>
              <w:rPr>
                <w:rFonts w:hint="eastAsia" w:ascii="Arial" w:hAnsi="Arial"/>
                <w:bCs/>
                <w:sz w:val="24"/>
              </w:rPr>
              <w:t xml:space="preserve"> </w:t>
            </w:r>
            <w:r>
              <w:rPr>
                <w:rFonts w:hint="eastAsia" w:ascii="Arial" w:hAnsi="Arial"/>
                <w:bCs/>
                <w:sz w:val="24"/>
              </w:rPr>
              <w:sym w:font="Wingdings 2" w:char="00A3"/>
            </w:r>
            <w:r>
              <w:rPr>
                <w:rFonts w:hint="eastAsia" w:ascii="Arial" w:hAnsi="Arial"/>
                <w:bCs/>
                <w:sz w:val="24"/>
              </w:rPr>
              <w:t>业绩说明会</w:t>
            </w:r>
          </w:p>
          <w:p>
            <w:pPr>
              <w:spacing w:line="400" w:lineRule="exact"/>
              <w:rPr>
                <w:rFonts w:ascii="Arial" w:hAnsi="Arial"/>
                <w:bCs/>
                <w:sz w:val="24"/>
              </w:rPr>
            </w:pPr>
            <w:r>
              <w:rPr>
                <w:rFonts w:hint="eastAsia" w:ascii="Arial" w:hAnsi="Arial"/>
                <w:bCs/>
                <w:sz w:val="24"/>
              </w:rPr>
              <w:t xml:space="preserve">□新闻发布会 </w:t>
            </w:r>
            <w:r>
              <w:rPr>
                <w:rFonts w:ascii="Arial" w:hAnsi="Arial"/>
                <w:bCs/>
                <w:sz w:val="24"/>
              </w:rPr>
              <w:t xml:space="preserve">  </w:t>
            </w:r>
            <w:r>
              <w:rPr>
                <w:rFonts w:hint="eastAsia" w:ascii="Arial" w:hAnsi="Arial"/>
                <w:bCs/>
                <w:sz w:val="24"/>
              </w:rPr>
              <w:sym w:font="Wingdings 2" w:char="0052"/>
            </w:r>
            <w:r>
              <w:rPr>
                <w:rFonts w:hint="eastAsia" w:ascii="Arial" w:hAnsi="Arial"/>
                <w:bCs/>
                <w:sz w:val="24"/>
              </w:rPr>
              <w:t>路演活动</w:t>
            </w:r>
          </w:p>
          <w:p>
            <w:pPr>
              <w:spacing w:line="400" w:lineRule="exact"/>
              <w:rPr>
                <w:rFonts w:ascii="Arial" w:hAnsi="Arial"/>
                <w:bCs/>
                <w:sz w:val="24"/>
              </w:rPr>
            </w:pPr>
            <w:r>
              <w:rPr>
                <w:rFonts w:hint="eastAsia" w:ascii="Arial" w:hAnsi="Arial"/>
                <w:bCs/>
                <w:sz w:val="24"/>
              </w:rPr>
              <w:t>□现场参观</w:t>
            </w:r>
          </w:p>
          <w:p>
            <w:pPr>
              <w:spacing w:line="400" w:lineRule="exact"/>
              <w:rPr>
                <w:rFonts w:ascii="Arial" w:hAnsi="Arial"/>
                <w:bCs/>
                <w:sz w:val="24"/>
              </w:rPr>
            </w:pPr>
            <w:r>
              <w:rPr>
                <w:rFonts w:hint="eastAsia" w:ascii="Arial" w:hAnsi="Arial"/>
                <w:bCs/>
                <w:sz w:val="24"/>
              </w:rPr>
              <w:t>□其他（请文字说明其他活动内容）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Arial" w:hAnsi="Arial"/>
                <w:bCs/>
                <w:sz w:val="24"/>
              </w:rPr>
            </w:pPr>
            <w:r>
              <w:rPr>
                <w:rFonts w:hint="eastAsia" w:ascii="Arial" w:hAnsi="Arial"/>
                <w:bCs/>
                <w:sz w:val="24"/>
              </w:rPr>
              <w:t>时间</w:t>
            </w:r>
          </w:p>
        </w:tc>
        <w:tc>
          <w:tcPr>
            <w:tcW w:w="4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Arial" w:hAnsi="Arial" w:cs="Arial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</w:t>
            </w:r>
            <w:r>
              <w:rPr>
                <w:rFonts w:hint="eastAsia" w:ascii="Times New Roman" w:hAnsi="Times New Roman"/>
                <w:sz w:val="24"/>
              </w:rPr>
              <w:t>5</w:t>
            </w:r>
            <w:r>
              <w:rPr>
                <w:rFonts w:ascii="Times New Roman" w:hAnsi="Times New Roman"/>
                <w:sz w:val="24"/>
              </w:rPr>
              <w:t>年</w:t>
            </w:r>
            <w:r>
              <w:rPr>
                <w:rFonts w:hint="eastAsia" w:ascii="Times New Roman" w:hAnsi="Times New Roman"/>
                <w:sz w:val="24"/>
              </w:rPr>
              <w:t>1月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3</w:t>
            </w:r>
            <w:r>
              <w:rPr>
                <w:rFonts w:ascii="Times New Roman" w:hAnsi="Times New Roman"/>
                <w:sz w:val="24"/>
              </w:rPr>
              <w:t>日</w:t>
            </w:r>
            <w:r>
              <w:rPr>
                <w:rFonts w:hint="eastAsia" w:ascii="Times New Roman" w:hAnsi="Times New Roman"/>
                <w:sz w:val="24"/>
              </w:rPr>
              <w:t>-2025年3月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3</w:t>
            </w:r>
            <w:r>
              <w:rPr>
                <w:rFonts w:hint="eastAsia" w:ascii="Times New Roman" w:hAnsi="Times New Roman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Arial" w:hAnsi="Arial"/>
                <w:bCs/>
                <w:sz w:val="24"/>
              </w:rPr>
            </w:pPr>
            <w:r>
              <w:rPr>
                <w:rFonts w:hint="eastAsia" w:ascii="Arial" w:hAnsi="Arial"/>
                <w:bCs/>
                <w:sz w:val="24"/>
              </w:rPr>
              <w:t>地点</w:t>
            </w:r>
          </w:p>
        </w:tc>
        <w:tc>
          <w:tcPr>
            <w:tcW w:w="4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Arial" w:hAnsi="Arial" w:cs="Arial"/>
                <w:sz w:val="24"/>
              </w:rPr>
            </w:pPr>
            <w:r>
              <w:rPr>
                <w:rFonts w:hint="eastAsia" w:ascii="Arial" w:hAnsi="Arial" w:cs="Arial"/>
                <w:sz w:val="24"/>
              </w:rPr>
              <w:t>北京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Arial" w:hAnsi="Arial"/>
                <w:bCs/>
                <w:sz w:val="24"/>
              </w:rPr>
            </w:pPr>
            <w:r>
              <w:rPr>
                <w:rFonts w:hint="eastAsia" w:ascii="Arial" w:hAnsi="Arial"/>
                <w:bCs/>
                <w:sz w:val="24"/>
              </w:rPr>
              <w:t>上市公司接待人员姓名</w:t>
            </w:r>
          </w:p>
        </w:tc>
        <w:tc>
          <w:tcPr>
            <w:tcW w:w="4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bl>
            <w:tblPr>
              <w:tblStyle w:val="9"/>
              <w:tblW w:w="5000" w:type="pct"/>
              <w:tblInd w:w="0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95"/>
              <w:gridCol w:w="5882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495" w:type="dxa"/>
                  <w:shd w:val="clear" w:color="auto" w:fill="auto"/>
                  <w:noWrap/>
                  <w:vAlign w:val="bottom"/>
                </w:tcPr>
                <w:p>
                  <w:pPr>
                    <w:spacing w:line="276" w:lineRule="auto"/>
                    <w:rPr>
                      <w:rFonts w:ascii="Arial" w:hAnsi="Arial" w:cs="Arial"/>
                      <w:sz w:val="24"/>
                    </w:rPr>
                  </w:pPr>
                  <w:r>
                    <w:rPr>
                      <w:rFonts w:hint="eastAsia" w:ascii="Arial" w:hAnsi="Arial" w:cs="Arial"/>
                      <w:sz w:val="24"/>
                    </w:rPr>
                    <w:t>蔡建鑫</w:t>
                  </w:r>
                </w:p>
              </w:tc>
              <w:tc>
                <w:tcPr>
                  <w:tcW w:w="5882" w:type="dxa"/>
                  <w:shd w:val="clear" w:color="auto" w:fill="auto"/>
                  <w:noWrap/>
                  <w:vAlign w:val="center"/>
                </w:tcPr>
                <w:p>
                  <w:pPr>
                    <w:spacing w:line="276" w:lineRule="auto"/>
                    <w:rPr>
                      <w:rFonts w:ascii="Arial" w:hAnsi="Arial" w:cs="Arial"/>
                      <w:sz w:val="24"/>
                    </w:rPr>
                  </w:pPr>
                  <w:r>
                    <w:rPr>
                      <w:rFonts w:hint="eastAsia" w:ascii="Arial" w:hAnsi="Arial" w:cs="Arial"/>
                      <w:sz w:val="24"/>
                    </w:rPr>
                    <w:t>证券事务代表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495" w:type="dxa"/>
                  <w:shd w:val="clear" w:color="auto" w:fill="auto"/>
                  <w:noWrap/>
                  <w:vAlign w:val="bottom"/>
                </w:tcPr>
                <w:p>
                  <w:pPr>
                    <w:spacing w:line="276" w:lineRule="auto"/>
                    <w:rPr>
                      <w:rFonts w:ascii="Arial" w:hAnsi="Arial" w:cs="Arial"/>
                      <w:sz w:val="24"/>
                    </w:rPr>
                  </w:pPr>
                  <w:r>
                    <w:rPr>
                      <w:rFonts w:hint="eastAsia" w:ascii="Arial" w:hAnsi="Arial" w:cs="Arial"/>
                      <w:sz w:val="24"/>
                    </w:rPr>
                    <w:t>高  静</w:t>
                  </w:r>
                </w:p>
              </w:tc>
              <w:tc>
                <w:tcPr>
                  <w:tcW w:w="5882" w:type="dxa"/>
                  <w:shd w:val="clear" w:color="auto" w:fill="auto"/>
                  <w:noWrap/>
                  <w:vAlign w:val="center"/>
                </w:tcPr>
                <w:p>
                  <w:pPr>
                    <w:spacing w:line="276" w:lineRule="auto"/>
                    <w:rPr>
                      <w:rFonts w:ascii="Arial" w:hAnsi="Arial" w:cs="Arial"/>
                      <w:sz w:val="24"/>
                    </w:rPr>
                  </w:pPr>
                  <w:r>
                    <w:rPr>
                      <w:rFonts w:hint="eastAsia" w:ascii="Arial" w:hAnsi="Arial" w:cs="Arial"/>
                      <w:sz w:val="24"/>
                    </w:rPr>
                    <w:t>投资者关系主管</w:t>
                  </w:r>
                </w:p>
              </w:tc>
            </w:tr>
          </w:tbl>
          <w:p>
            <w:pPr>
              <w:spacing w:line="276" w:lineRule="auto"/>
              <w:rPr>
                <w:rFonts w:ascii="Arial" w:hAnsi="Arial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Arial" w:hAnsi="Arial"/>
                <w:bCs/>
                <w:sz w:val="24"/>
              </w:rPr>
            </w:pPr>
            <w:r>
              <w:rPr>
                <w:rFonts w:hint="eastAsia" w:ascii="Arial" w:hAnsi="Arial"/>
                <w:bCs/>
                <w:kern w:val="0"/>
                <w:sz w:val="24"/>
              </w:rPr>
              <w:t>参与单位名称</w:t>
            </w:r>
          </w:p>
        </w:tc>
        <w:tc>
          <w:tcPr>
            <w:tcW w:w="7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光大证券、</w:t>
            </w:r>
            <w:r>
              <w:rPr>
                <w:rFonts w:hint="eastAsia" w:ascii="宋体" w:hAnsi="宋体" w:cs="宋体"/>
                <w:sz w:val="24"/>
              </w:rPr>
              <w:t>国信证券、天风证券、长江证券、华创证券、中邮基金、东方基金、诺安基金、华夏基金、大成基金、大家资产、阳光资产、诚旸投资、深圳红筹投资、民生加银、前海开源基金、方正富邦基金、东方红资管、NORTH ROCK CAPITAL、兴合基金、中国人寿资产管理、润晖投资、海通国际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Arial" w:hAnsi="Arial"/>
                <w:bCs/>
                <w:sz w:val="24"/>
              </w:rPr>
            </w:pPr>
            <w:r>
              <w:rPr>
                <w:rFonts w:hint="eastAsia" w:ascii="Arial" w:hAnsi="Arial"/>
                <w:bCs/>
                <w:sz w:val="24"/>
              </w:rPr>
              <w:t>投资者关系活动主要内容介绍</w:t>
            </w:r>
          </w:p>
        </w:tc>
        <w:tc>
          <w:tcPr>
            <w:tcW w:w="4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Theme="minorEastAsia"/>
                <w:sz w:val="24"/>
              </w:rPr>
            </w:pPr>
            <w:r>
              <w:rPr>
                <w:rFonts w:hint="eastAsia" w:eastAsiaTheme="minorEastAsia"/>
                <w:sz w:val="24"/>
              </w:rPr>
              <w:t>Q1:请问公司对2025年经营展望？</w:t>
            </w:r>
          </w:p>
          <w:p>
            <w:pPr>
              <w:rPr>
                <w:rFonts w:eastAsiaTheme="minorEastAsia"/>
                <w:sz w:val="24"/>
              </w:rPr>
            </w:pPr>
            <w:r>
              <w:rPr>
                <w:rFonts w:hint="eastAsia" w:eastAsiaTheme="minorEastAsia"/>
                <w:sz w:val="24"/>
              </w:rPr>
              <w:t>A1:增储上产行动持续推进，目前国内油气增量的70%在海洋石油。特别是，老油田稳产增产难度持续加大，工作量仍将处于高位。同时，数智化浪潮席卷全球，能源转型潮流不可逆转，给海油发展的相关业务带来机遇。</w:t>
            </w:r>
          </w:p>
          <w:p>
            <w:pPr>
              <w:ind w:firstLine="480" w:firstLineChars="200"/>
              <w:rPr>
                <w:rFonts w:eastAsiaTheme="minorEastAsia"/>
                <w:sz w:val="24"/>
              </w:rPr>
            </w:pPr>
            <w:r>
              <w:rPr>
                <w:rFonts w:hint="eastAsia" w:eastAsiaTheme="minorEastAsia"/>
                <w:sz w:val="24"/>
              </w:rPr>
              <w:t>公司将坚持聚焦主责主业，增强核心功能、提升核心竞争力，努力为油气增储上产一体化服务提供坚强支撑。努力将低碳环保与数字化产业培育成</w:t>
            </w:r>
            <w:r>
              <w:rPr>
                <w:rFonts w:eastAsiaTheme="minorEastAsia"/>
                <w:sz w:val="24"/>
              </w:rPr>
              <w:t>“</w:t>
            </w:r>
            <w:r>
              <w:rPr>
                <w:rFonts w:hint="eastAsia" w:eastAsiaTheme="minorEastAsia"/>
                <w:sz w:val="24"/>
              </w:rPr>
              <w:t>新增长极</w:t>
            </w:r>
            <w:r>
              <w:rPr>
                <w:rFonts w:eastAsiaTheme="minorEastAsia"/>
                <w:sz w:val="24"/>
              </w:rPr>
              <w:t>”</w:t>
            </w:r>
            <w:r>
              <w:rPr>
                <w:rFonts w:hint="eastAsia" w:eastAsiaTheme="minorEastAsia"/>
                <w:sz w:val="24"/>
              </w:rPr>
              <w:t>，加快构建科技含量高、资源消耗低的产业结构和生产方式，有效推进</w:t>
            </w:r>
            <w:r>
              <w:rPr>
                <w:rFonts w:eastAsiaTheme="minorEastAsia"/>
                <w:sz w:val="24"/>
              </w:rPr>
              <w:t>LNG</w:t>
            </w:r>
            <w:r>
              <w:rPr>
                <w:rFonts w:hint="eastAsia" w:eastAsiaTheme="minorEastAsia"/>
                <w:sz w:val="24"/>
              </w:rPr>
              <w:t>运输加注、海上风电运维等业务实现发展。坚持以科技创新推动产业创新，加快推动优质资源整合，系统推进技术攻关、成果转化、生态构建，厚植创新硬实力，实现高质量发展。</w:t>
            </w:r>
          </w:p>
          <w:p>
            <w:pPr>
              <w:rPr>
                <w:rFonts w:eastAsiaTheme="minorEastAsia"/>
                <w:sz w:val="24"/>
              </w:rPr>
            </w:pPr>
          </w:p>
          <w:p>
            <w:pPr>
              <w:rPr>
                <w:rFonts w:eastAsiaTheme="minorEastAsia"/>
                <w:sz w:val="24"/>
                <w:lang w:eastAsia="zh-Hans"/>
              </w:rPr>
            </w:pPr>
            <w:r>
              <w:rPr>
                <w:rFonts w:hint="eastAsia" w:eastAsiaTheme="minorEastAsia"/>
                <w:sz w:val="24"/>
              </w:rPr>
              <w:t>Q2:</w:t>
            </w:r>
            <w:r>
              <w:rPr>
                <w:rFonts w:hint="eastAsia" w:eastAsiaTheme="minorEastAsia"/>
                <w:sz w:val="24"/>
                <w:lang w:eastAsia="zh-Hans"/>
              </w:rPr>
              <w:t>面对202</w:t>
            </w:r>
            <w:r>
              <w:rPr>
                <w:rFonts w:hint="eastAsia" w:eastAsiaTheme="minorEastAsia"/>
                <w:sz w:val="24"/>
              </w:rPr>
              <w:t>5</w:t>
            </w:r>
            <w:r>
              <w:rPr>
                <w:rFonts w:hint="eastAsia" w:eastAsiaTheme="minorEastAsia"/>
                <w:sz w:val="24"/>
                <w:lang w:eastAsia="zh-Hans"/>
              </w:rPr>
              <w:t>年充满挑战和不确定性的国际市场环境，</w:t>
            </w:r>
            <w:r>
              <w:rPr>
                <w:rFonts w:hint="eastAsia" w:eastAsiaTheme="minorEastAsia"/>
                <w:sz w:val="24"/>
              </w:rPr>
              <w:t>公司对于2025年国际油价走势和中国海油资本开支计划的落地情况有何预判？同时，对</w:t>
            </w:r>
            <w:r>
              <w:rPr>
                <w:rFonts w:hint="eastAsia" w:eastAsiaTheme="minorEastAsia"/>
                <w:sz w:val="24"/>
                <w:lang w:eastAsia="zh-Hans"/>
              </w:rPr>
              <w:t>油气</w:t>
            </w:r>
            <w:r>
              <w:rPr>
                <w:rFonts w:hint="eastAsia" w:eastAsiaTheme="minorEastAsia"/>
                <w:sz w:val="24"/>
              </w:rPr>
              <w:t>服务</w:t>
            </w:r>
            <w:r>
              <w:rPr>
                <w:rFonts w:hint="eastAsia" w:eastAsiaTheme="minorEastAsia"/>
                <w:sz w:val="24"/>
                <w:lang w:eastAsia="zh-Hans"/>
              </w:rPr>
              <w:t>行业的未来发展方向，公司有哪些</w:t>
            </w:r>
            <w:r>
              <w:rPr>
                <w:rFonts w:hint="eastAsia" w:eastAsiaTheme="minorEastAsia"/>
                <w:sz w:val="24"/>
              </w:rPr>
              <w:t>判断</w:t>
            </w:r>
            <w:r>
              <w:rPr>
                <w:rFonts w:hint="eastAsia" w:eastAsiaTheme="minorEastAsia"/>
                <w:sz w:val="24"/>
                <w:lang w:eastAsia="zh-Hans"/>
              </w:rPr>
              <w:t>？</w:t>
            </w:r>
          </w:p>
          <w:p>
            <w:pPr>
              <w:rPr>
                <w:rFonts w:eastAsiaTheme="minorEastAsia"/>
                <w:sz w:val="24"/>
              </w:rPr>
            </w:pPr>
            <w:r>
              <w:rPr>
                <w:rFonts w:hint="eastAsia" w:eastAsiaTheme="minorEastAsia"/>
                <w:sz w:val="24"/>
              </w:rPr>
              <w:t>A2:2025年，国际市场环境将面临地缘政治、贸易摩擦、能源转型等多重挑战。根据相关机构数据预测，2025年全球经济增长3%左右，中国经济增长5%左右，全球和中国石油需求将继续保持增长，油气供应仍将维持紧平衡。</w:t>
            </w:r>
          </w:p>
          <w:p>
            <w:pPr>
              <w:ind w:firstLine="480" w:firstLineChars="200"/>
              <w:rPr>
                <w:rFonts w:eastAsiaTheme="minorEastAsia"/>
                <w:sz w:val="24"/>
              </w:rPr>
            </w:pPr>
            <w:r>
              <w:rPr>
                <w:rFonts w:hint="eastAsia" w:eastAsiaTheme="minorEastAsia"/>
                <w:sz w:val="24"/>
              </w:rPr>
              <w:t>根据中国海油发布的2025年度战略展望，在2024年资本开支计划超预期的基础上，2025年资本开支计划为1250亿元-1350亿元人民币。在结构上，勘探、开发、生产阶段预计分别占资本支出预算总额16%、61%和20%，生产阶段从19%同比调增到20%。受国家能源安全战略及增储上产“七年行动计划”影响，中国海油2025年资本开支计划落地将具有较大确定性。国内油气技术服务产业景气度将持续提升，发展趋势持续向好。</w:t>
            </w:r>
          </w:p>
          <w:p>
            <w:pPr>
              <w:ind w:firstLine="480" w:firstLineChars="200"/>
              <w:rPr>
                <w:rFonts w:eastAsiaTheme="minorEastAsia"/>
                <w:sz w:val="24"/>
              </w:rPr>
            </w:pPr>
            <w:r>
              <w:rPr>
                <w:rFonts w:hint="eastAsia" w:eastAsiaTheme="minorEastAsia"/>
                <w:sz w:val="24"/>
              </w:rPr>
              <w:t>随着海上油气田开发进入中后期，老油田持续稳产难度增大，这为公司提供了更加广阔的发展空间，引领公司核心能力建设迈上新台阶。2025年公司将全力抓好产业塑造、科技攻关、市场开拓、产能建设、风险防控等五个重点方向，更好服务和保障国家能源安全，推动公司发展实现质的有效提升和量的合理增长。谢谢。</w:t>
            </w:r>
          </w:p>
          <w:p>
            <w:pPr>
              <w:ind w:firstLine="480" w:firstLineChars="200"/>
              <w:rPr>
                <w:rFonts w:eastAsiaTheme="minorEastAsia"/>
                <w:sz w:val="24"/>
              </w:rPr>
            </w:pPr>
          </w:p>
          <w:p>
            <w:pPr>
              <w:rPr>
                <w:rFonts w:eastAsiaTheme="minorEastAsia"/>
                <w:sz w:val="24"/>
              </w:rPr>
            </w:pPr>
            <w:r>
              <w:rPr>
                <w:rFonts w:hint="eastAsia" w:eastAsiaTheme="minorEastAsia"/>
                <w:sz w:val="24"/>
              </w:rPr>
              <w:t>Q3:请问公司未来利润分配方案是否还有进一步上调的空间？请问公司在分红政策方面是怎么考虑的？</w:t>
            </w:r>
          </w:p>
          <w:p>
            <w:pPr>
              <w:rPr>
                <w:rFonts w:eastAsiaTheme="minorEastAsia"/>
                <w:sz w:val="24"/>
              </w:rPr>
            </w:pPr>
            <w:r>
              <w:rPr>
                <w:rFonts w:hint="eastAsia" w:eastAsiaTheme="minorEastAsia"/>
                <w:sz w:val="24"/>
              </w:rPr>
              <w:t>A3:公司高度重视股东回报，一直努力保持稳定和可持续的现金分红政策。公司在制定2025年度利润分配方案时，将综合考虑保持稳定的股息政策、保障公司现金安全、平衡长期投资与当期分红关系、传递资本市场信心等因素，在自由现金流稳定和充裕的情况下，公司将积极回馈股东，与股东共享公司发展成果。</w:t>
            </w:r>
          </w:p>
          <w:p>
            <w:pPr>
              <w:ind w:firstLine="480" w:firstLineChars="200"/>
              <w:rPr>
                <w:rFonts w:eastAsiaTheme="minorEastAsia"/>
                <w:sz w:val="24"/>
              </w:rPr>
            </w:pPr>
            <w:r>
              <w:rPr>
                <w:rFonts w:hint="eastAsia" w:eastAsiaTheme="minorEastAsia"/>
                <w:sz w:val="24"/>
              </w:rPr>
              <w:t>近年来，公司持续加强现金流管理，总体处于现金充裕状态，盈利稳定、资产负债率处于合理水平，可以有效支撑公司未来的资本性开支和稳定的分红支出。公司将持续努力提升经营业绩和经营质量，努力为股东争取更大、更稳定、更可持续的投资回报。谢谢。</w:t>
            </w:r>
          </w:p>
          <w:p>
            <w:pPr>
              <w:ind w:firstLine="480" w:firstLineChars="200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 xml:space="preserve">    </w:t>
            </w:r>
          </w:p>
          <w:p>
            <w:pPr>
              <w:rPr>
                <w:rFonts w:eastAsiaTheme="minorEastAsia"/>
                <w:sz w:val="24"/>
              </w:rPr>
            </w:pPr>
            <w:r>
              <w:rPr>
                <w:rFonts w:hint="eastAsia" w:eastAsiaTheme="minorEastAsia"/>
                <w:sz w:val="24"/>
              </w:rPr>
              <w:t>Q4:2024年，公司在产能建设方面取得了什么成果？</w:t>
            </w:r>
          </w:p>
          <w:p>
            <w:pPr>
              <w:rPr>
                <w:rFonts w:eastAsiaTheme="minorEastAsia"/>
                <w:sz w:val="24"/>
              </w:rPr>
            </w:pPr>
            <w:r>
              <w:rPr>
                <w:rFonts w:hint="eastAsia" w:eastAsiaTheme="minorEastAsia"/>
                <w:sz w:val="24"/>
              </w:rPr>
              <w:t>A4:公司聚焦生产基地建设和大型装备全生命周期管理，实现</w:t>
            </w:r>
            <w:r>
              <w:rPr>
                <w:rFonts w:eastAsiaTheme="minorEastAsia"/>
                <w:sz w:val="24"/>
              </w:rPr>
              <w:t xml:space="preserve">LNG </w:t>
            </w:r>
            <w:r>
              <w:rPr>
                <w:rFonts w:hint="eastAsia" w:eastAsiaTheme="minorEastAsia"/>
                <w:sz w:val="24"/>
              </w:rPr>
              <w:t>运输加注船</w:t>
            </w:r>
            <w:r>
              <w:rPr>
                <w:rFonts w:eastAsiaTheme="minorEastAsia"/>
                <w:sz w:val="24"/>
              </w:rPr>
              <w:t>“</w:t>
            </w:r>
            <w:r>
              <w:rPr>
                <w:rFonts w:hint="eastAsia" w:eastAsiaTheme="minorEastAsia"/>
                <w:sz w:val="24"/>
              </w:rPr>
              <w:t>海洋石油</w:t>
            </w:r>
            <w:r>
              <w:rPr>
                <w:rFonts w:eastAsiaTheme="minorEastAsia"/>
                <w:sz w:val="24"/>
              </w:rPr>
              <w:t>302”</w:t>
            </w:r>
            <w:r>
              <w:rPr>
                <w:rFonts w:hint="eastAsia" w:eastAsiaTheme="minorEastAsia"/>
                <w:sz w:val="24"/>
              </w:rPr>
              <w:t>投用，</w:t>
            </w:r>
            <w:r>
              <w:rPr>
                <w:rFonts w:eastAsiaTheme="minorEastAsia"/>
                <w:sz w:val="24"/>
              </w:rPr>
              <w:t xml:space="preserve">LNG </w:t>
            </w:r>
            <w:r>
              <w:rPr>
                <w:rFonts w:hint="eastAsia" w:eastAsiaTheme="minorEastAsia"/>
                <w:sz w:val="24"/>
              </w:rPr>
              <w:t>运输船</w:t>
            </w:r>
            <w:r>
              <w:rPr>
                <w:rFonts w:eastAsiaTheme="minorEastAsia"/>
                <w:sz w:val="24"/>
              </w:rPr>
              <w:t>“</w:t>
            </w:r>
            <w:r>
              <w:rPr>
                <w:rFonts w:hint="eastAsia" w:eastAsiaTheme="minorEastAsia"/>
                <w:sz w:val="24"/>
              </w:rPr>
              <w:t>绿能瀛</w:t>
            </w:r>
            <w:r>
              <w:rPr>
                <w:rFonts w:eastAsiaTheme="minorEastAsia"/>
                <w:sz w:val="24"/>
              </w:rPr>
              <w:t>”</w:t>
            </w:r>
            <w:r>
              <w:rPr>
                <w:rFonts w:hint="eastAsia" w:eastAsiaTheme="minorEastAsia"/>
                <w:sz w:val="24"/>
              </w:rPr>
              <w:t>、</w:t>
            </w:r>
            <w:r>
              <w:rPr>
                <w:rFonts w:eastAsiaTheme="minorEastAsia"/>
                <w:sz w:val="24"/>
              </w:rPr>
              <w:t>“</w:t>
            </w:r>
            <w:r>
              <w:rPr>
                <w:rFonts w:hint="eastAsia" w:eastAsiaTheme="minorEastAsia"/>
                <w:sz w:val="24"/>
              </w:rPr>
              <w:t>绿能珠</w:t>
            </w:r>
            <w:r>
              <w:rPr>
                <w:rFonts w:eastAsiaTheme="minorEastAsia"/>
                <w:sz w:val="24"/>
              </w:rPr>
              <w:t>”</w:t>
            </w:r>
            <w:r>
              <w:rPr>
                <w:rFonts w:hint="eastAsia" w:eastAsiaTheme="minorEastAsia"/>
                <w:sz w:val="24"/>
              </w:rPr>
              <w:t>完工交付。全球首座移动式注热平台</w:t>
            </w:r>
            <w:r>
              <w:rPr>
                <w:rFonts w:eastAsiaTheme="minorEastAsia"/>
                <w:sz w:val="24"/>
              </w:rPr>
              <w:t>“</w:t>
            </w:r>
            <w:r>
              <w:rPr>
                <w:rFonts w:hint="eastAsia" w:eastAsiaTheme="minorEastAsia"/>
                <w:sz w:val="24"/>
              </w:rPr>
              <w:t>热采一号</w:t>
            </w:r>
            <w:r>
              <w:rPr>
                <w:rFonts w:eastAsiaTheme="minorEastAsia"/>
                <w:sz w:val="24"/>
              </w:rPr>
              <w:t>”</w:t>
            </w:r>
            <w:r>
              <w:rPr>
                <w:rFonts w:hint="eastAsia" w:eastAsiaTheme="minorEastAsia"/>
                <w:sz w:val="24"/>
              </w:rPr>
              <w:t>完工交付，我国首个海洋油气全生命周期智能装备制造基地（一期）项目机械完工，</w:t>
            </w:r>
            <w:r>
              <w:rPr>
                <w:rFonts w:eastAsiaTheme="minorEastAsia"/>
                <w:sz w:val="24"/>
              </w:rPr>
              <w:t>“</w:t>
            </w:r>
            <w:r>
              <w:rPr>
                <w:rFonts w:hint="eastAsia" w:eastAsiaTheme="minorEastAsia"/>
                <w:sz w:val="24"/>
              </w:rPr>
              <w:t xml:space="preserve">海洋石油 </w:t>
            </w:r>
            <w:r>
              <w:rPr>
                <w:rFonts w:eastAsiaTheme="minorEastAsia"/>
                <w:sz w:val="24"/>
              </w:rPr>
              <w:t xml:space="preserve">115”FPSO </w:t>
            </w:r>
            <w:r>
              <w:rPr>
                <w:rFonts w:hint="eastAsia" w:eastAsiaTheme="minorEastAsia"/>
                <w:sz w:val="24"/>
              </w:rPr>
              <w:t>坞修项目完工投产。</w:t>
            </w:r>
          </w:p>
          <w:p>
            <w:pPr>
              <w:ind w:firstLine="480" w:firstLineChars="200"/>
              <w:rPr>
                <w:rFonts w:eastAsiaTheme="minorEastAsia"/>
                <w:sz w:val="24"/>
              </w:rPr>
            </w:pPr>
          </w:p>
          <w:p>
            <w:pPr>
              <w:rPr>
                <w:rFonts w:eastAsiaTheme="minorEastAsia"/>
                <w:sz w:val="24"/>
              </w:rPr>
            </w:pPr>
            <w:r>
              <w:rPr>
                <w:rFonts w:hint="eastAsia" w:eastAsiaTheme="minorEastAsia"/>
                <w:sz w:val="24"/>
              </w:rPr>
              <w:t>Q5:</w:t>
            </w:r>
            <w:r>
              <w:rPr>
                <w:rFonts w:eastAsiaTheme="minorEastAsia"/>
                <w:sz w:val="24"/>
              </w:rPr>
              <w:t>请介绍一下海油发展目前海外市场情况，海外</w:t>
            </w:r>
            <w:r>
              <w:rPr>
                <w:rFonts w:hint="eastAsia" w:eastAsiaTheme="minorEastAsia"/>
                <w:sz w:val="24"/>
              </w:rPr>
              <w:t>市场未来方向？</w:t>
            </w:r>
          </w:p>
          <w:p>
            <w:pPr>
              <w:rPr>
                <w:rFonts w:eastAsiaTheme="minorEastAsia"/>
                <w:sz w:val="24"/>
              </w:rPr>
            </w:pPr>
            <w:r>
              <w:rPr>
                <w:rFonts w:hint="eastAsia" w:eastAsiaTheme="minorEastAsia"/>
                <w:sz w:val="24"/>
              </w:rPr>
              <w:t>A5:</w:t>
            </w:r>
            <w:r>
              <w:rPr>
                <w:rFonts w:eastAsiaTheme="minorEastAsia"/>
                <w:sz w:val="24"/>
              </w:rPr>
              <w:t xml:space="preserve">目前，海油发展海外市场分布在四个区域，分别是中东区域、非洲区域、北美区域和亚太区域，主要业务包括监督技术、井下技术、增产技术、QHSE咨询、油田操作运维、工程EPC、PMC、IT运维、培训、物流等技术服务，以及油田化学药剂、电潜泵、油套管、涂料、催化剂等产品销售。 </w:t>
            </w:r>
          </w:p>
          <w:p>
            <w:pPr>
              <w:ind w:firstLine="480" w:firstLineChars="200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海油发展坚持海外业务聚焦“主责主业”与高质量发展要求，持续加大海外市场开发力度，积极布局“一带一路”国家市场。在体系建设、组织保障、品牌宣传、风险防控等方面加大投入力度，持续提升海外业务发展质量，不断扩大海外市场份额和产值规模。</w:t>
            </w:r>
          </w:p>
          <w:p>
            <w:pPr>
              <w:ind w:firstLine="480" w:firstLineChars="200"/>
              <w:rPr>
                <w:rFonts w:eastAsiaTheme="minorEastAsia"/>
                <w:sz w:val="24"/>
              </w:rPr>
            </w:pPr>
          </w:p>
          <w:p>
            <w:pPr>
              <w:rPr>
                <w:rFonts w:eastAsiaTheme="minorEastAsia"/>
                <w:sz w:val="24"/>
              </w:rPr>
            </w:pPr>
            <w:r>
              <w:rPr>
                <w:rFonts w:hint="eastAsia" w:eastAsiaTheme="minorEastAsia"/>
                <w:sz w:val="24"/>
              </w:rPr>
              <w:t>Q6:公司数字化转型与业务发展情况？</w:t>
            </w:r>
          </w:p>
          <w:p>
            <w:pPr>
              <w:rPr>
                <w:rFonts w:eastAsiaTheme="minorEastAsia"/>
                <w:sz w:val="24"/>
              </w:rPr>
            </w:pPr>
            <w:r>
              <w:rPr>
                <w:rFonts w:hint="eastAsia" w:eastAsiaTheme="minorEastAsia"/>
                <w:sz w:val="24"/>
              </w:rPr>
              <w:t>A6:公司正在积极推进数字化转型，一是传统产业向“新”求“质”。加快推动全面绿色低碳转型，持续提升数字化转型价值，开发数字产品，推动智能基地、车间等场景应用。二是战新产业加快培育。目前战新产业主要基于传统业务转型升级，而非完全独立的新赛道。公司LNG 运输加注船“海洋石油 302”投用，LNG 运输船“绿能瀛”“绿能珠”完工交付，国内首条海陆 300 公里超常规骨干通信链路，完成中国海油 CCER 碳资产最大单笔交易。三是塑强数智发展新优势。健全数字化协同发展机制，探索人工智能技术应用，推动生产要素配置效率更高、成本更低、产品附加值更高。</w:t>
            </w:r>
          </w:p>
          <w:p>
            <w:pPr>
              <w:ind w:firstLine="480" w:firstLineChars="200"/>
              <w:rPr>
                <w:rFonts w:eastAsiaTheme="minorEastAsia"/>
                <w:sz w:val="24"/>
              </w:rPr>
            </w:pPr>
          </w:p>
          <w:p>
            <w:pPr>
              <w:rPr>
                <w:rFonts w:eastAsiaTheme="minorEastAsia"/>
                <w:sz w:val="24"/>
              </w:rPr>
            </w:pPr>
            <w:r>
              <w:rPr>
                <w:rFonts w:hint="eastAsia" w:eastAsiaTheme="minorEastAsia"/>
                <w:sz w:val="24"/>
              </w:rPr>
              <w:t>Q7:请问海油发展天津海洋装备智能制造基地项目进展如何？</w:t>
            </w:r>
          </w:p>
          <w:p>
            <w:pPr>
              <w:rPr>
                <w:rFonts w:eastAsiaTheme="minorEastAsia"/>
                <w:sz w:val="24"/>
              </w:rPr>
            </w:pPr>
            <w:r>
              <w:rPr>
                <w:rFonts w:hint="eastAsia" w:eastAsiaTheme="minorEastAsia"/>
                <w:sz w:val="24"/>
              </w:rPr>
              <w:t>A7:作为我们首个海洋油气全生命周期智能装备制造基地，该项目已被列入国家战新产业百大工程、天津市重点建设项目、天津市智能建造示范项目。项目于2023年7月正式开工建设，2024年12月底完成机械完工检查，标志着基地从现场安装调试转入试生产阶段。一期项目中的研发实验楼及油套管智能工厂、人工举升电气智能制造工厂等五个工厂已经建设完毕，开始设备的有序调试。基地投产后主要用于海上平台特殊螺纹油套管加工制造，透平测试维修、设备设施一体化运维和人工举升产品制造等业务。该基地打造“设备设施预知性防治一体化平台”，旨在采用数字化技术实现海洋油气装备从规划、设计到施工、运维阶段的全生命周期智能生产运营，将进一步增强公司保障增储上产的核心能力。</w:t>
            </w:r>
          </w:p>
          <w:p>
            <w:pPr>
              <w:ind w:firstLine="480" w:firstLineChars="200"/>
              <w:rPr>
                <w:rFonts w:eastAsiaTheme="minorEastAsia"/>
                <w:sz w:val="24"/>
              </w:rPr>
            </w:pPr>
          </w:p>
          <w:p>
            <w:pPr>
              <w:rPr>
                <w:rFonts w:eastAsiaTheme="minorEastAsia"/>
                <w:sz w:val="24"/>
              </w:rPr>
            </w:pPr>
            <w:r>
              <w:rPr>
                <w:rFonts w:hint="eastAsia" w:eastAsiaTheme="minorEastAsia"/>
                <w:sz w:val="24"/>
              </w:rPr>
              <w:t>Q8:公司未来可能考虑投资方向有哪些？</w:t>
            </w:r>
          </w:p>
          <w:p>
            <w:pPr>
              <w:rPr>
                <w:rFonts w:eastAsiaTheme="minorEastAsia"/>
                <w:sz w:val="24"/>
              </w:rPr>
            </w:pPr>
            <w:r>
              <w:rPr>
                <w:rFonts w:hint="eastAsia" w:eastAsiaTheme="minorEastAsia"/>
                <w:sz w:val="24"/>
              </w:rPr>
              <w:t>A8:公司将坚持聚焦主责主业，投资方向主要是大型设备的建设及更新改造，高端油气装备制造、基地建设等，以增强核心功能、提升核心竞争力。智能制造基地、生产支持基地等重点方向的投资将为油气增储上产提供坚强支撑。</w:t>
            </w:r>
          </w:p>
          <w:p>
            <w:pPr>
              <w:rPr>
                <w:rFonts w:eastAsiaTheme="minorEastAsia"/>
                <w:sz w:val="24"/>
              </w:rPr>
            </w:pPr>
          </w:p>
          <w:p>
            <w:pPr>
              <w:widowControl/>
              <w:jc w:val="left"/>
              <w:rPr>
                <w:rFonts w:ascii="Calibri" w:hAnsi="Calibri" w:cs="Times New Roman" w:eastAsiaTheme="minorEastAsia"/>
                <w:kern w:val="2"/>
                <w:sz w:val="24"/>
                <w:szCs w:val="24"/>
              </w:rPr>
            </w:pPr>
            <w:r>
              <w:rPr>
                <w:rFonts w:ascii="Calibri" w:hAnsi="Calibri" w:cs="Times New Roman" w:eastAsiaTheme="minorEastAsia"/>
                <w:b w:val="0"/>
                <w:bCs w:val="0"/>
                <w:kern w:val="2"/>
                <w:sz w:val="24"/>
                <w:szCs w:val="24"/>
              </w:rPr>
              <w:t>Q</w:t>
            </w:r>
            <w:r>
              <w:rPr>
                <w:rFonts w:hint="eastAsia" w:eastAsiaTheme="minorEastAsia"/>
                <w:sz w:val="24"/>
              </w:rPr>
              <w:t>9</w:t>
            </w:r>
            <w:r>
              <w:rPr>
                <w:rFonts w:ascii="Calibri" w:hAnsi="Calibri" w:cs="Times New Roman" w:eastAsiaTheme="minorEastAsia"/>
                <w:b w:val="0"/>
                <w:bCs w:val="0"/>
                <w:kern w:val="2"/>
                <w:sz w:val="24"/>
                <w:szCs w:val="24"/>
              </w:rPr>
              <w:t>:公司LNG运输船目前的运营和建造情况如何？</w:t>
            </w:r>
          </w:p>
          <w:p>
            <w:pPr>
              <w:widowControl/>
              <w:jc w:val="left"/>
              <w:rPr>
                <w:rFonts w:eastAsiaTheme="minorEastAsia"/>
                <w:sz w:val="24"/>
              </w:rPr>
            </w:pPr>
            <w:r>
              <w:rPr>
                <w:rFonts w:ascii="Calibri" w:hAnsi="Calibri" w:cs="Times New Roman" w:eastAsiaTheme="minorEastAsia"/>
                <w:kern w:val="2"/>
                <w:sz w:val="24"/>
                <w:szCs w:val="24"/>
              </w:rPr>
              <w:t>A</w:t>
            </w:r>
            <w:r>
              <w:rPr>
                <w:rFonts w:hint="eastAsia" w:eastAsiaTheme="minorEastAsia"/>
                <w:sz w:val="24"/>
              </w:rPr>
              <w:t>9：</w:t>
            </w:r>
            <w:r>
              <w:rPr>
                <w:rFonts w:ascii="Calibri" w:hAnsi="Calibri" w:cs="Times New Roman" w:eastAsiaTheme="minorEastAsia"/>
                <w:kern w:val="2"/>
                <w:sz w:val="24"/>
                <w:szCs w:val="24"/>
              </w:rPr>
              <w:t>公司现有12艘LNG运输船在运行，其中</w:t>
            </w:r>
            <w:r>
              <w:rPr>
                <w:rFonts w:hint="eastAsia" w:eastAsiaTheme="minorEastAsia"/>
                <w:sz w:val="24"/>
              </w:rPr>
              <w:t>2</w:t>
            </w:r>
            <w:r>
              <w:rPr>
                <w:rFonts w:ascii="Calibri" w:hAnsi="Calibri" w:cs="Times New Roman" w:eastAsiaTheme="minorEastAsia"/>
                <w:kern w:val="2"/>
                <w:sz w:val="24"/>
                <w:szCs w:val="24"/>
              </w:rPr>
              <w:t>艘</w:t>
            </w:r>
            <w:r>
              <w:rPr>
                <w:rFonts w:hint="eastAsia" w:eastAsiaTheme="minorEastAsia"/>
                <w:sz w:val="24"/>
              </w:rPr>
              <w:t>分别于24年</w:t>
            </w:r>
            <w:r>
              <w:rPr>
                <w:rFonts w:ascii="Calibri" w:hAnsi="Calibri" w:cs="Times New Roman" w:eastAsiaTheme="minorEastAsia"/>
                <w:kern w:val="2"/>
                <w:sz w:val="24"/>
                <w:szCs w:val="24"/>
              </w:rPr>
              <w:t>5月</w:t>
            </w:r>
            <w:r>
              <w:rPr>
                <w:rFonts w:hint="eastAsia" w:eastAsiaTheme="minorEastAsia"/>
                <w:sz w:val="24"/>
              </w:rPr>
              <w:t>和10月</w:t>
            </w:r>
            <w:r>
              <w:rPr>
                <w:rFonts w:ascii="Calibri" w:hAnsi="Calibri" w:cs="Times New Roman" w:eastAsiaTheme="minorEastAsia"/>
                <w:kern w:val="2"/>
                <w:sz w:val="24"/>
                <w:szCs w:val="24"/>
              </w:rPr>
              <w:t>投运的新船，还有10艘在建</w:t>
            </w:r>
            <w:r>
              <w:rPr>
                <w:rFonts w:hint="eastAsia" w:eastAsiaTheme="minorEastAsia"/>
                <w:sz w:val="24"/>
              </w:rPr>
              <w:t>,均为参股形式</w:t>
            </w:r>
            <w:r>
              <w:rPr>
                <w:rFonts w:ascii="Calibri" w:hAnsi="Calibri" w:cs="Times New Roman" w:eastAsiaTheme="minorEastAsia"/>
                <w:kern w:val="2"/>
                <w:sz w:val="24"/>
                <w:szCs w:val="24"/>
              </w:rPr>
              <w:t>。</w:t>
            </w:r>
            <w:r>
              <w:rPr>
                <w:rFonts w:hint="eastAsia" w:eastAsiaTheme="minorEastAsia"/>
                <w:sz w:val="24"/>
              </w:rPr>
              <w:t>LNG运输船</w:t>
            </w:r>
            <w:r>
              <w:rPr>
                <w:rFonts w:ascii="Calibri" w:hAnsi="Calibri" w:cs="Times New Roman" w:eastAsiaTheme="minorEastAsia"/>
                <w:kern w:val="2"/>
                <w:sz w:val="24"/>
                <w:szCs w:val="24"/>
              </w:rPr>
              <w:t>整体建造进度比预期</w:t>
            </w:r>
            <w:r>
              <w:rPr>
                <w:rFonts w:hint="eastAsia" w:eastAsiaTheme="minorEastAsia"/>
                <w:sz w:val="24"/>
              </w:rPr>
              <w:t>有所提前。预计25年将有两艘新船交付</w:t>
            </w:r>
            <w:r>
              <w:rPr>
                <w:rFonts w:ascii="Calibri" w:hAnsi="Calibri" w:cs="Times New Roman" w:eastAsiaTheme="minorEastAsia"/>
                <w:kern w:val="2"/>
                <w:sz w:val="24"/>
                <w:szCs w:val="24"/>
              </w:rPr>
              <w:t>。</w:t>
            </w:r>
          </w:p>
          <w:p>
            <w:pPr>
              <w:widowControl/>
              <w:jc w:val="left"/>
              <w:rPr>
                <w:rFonts w:eastAsiaTheme="minorEastAsia"/>
                <w:sz w:val="24"/>
              </w:rPr>
            </w:pPr>
          </w:p>
          <w:p>
            <w:pPr>
              <w:rPr>
                <w:rFonts w:eastAsiaTheme="minorEastAsia"/>
                <w:sz w:val="24"/>
              </w:rPr>
            </w:pPr>
            <w:r>
              <w:rPr>
                <w:rFonts w:hint="eastAsia" w:eastAsiaTheme="minorEastAsia"/>
                <w:sz w:val="24"/>
              </w:rPr>
              <w:t>Q10:公司会在近期推出大股东增持、股份回购、股权激励计划吗？</w:t>
            </w:r>
          </w:p>
          <w:p>
            <w:pPr>
              <w:rPr>
                <w:rFonts w:eastAsiaTheme="minorEastAsia"/>
                <w:sz w:val="24"/>
              </w:rPr>
            </w:pPr>
            <w:r>
              <w:rPr>
                <w:rFonts w:hint="eastAsia" w:eastAsiaTheme="minorEastAsia"/>
                <w:sz w:val="24"/>
              </w:rPr>
              <w:t>A10:公司近期暂无相关计划。如有相关计划，公司将会根据股票上市规则及时履行信息披露义务。公司相关情况请关注公司在指定信息披露媒体上披露的信息。</w:t>
            </w:r>
          </w:p>
          <w:p>
            <w:pPr>
              <w:rPr>
                <w:rFonts w:eastAsiaTheme="minorEastAsia"/>
                <w:sz w:val="24"/>
              </w:rPr>
            </w:pPr>
          </w:p>
          <w:p>
            <w:pPr>
              <w:ind w:firstLine="0" w:firstLineChars="0"/>
              <w:rPr>
                <w:rFonts w:eastAsiaTheme="minorEastAsia"/>
                <w:sz w:val="24"/>
              </w:rPr>
            </w:pPr>
            <w:r>
              <w:rPr>
                <w:rFonts w:hint="eastAsia" w:eastAsiaTheme="minorEastAsia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Arial" w:hAnsi="Arial"/>
                <w:bCs/>
                <w:sz w:val="24"/>
              </w:rPr>
            </w:pPr>
            <w:r>
              <w:rPr>
                <w:rFonts w:hint="eastAsia" w:ascii="Arial" w:hAnsi="Arial"/>
                <w:bCs/>
                <w:sz w:val="24"/>
              </w:rPr>
              <w:t>附件清单（如有）</w:t>
            </w:r>
          </w:p>
        </w:tc>
        <w:tc>
          <w:tcPr>
            <w:tcW w:w="4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/>
                <w:bCs/>
                <w:sz w:val="24"/>
              </w:rPr>
            </w:pPr>
            <w:r>
              <w:rPr>
                <w:rFonts w:hint="eastAsia" w:ascii="Arial" w:hAnsi="Arial"/>
                <w:bCs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Arial" w:hAnsi="Arial"/>
                <w:bCs/>
                <w:sz w:val="24"/>
              </w:rPr>
            </w:pPr>
            <w:r>
              <w:rPr>
                <w:rFonts w:hint="eastAsia" w:ascii="Arial" w:hAnsi="Arial"/>
                <w:bCs/>
                <w:sz w:val="24"/>
              </w:rPr>
              <w:t>备注</w:t>
            </w:r>
          </w:p>
        </w:tc>
        <w:tc>
          <w:tcPr>
            <w:tcW w:w="4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/>
                <w:bCs/>
                <w:sz w:val="24"/>
              </w:rPr>
            </w:pPr>
            <w:bookmarkStart w:id="0" w:name="_GoBack"/>
            <w:bookmarkEnd w:id="0"/>
          </w:p>
          <w:p>
            <w:pPr>
              <w:spacing w:line="360" w:lineRule="auto"/>
              <w:rPr>
                <w:rFonts w:ascii="Arial" w:hAnsi="Arial"/>
                <w:bCs/>
                <w:sz w:val="24"/>
              </w:rPr>
            </w:pPr>
          </w:p>
        </w:tc>
      </w:tr>
    </w:tbl>
    <w:p>
      <w:pPr>
        <w:spacing w:line="360" w:lineRule="auto"/>
      </w:pPr>
    </w:p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6AF"/>
    <w:rsid w:val="000064E8"/>
    <w:rsid w:val="00014730"/>
    <w:rsid w:val="0001671F"/>
    <w:rsid w:val="000170BD"/>
    <w:rsid w:val="000249CF"/>
    <w:rsid w:val="000322B8"/>
    <w:rsid w:val="000514E2"/>
    <w:rsid w:val="00064957"/>
    <w:rsid w:val="0007152A"/>
    <w:rsid w:val="00092E77"/>
    <w:rsid w:val="000959C1"/>
    <w:rsid w:val="00095F49"/>
    <w:rsid w:val="000B2D26"/>
    <w:rsid w:val="000B5A0A"/>
    <w:rsid w:val="000C39CE"/>
    <w:rsid w:val="000C4415"/>
    <w:rsid w:val="000E3B6B"/>
    <w:rsid w:val="000F0D13"/>
    <w:rsid w:val="000F3391"/>
    <w:rsid w:val="00102C7B"/>
    <w:rsid w:val="00120BE7"/>
    <w:rsid w:val="00131336"/>
    <w:rsid w:val="00133145"/>
    <w:rsid w:val="00133934"/>
    <w:rsid w:val="00145654"/>
    <w:rsid w:val="00145874"/>
    <w:rsid w:val="0015176B"/>
    <w:rsid w:val="001640C6"/>
    <w:rsid w:val="00166E1D"/>
    <w:rsid w:val="00172322"/>
    <w:rsid w:val="00196E68"/>
    <w:rsid w:val="001B2B5A"/>
    <w:rsid w:val="001B5980"/>
    <w:rsid w:val="001C3EE5"/>
    <w:rsid w:val="001C5E58"/>
    <w:rsid w:val="001C676C"/>
    <w:rsid w:val="001C7FAB"/>
    <w:rsid w:val="001E701A"/>
    <w:rsid w:val="001F2BC6"/>
    <w:rsid w:val="001F53CD"/>
    <w:rsid w:val="00201181"/>
    <w:rsid w:val="00205C9B"/>
    <w:rsid w:val="002138F3"/>
    <w:rsid w:val="00217AD1"/>
    <w:rsid w:val="002234F1"/>
    <w:rsid w:val="00225AE2"/>
    <w:rsid w:val="00225F72"/>
    <w:rsid w:val="00231B7C"/>
    <w:rsid w:val="00232F5E"/>
    <w:rsid w:val="00240049"/>
    <w:rsid w:val="00251396"/>
    <w:rsid w:val="00262377"/>
    <w:rsid w:val="002917B0"/>
    <w:rsid w:val="00295886"/>
    <w:rsid w:val="0029714B"/>
    <w:rsid w:val="002A2354"/>
    <w:rsid w:val="002A7C64"/>
    <w:rsid w:val="002B3178"/>
    <w:rsid w:val="002B4C51"/>
    <w:rsid w:val="002C37B7"/>
    <w:rsid w:val="002D2D15"/>
    <w:rsid w:val="002D7106"/>
    <w:rsid w:val="002D71D3"/>
    <w:rsid w:val="002F08B5"/>
    <w:rsid w:val="002F105B"/>
    <w:rsid w:val="002F5019"/>
    <w:rsid w:val="002F57FB"/>
    <w:rsid w:val="003045BD"/>
    <w:rsid w:val="0032142A"/>
    <w:rsid w:val="00337B48"/>
    <w:rsid w:val="00375169"/>
    <w:rsid w:val="00381350"/>
    <w:rsid w:val="0038279B"/>
    <w:rsid w:val="0038654F"/>
    <w:rsid w:val="00392023"/>
    <w:rsid w:val="00392EE5"/>
    <w:rsid w:val="003932E8"/>
    <w:rsid w:val="00396048"/>
    <w:rsid w:val="003A38F1"/>
    <w:rsid w:val="003B0A80"/>
    <w:rsid w:val="003C2D07"/>
    <w:rsid w:val="003C3CB2"/>
    <w:rsid w:val="003D4279"/>
    <w:rsid w:val="003D4E0A"/>
    <w:rsid w:val="003E0FCB"/>
    <w:rsid w:val="003E50AE"/>
    <w:rsid w:val="003F0C6C"/>
    <w:rsid w:val="0040026C"/>
    <w:rsid w:val="004115C5"/>
    <w:rsid w:val="00420C25"/>
    <w:rsid w:val="004225C7"/>
    <w:rsid w:val="00425AD3"/>
    <w:rsid w:val="004261A5"/>
    <w:rsid w:val="00456B57"/>
    <w:rsid w:val="00461F34"/>
    <w:rsid w:val="00483104"/>
    <w:rsid w:val="0048421B"/>
    <w:rsid w:val="0049413B"/>
    <w:rsid w:val="00494B49"/>
    <w:rsid w:val="004A2313"/>
    <w:rsid w:val="004A48AF"/>
    <w:rsid w:val="004A5953"/>
    <w:rsid w:val="004A5CD1"/>
    <w:rsid w:val="004B64F0"/>
    <w:rsid w:val="004B6CCB"/>
    <w:rsid w:val="004C68C2"/>
    <w:rsid w:val="004D50EC"/>
    <w:rsid w:val="004E1560"/>
    <w:rsid w:val="004E2FB7"/>
    <w:rsid w:val="004F6986"/>
    <w:rsid w:val="005028F2"/>
    <w:rsid w:val="00502AC1"/>
    <w:rsid w:val="00505C7F"/>
    <w:rsid w:val="00512930"/>
    <w:rsid w:val="00513939"/>
    <w:rsid w:val="00516029"/>
    <w:rsid w:val="0051704B"/>
    <w:rsid w:val="00520481"/>
    <w:rsid w:val="005306D2"/>
    <w:rsid w:val="005329E3"/>
    <w:rsid w:val="0053346B"/>
    <w:rsid w:val="00540D89"/>
    <w:rsid w:val="005415B8"/>
    <w:rsid w:val="005569B7"/>
    <w:rsid w:val="00576C16"/>
    <w:rsid w:val="0058549E"/>
    <w:rsid w:val="005A675E"/>
    <w:rsid w:val="005B2535"/>
    <w:rsid w:val="005B2C08"/>
    <w:rsid w:val="005C0791"/>
    <w:rsid w:val="005F7998"/>
    <w:rsid w:val="006061B0"/>
    <w:rsid w:val="00613CB3"/>
    <w:rsid w:val="00616DF7"/>
    <w:rsid w:val="00624A9A"/>
    <w:rsid w:val="006339AA"/>
    <w:rsid w:val="00640637"/>
    <w:rsid w:val="006408CD"/>
    <w:rsid w:val="00642E5E"/>
    <w:rsid w:val="00647EF4"/>
    <w:rsid w:val="00667668"/>
    <w:rsid w:val="00670515"/>
    <w:rsid w:val="006853DC"/>
    <w:rsid w:val="006A672C"/>
    <w:rsid w:val="006B23BF"/>
    <w:rsid w:val="006B31D9"/>
    <w:rsid w:val="006C55E7"/>
    <w:rsid w:val="006D0D9C"/>
    <w:rsid w:val="006D497F"/>
    <w:rsid w:val="006E211A"/>
    <w:rsid w:val="006E3954"/>
    <w:rsid w:val="00700F38"/>
    <w:rsid w:val="007207CB"/>
    <w:rsid w:val="0074245B"/>
    <w:rsid w:val="007463C9"/>
    <w:rsid w:val="007500D3"/>
    <w:rsid w:val="00767BBE"/>
    <w:rsid w:val="007740D1"/>
    <w:rsid w:val="00781232"/>
    <w:rsid w:val="0078494D"/>
    <w:rsid w:val="00790145"/>
    <w:rsid w:val="00791A85"/>
    <w:rsid w:val="007A4BB1"/>
    <w:rsid w:val="007A70FA"/>
    <w:rsid w:val="007B4526"/>
    <w:rsid w:val="007B4B1C"/>
    <w:rsid w:val="007D2AA9"/>
    <w:rsid w:val="007D2DAD"/>
    <w:rsid w:val="007D6C5F"/>
    <w:rsid w:val="007F3F8D"/>
    <w:rsid w:val="007F52F9"/>
    <w:rsid w:val="00814B49"/>
    <w:rsid w:val="00820A07"/>
    <w:rsid w:val="00837D86"/>
    <w:rsid w:val="0084183B"/>
    <w:rsid w:val="008418D3"/>
    <w:rsid w:val="00841B87"/>
    <w:rsid w:val="00842582"/>
    <w:rsid w:val="00844210"/>
    <w:rsid w:val="0084588A"/>
    <w:rsid w:val="00852F42"/>
    <w:rsid w:val="00857736"/>
    <w:rsid w:val="008673B9"/>
    <w:rsid w:val="00870841"/>
    <w:rsid w:val="00870E6D"/>
    <w:rsid w:val="00894C66"/>
    <w:rsid w:val="008A52A1"/>
    <w:rsid w:val="008D01E9"/>
    <w:rsid w:val="008D6D3B"/>
    <w:rsid w:val="008E16D4"/>
    <w:rsid w:val="008F33BB"/>
    <w:rsid w:val="0090720B"/>
    <w:rsid w:val="00915626"/>
    <w:rsid w:val="0092052F"/>
    <w:rsid w:val="00920A70"/>
    <w:rsid w:val="00931DF2"/>
    <w:rsid w:val="0094094D"/>
    <w:rsid w:val="00951C25"/>
    <w:rsid w:val="00952E2F"/>
    <w:rsid w:val="00953621"/>
    <w:rsid w:val="00955BD4"/>
    <w:rsid w:val="0096505E"/>
    <w:rsid w:val="009713F6"/>
    <w:rsid w:val="009734F6"/>
    <w:rsid w:val="0097646C"/>
    <w:rsid w:val="00982303"/>
    <w:rsid w:val="009870C1"/>
    <w:rsid w:val="009A0AA8"/>
    <w:rsid w:val="009A0FDB"/>
    <w:rsid w:val="009A667A"/>
    <w:rsid w:val="009A6897"/>
    <w:rsid w:val="009A7E7D"/>
    <w:rsid w:val="009B0E27"/>
    <w:rsid w:val="009B0F31"/>
    <w:rsid w:val="009D0879"/>
    <w:rsid w:val="009D308E"/>
    <w:rsid w:val="009D50D4"/>
    <w:rsid w:val="009F1F15"/>
    <w:rsid w:val="009F2007"/>
    <w:rsid w:val="009F4A15"/>
    <w:rsid w:val="00A016D7"/>
    <w:rsid w:val="00A06781"/>
    <w:rsid w:val="00A2008F"/>
    <w:rsid w:val="00A2669E"/>
    <w:rsid w:val="00A27FDB"/>
    <w:rsid w:val="00A32E27"/>
    <w:rsid w:val="00A46331"/>
    <w:rsid w:val="00A463D2"/>
    <w:rsid w:val="00A54A1D"/>
    <w:rsid w:val="00A56E13"/>
    <w:rsid w:val="00A64E11"/>
    <w:rsid w:val="00A7677A"/>
    <w:rsid w:val="00A80C96"/>
    <w:rsid w:val="00A91D99"/>
    <w:rsid w:val="00A9782D"/>
    <w:rsid w:val="00AA30E5"/>
    <w:rsid w:val="00AA751C"/>
    <w:rsid w:val="00AB1D47"/>
    <w:rsid w:val="00AE00F9"/>
    <w:rsid w:val="00AE6AAD"/>
    <w:rsid w:val="00AF0540"/>
    <w:rsid w:val="00AF50F0"/>
    <w:rsid w:val="00B146C4"/>
    <w:rsid w:val="00B266A9"/>
    <w:rsid w:val="00B32FB4"/>
    <w:rsid w:val="00B34808"/>
    <w:rsid w:val="00B51494"/>
    <w:rsid w:val="00B52C52"/>
    <w:rsid w:val="00B57DE2"/>
    <w:rsid w:val="00B61024"/>
    <w:rsid w:val="00B62DBF"/>
    <w:rsid w:val="00B63DDA"/>
    <w:rsid w:val="00B64A83"/>
    <w:rsid w:val="00B94426"/>
    <w:rsid w:val="00BA29F6"/>
    <w:rsid w:val="00BB6048"/>
    <w:rsid w:val="00BC06D0"/>
    <w:rsid w:val="00BD605B"/>
    <w:rsid w:val="00C14210"/>
    <w:rsid w:val="00C2418C"/>
    <w:rsid w:val="00C31F14"/>
    <w:rsid w:val="00C42181"/>
    <w:rsid w:val="00C61758"/>
    <w:rsid w:val="00C622EA"/>
    <w:rsid w:val="00C7176C"/>
    <w:rsid w:val="00C818BD"/>
    <w:rsid w:val="00C81F5B"/>
    <w:rsid w:val="00CA06AE"/>
    <w:rsid w:val="00CA2C89"/>
    <w:rsid w:val="00CA3859"/>
    <w:rsid w:val="00CD0EC1"/>
    <w:rsid w:val="00CE53D2"/>
    <w:rsid w:val="00D02FF1"/>
    <w:rsid w:val="00D06044"/>
    <w:rsid w:val="00D07FB4"/>
    <w:rsid w:val="00D12A2E"/>
    <w:rsid w:val="00D140C0"/>
    <w:rsid w:val="00D459BA"/>
    <w:rsid w:val="00D50E5F"/>
    <w:rsid w:val="00D6600B"/>
    <w:rsid w:val="00D67300"/>
    <w:rsid w:val="00D67AA4"/>
    <w:rsid w:val="00D72A6F"/>
    <w:rsid w:val="00D75EFF"/>
    <w:rsid w:val="00D762C1"/>
    <w:rsid w:val="00D87F10"/>
    <w:rsid w:val="00D915CA"/>
    <w:rsid w:val="00D91F02"/>
    <w:rsid w:val="00D92236"/>
    <w:rsid w:val="00D9302B"/>
    <w:rsid w:val="00DA2171"/>
    <w:rsid w:val="00DA3392"/>
    <w:rsid w:val="00DA34B0"/>
    <w:rsid w:val="00DA6434"/>
    <w:rsid w:val="00DB0F03"/>
    <w:rsid w:val="00DB3D89"/>
    <w:rsid w:val="00DC1EC5"/>
    <w:rsid w:val="00DC26ED"/>
    <w:rsid w:val="00DD156D"/>
    <w:rsid w:val="00DE5486"/>
    <w:rsid w:val="00DF4270"/>
    <w:rsid w:val="00E1402E"/>
    <w:rsid w:val="00E2445B"/>
    <w:rsid w:val="00E26F36"/>
    <w:rsid w:val="00E27AE2"/>
    <w:rsid w:val="00E54867"/>
    <w:rsid w:val="00E65FD5"/>
    <w:rsid w:val="00E878A5"/>
    <w:rsid w:val="00E947C4"/>
    <w:rsid w:val="00EB501A"/>
    <w:rsid w:val="00EC087B"/>
    <w:rsid w:val="00EC140C"/>
    <w:rsid w:val="00EC4B5E"/>
    <w:rsid w:val="00ED2FEA"/>
    <w:rsid w:val="00ED5B82"/>
    <w:rsid w:val="00EF595C"/>
    <w:rsid w:val="00EF63B5"/>
    <w:rsid w:val="00F065EA"/>
    <w:rsid w:val="00F12982"/>
    <w:rsid w:val="00F46311"/>
    <w:rsid w:val="00F513C8"/>
    <w:rsid w:val="00F54829"/>
    <w:rsid w:val="00F55C2F"/>
    <w:rsid w:val="00F5728D"/>
    <w:rsid w:val="00F6363C"/>
    <w:rsid w:val="00F76932"/>
    <w:rsid w:val="00F804AA"/>
    <w:rsid w:val="00F8256E"/>
    <w:rsid w:val="00F828C0"/>
    <w:rsid w:val="00F84A96"/>
    <w:rsid w:val="00F852DF"/>
    <w:rsid w:val="00F91EC5"/>
    <w:rsid w:val="00F930C8"/>
    <w:rsid w:val="00F9390C"/>
    <w:rsid w:val="00F94E49"/>
    <w:rsid w:val="00F959DE"/>
    <w:rsid w:val="00FB2757"/>
    <w:rsid w:val="00FB2E13"/>
    <w:rsid w:val="00FB36AF"/>
    <w:rsid w:val="00FD25EC"/>
    <w:rsid w:val="00FD7CDB"/>
    <w:rsid w:val="00FE4171"/>
    <w:rsid w:val="0130215C"/>
    <w:rsid w:val="043C35CC"/>
    <w:rsid w:val="06804512"/>
    <w:rsid w:val="06C65AE4"/>
    <w:rsid w:val="07F118A7"/>
    <w:rsid w:val="09E30FC8"/>
    <w:rsid w:val="0C654F6B"/>
    <w:rsid w:val="0D524167"/>
    <w:rsid w:val="108E0C2E"/>
    <w:rsid w:val="11E00E28"/>
    <w:rsid w:val="14B8165B"/>
    <w:rsid w:val="15E6367B"/>
    <w:rsid w:val="19B55927"/>
    <w:rsid w:val="1FD138FC"/>
    <w:rsid w:val="1FE47453"/>
    <w:rsid w:val="20B82087"/>
    <w:rsid w:val="22903F40"/>
    <w:rsid w:val="2428786F"/>
    <w:rsid w:val="250E6BFE"/>
    <w:rsid w:val="2FC015D3"/>
    <w:rsid w:val="300F2202"/>
    <w:rsid w:val="30E8054D"/>
    <w:rsid w:val="33C01926"/>
    <w:rsid w:val="34584414"/>
    <w:rsid w:val="370D1705"/>
    <w:rsid w:val="37697DF6"/>
    <w:rsid w:val="3B723B9D"/>
    <w:rsid w:val="3C9E1F83"/>
    <w:rsid w:val="40190FE2"/>
    <w:rsid w:val="40516596"/>
    <w:rsid w:val="424413B5"/>
    <w:rsid w:val="430420E0"/>
    <w:rsid w:val="462D28F6"/>
    <w:rsid w:val="486E3858"/>
    <w:rsid w:val="4F0A43C4"/>
    <w:rsid w:val="52EC50DE"/>
    <w:rsid w:val="56B525BD"/>
    <w:rsid w:val="579266F5"/>
    <w:rsid w:val="57CF1914"/>
    <w:rsid w:val="5B6B7E52"/>
    <w:rsid w:val="5C9B4908"/>
    <w:rsid w:val="5E0D31DF"/>
    <w:rsid w:val="5E831ACF"/>
    <w:rsid w:val="5FCE799C"/>
    <w:rsid w:val="60A9304C"/>
    <w:rsid w:val="60D72176"/>
    <w:rsid w:val="610477C7"/>
    <w:rsid w:val="61727C75"/>
    <w:rsid w:val="6AEE7819"/>
    <w:rsid w:val="70BF5B75"/>
    <w:rsid w:val="72724C57"/>
    <w:rsid w:val="73194621"/>
    <w:rsid w:val="73D357FF"/>
    <w:rsid w:val="73E21972"/>
    <w:rsid w:val="754325AA"/>
    <w:rsid w:val="75BF06E8"/>
    <w:rsid w:val="76901005"/>
    <w:rsid w:val="793A669D"/>
    <w:rsid w:val="799646AA"/>
    <w:rsid w:val="7AF74291"/>
    <w:rsid w:val="7DB33A51"/>
    <w:rsid w:val="7E9F0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6"/>
    <w:semiHidden/>
    <w:unhideWhenUsed/>
    <w:qFormat/>
    <w:uiPriority w:val="99"/>
    <w:pPr>
      <w:jc w:val="left"/>
    </w:pPr>
  </w:style>
  <w:style w:type="paragraph" w:styleId="4">
    <w:name w:val="Body Text Indent 2"/>
    <w:basedOn w:val="1"/>
    <w:qFormat/>
    <w:uiPriority w:val="0"/>
    <w:pPr>
      <w:ind w:left="420"/>
    </w:pPr>
    <w:rPr>
      <w:rFonts w:asciiTheme="minorHAnsi" w:hAnsiTheme="minorHAnsi" w:eastAsiaTheme="minorEastAsia" w:cstheme="minorBidi"/>
      <w:b/>
      <w:sz w:val="24"/>
    </w:rPr>
  </w:style>
  <w:style w:type="paragraph" w:styleId="5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3"/>
    <w:next w:val="3"/>
    <w:link w:val="17"/>
    <w:semiHidden/>
    <w:unhideWhenUsed/>
    <w:qFormat/>
    <w:uiPriority w:val="99"/>
    <w:rPr>
      <w:b/>
      <w:bCs/>
    </w:rPr>
  </w:style>
  <w:style w:type="character" w:styleId="11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2">
    <w:name w:val="批注框文本 Char"/>
    <w:basedOn w:val="10"/>
    <w:link w:val="5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页眉 Char"/>
    <w:basedOn w:val="10"/>
    <w:link w:val="7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页脚 Char"/>
    <w:basedOn w:val="10"/>
    <w:link w:val="6"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16">
    <w:name w:val="批注文字 Char"/>
    <w:basedOn w:val="10"/>
    <w:link w:val="3"/>
    <w:semiHidden/>
    <w:qFormat/>
    <w:uiPriority w:val="99"/>
    <w:rPr>
      <w:rFonts w:ascii="Calibri" w:hAnsi="Calibri" w:eastAsia="宋体" w:cs="Times New Roman"/>
      <w:szCs w:val="24"/>
    </w:rPr>
  </w:style>
  <w:style w:type="character" w:customStyle="1" w:styleId="17">
    <w:name w:val="批注主题 Char"/>
    <w:basedOn w:val="16"/>
    <w:link w:val="8"/>
    <w:semiHidden/>
    <w:qFormat/>
    <w:uiPriority w:val="99"/>
    <w:rPr>
      <w:rFonts w:ascii="Calibri" w:hAnsi="Calibri" w:eastAsia="宋体" w:cs="Times New Roman"/>
      <w:b/>
      <w:bCs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1683</Words>
  <Characters>1970</Characters>
  <Lines>328</Lines>
  <Paragraphs>304</Paragraphs>
  <TotalTime>14</TotalTime>
  <ScaleCrop>false</ScaleCrop>
  <LinksUpToDate>false</LinksUpToDate>
  <CharactersWithSpaces>3349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2025-03-04T09:04:00Z</dcterms:created>
  <dc:creator>Xu Zhengrong</dc:creator>
  <cp:lastModifiedBy>高 静</cp:lastModifiedBy>
  <cp:lastPrinted>2021-04-22T01:41:00Z</cp:lastPrinted>
  <dcterms:modified xsi:type="dcterms:W3CDTF">2025-03-05T06:39:29Z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65A81B644265449897D39C5520EBEBB4</vt:lpwstr>
  </property>
</Properties>
</file>