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hint="eastAsia" w:ascii="宋体" w:hAnsi="宋体" w:eastAsia="宋体"/>
          <w:lang w:val="en-US" w:eastAsia="zh-CN"/>
        </w:rPr>
      </w:pPr>
      <w:r>
        <w:rPr>
          <w:rFonts w:hint="eastAsia" w:ascii="宋体" w:hAnsi="宋体"/>
        </w:rPr>
        <w:t>编号：2025-00</w:t>
      </w:r>
      <w:r>
        <w:rPr>
          <w:rFonts w:hint="eastAsia" w:ascii="宋体" w:hAnsi="宋体"/>
          <w:lang w:val="en-US" w:eastAsia="zh-CN"/>
        </w:rPr>
        <w:t>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adjustRightInd w:val="0"/>
              <w:snapToGrid w:val="0"/>
              <w:spacing w:line="348" w:lineRule="auto"/>
              <w:rPr>
                <w:b/>
                <w:bCs/>
                <w:iCs/>
                <w:sz w:val="24"/>
              </w:rPr>
            </w:pPr>
            <w:r>
              <w:rPr>
                <w:b/>
                <w:bCs/>
                <w:iCs/>
                <w:sz w:val="24"/>
              </w:rPr>
              <w:t>投资者关系活动类别</w:t>
            </w:r>
          </w:p>
        </w:tc>
        <w:tc>
          <w:tcPr>
            <w:tcW w:w="6996" w:type="dxa"/>
            <w:vAlign w:val="center"/>
          </w:tcPr>
          <w:p w14:paraId="27B2D59F">
            <w:pPr>
              <w:adjustRightInd w:val="0"/>
              <w:snapToGrid w:val="0"/>
              <w:spacing w:line="348"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adjustRightInd w:val="0"/>
              <w:snapToGrid w:val="0"/>
              <w:spacing w:line="348"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adjustRightInd w:val="0"/>
              <w:snapToGrid w:val="0"/>
              <w:spacing w:line="348"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adjustRightInd w:val="0"/>
              <w:snapToGrid w:val="0"/>
              <w:spacing w:line="348" w:lineRule="auto"/>
              <w:rPr>
                <w:bCs/>
                <w:iCs/>
                <w:sz w:val="24"/>
                <w:szCs w:val="24"/>
              </w:rPr>
            </w:pPr>
            <w:r>
              <w:rPr>
                <w:sz w:val="24"/>
                <w:szCs w:val="24"/>
              </w:rPr>
              <w:sym w:font="Wingdings 2" w:char="0052"/>
            </w:r>
            <w:r>
              <w:rPr>
                <w:sz w:val="24"/>
                <w:szCs w:val="24"/>
              </w:rPr>
              <w:t>电话会议</w:t>
            </w:r>
          </w:p>
          <w:p w14:paraId="3F9F99B1">
            <w:pPr>
              <w:pStyle w:val="25"/>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adjustRightInd w:val="0"/>
              <w:snapToGrid w:val="0"/>
              <w:spacing w:line="348" w:lineRule="auto"/>
              <w:rPr>
                <w:b/>
                <w:bCs/>
                <w:iCs/>
                <w:sz w:val="24"/>
              </w:rPr>
            </w:pPr>
            <w:r>
              <w:rPr>
                <w:b/>
                <w:bCs/>
                <w:iCs/>
                <w:sz w:val="24"/>
              </w:rPr>
              <w:t>参与单位名称及人员姓名</w:t>
            </w:r>
          </w:p>
        </w:tc>
        <w:tc>
          <w:tcPr>
            <w:tcW w:w="6996" w:type="dxa"/>
            <w:vAlign w:val="center"/>
          </w:tcPr>
          <w:p w14:paraId="784DA974">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 xml:space="preserve">农银基金 王皓非 </w:t>
            </w:r>
          </w:p>
          <w:p w14:paraId="447C0D5B">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博时基金 包江麟</w:t>
            </w:r>
          </w:p>
          <w:p w14:paraId="25892514">
            <w:pPr>
              <w:spacing w:line="348" w:lineRule="auto"/>
              <w:textAlignment w:val="baseline"/>
              <w:rPr>
                <w:rFonts w:hint="default" w:ascii="Times New Roman" w:hAnsi="Times New Roman"/>
                <w:sz w:val="24"/>
                <w:szCs w:val="24"/>
                <w:lang w:val="en-US" w:eastAsia="zh-CN"/>
              </w:rPr>
            </w:pPr>
            <w:r>
              <w:rPr>
                <w:rFonts w:hint="default" w:ascii="Times New Roman" w:hAnsi="Times New Roman"/>
                <w:sz w:val="24"/>
                <w:szCs w:val="24"/>
                <w:lang w:val="en-US" w:eastAsia="zh-CN"/>
              </w:rPr>
              <w:t>中庚基金</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杜彩雯</w:t>
            </w:r>
          </w:p>
          <w:p w14:paraId="1D4081D3">
            <w:pPr>
              <w:spacing w:line="348" w:lineRule="auto"/>
              <w:textAlignment w:val="baseline"/>
              <w:rPr>
                <w:rFonts w:hint="default" w:ascii="Times New Roman" w:hAnsi="Times New Roman"/>
                <w:sz w:val="24"/>
                <w:szCs w:val="24"/>
                <w:lang w:val="en-US" w:eastAsia="zh-CN"/>
              </w:rPr>
            </w:pPr>
            <w:r>
              <w:rPr>
                <w:rFonts w:hint="default" w:ascii="Times New Roman" w:hAnsi="Times New Roman"/>
                <w:sz w:val="24"/>
                <w:szCs w:val="24"/>
                <w:lang w:val="en-US" w:eastAsia="zh-CN"/>
              </w:rPr>
              <w:t>中航基金</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高丰臣</w:t>
            </w:r>
          </w:p>
          <w:p w14:paraId="3619E3D7">
            <w:pPr>
              <w:spacing w:line="348" w:lineRule="auto"/>
              <w:textAlignment w:val="baseline"/>
              <w:rPr>
                <w:rFonts w:hint="default" w:ascii="Times New Roman" w:hAnsi="Times New Roman"/>
                <w:sz w:val="24"/>
                <w:szCs w:val="24"/>
                <w:lang w:val="en-US" w:eastAsia="zh-CN"/>
              </w:rPr>
            </w:pPr>
            <w:r>
              <w:rPr>
                <w:rFonts w:hint="default" w:ascii="Times New Roman" w:hAnsi="Times New Roman"/>
                <w:sz w:val="24"/>
                <w:szCs w:val="24"/>
                <w:lang w:val="en-US" w:eastAsia="zh-CN"/>
              </w:rPr>
              <w:t>融通基金</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钱佳兴</w:t>
            </w:r>
          </w:p>
          <w:p w14:paraId="03F01FBC">
            <w:pPr>
              <w:spacing w:line="348" w:lineRule="auto"/>
              <w:textAlignment w:val="baseline"/>
              <w:rPr>
                <w:rFonts w:hint="eastAsia" w:ascii="Times New Roman" w:hAnsi="Times New Roman" w:eastAsia="宋体"/>
                <w:sz w:val="24"/>
                <w:szCs w:val="24"/>
                <w:lang w:eastAsia="zh-CN"/>
              </w:rPr>
            </w:pPr>
            <w:r>
              <w:rPr>
                <w:rFonts w:hint="eastAsia" w:ascii="Times New Roman" w:hAnsi="Times New Roman"/>
                <w:sz w:val="24"/>
                <w:szCs w:val="24"/>
                <w:lang w:val="en-US" w:eastAsia="zh-CN"/>
              </w:rPr>
              <w:t>大成基金 刘芳林</w:t>
            </w:r>
          </w:p>
          <w:p w14:paraId="45D0E86C">
            <w:pPr>
              <w:spacing w:line="348" w:lineRule="auto"/>
              <w:textAlignment w:val="baseline"/>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鹏华基金</w:t>
            </w:r>
            <w:r>
              <w:rPr>
                <w:rFonts w:ascii="Times New Roman" w:hAnsi="Times New Roman"/>
                <w:sz w:val="24"/>
                <w:szCs w:val="24"/>
              </w:rPr>
              <w:t xml:space="preserve"> </w:t>
            </w:r>
            <w:r>
              <w:rPr>
                <w:rFonts w:hint="eastAsia" w:ascii="Times New Roman" w:hAnsi="Times New Roman"/>
                <w:sz w:val="24"/>
                <w:szCs w:val="24"/>
                <w:lang w:val="en-US" w:eastAsia="zh-CN"/>
              </w:rPr>
              <w:t>杨  浩 王云鹏</w:t>
            </w:r>
          </w:p>
          <w:p w14:paraId="4540A7B3">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华商基金 黄露禾</w:t>
            </w:r>
          </w:p>
          <w:p w14:paraId="34B73324">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银河基金 陈凯茜</w:t>
            </w:r>
          </w:p>
          <w:p w14:paraId="4884158C">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鹏扬基金 李伟峰</w:t>
            </w:r>
          </w:p>
          <w:p w14:paraId="662BEE33">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国联安基金 芮鹏亮</w:t>
            </w:r>
          </w:p>
          <w:p w14:paraId="29E27FC8">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上海证券 周峰春</w:t>
            </w:r>
          </w:p>
          <w:p w14:paraId="15818938">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华源证券 郦悦轩</w:t>
            </w:r>
          </w:p>
          <w:p w14:paraId="6CF88DB4">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中金公司 李熹凌</w:t>
            </w:r>
          </w:p>
          <w:p w14:paraId="3B47054C">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华创证券 陈俊新</w:t>
            </w:r>
          </w:p>
          <w:p w14:paraId="69A13091">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国联证券 叶  鑫</w:t>
            </w:r>
          </w:p>
          <w:p w14:paraId="71A4790B">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银河证券 李  良 孙思源 胡浩淼</w:t>
            </w:r>
          </w:p>
          <w:p w14:paraId="772D7432">
            <w:pPr>
              <w:spacing w:line="348" w:lineRule="auto"/>
              <w:textAlignment w:val="baseline"/>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华福</w:t>
            </w:r>
            <w:r>
              <w:rPr>
                <w:rFonts w:hint="eastAsia" w:ascii="Times New Roman" w:hAnsi="Times New Roman"/>
                <w:sz w:val="24"/>
                <w:szCs w:val="24"/>
              </w:rPr>
              <w:t xml:space="preserve">证券 </w:t>
            </w:r>
            <w:r>
              <w:rPr>
                <w:rFonts w:hint="eastAsia" w:ascii="Times New Roman" w:hAnsi="Times New Roman"/>
                <w:sz w:val="24"/>
                <w:szCs w:val="24"/>
                <w:lang w:val="en-US" w:eastAsia="zh-CN"/>
              </w:rPr>
              <w:t>李  骥 周丹露</w:t>
            </w:r>
          </w:p>
          <w:p w14:paraId="555A5BFC">
            <w:pPr>
              <w:spacing w:line="348" w:lineRule="auto"/>
              <w:textAlignment w:val="baseline"/>
              <w:rPr>
                <w:rFonts w:hint="default" w:ascii="Times New Roman" w:hAnsi="Times New Roman"/>
                <w:sz w:val="24"/>
                <w:szCs w:val="24"/>
                <w:lang w:val="en-US" w:eastAsia="zh-CN"/>
              </w:rPr>
            </w:pP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spacing w:line="348" w:lineRule="auto"/>
              <w:rPr>
                <w:rFonts w:ascii="Times New Roman" w:hAnsi="Times New Roman"/>
                <w:iCs/>
                <w:sz w:val="24"/>
              </w:rPr>
            </w:pPr>
            <w:r>
              <w:rPr>
                <w:rFonts w:hint="eastAsia" w:ascii="Times New Roman" w:hAnsi="Times New Roman"/>
                <w:iCs/>
                <w:sz w:val="24"/>
              </w:rPr>
              <w:t>202</w:t>
            </w:r>
            <w:r>
              <w:rPr>
                <w:rFonts w:hint="eastAsia" w:ascii="Times New Roman" w:hAnsi="Times New Roman"/>
                <w:iCs/>
                <w:sz w:val="24"/>
                <w:lang w:val="en-US" w:eastAsia="zh-CN"/>
              </w:rPr>
              <w:t>5</w:t>
            </w:r>
            <w:r>
              <w:rPr>
                <w:rFonts w:hint="eastAsia" w:ascii="Times New Roman" w:hAnsi="Times New Roman"/>
                <w:iCs/>
                <w:sz w:val="24"/>
              </w:rPr>
              <w:t>年</w:t>
            </w:r>
            <w:r>
              <w:rPr>
                <w:rFonts w:hint="eastAsia" w:ascii="Times New Roman" w:hAnsi="Times New Roman"/>
                <w:iCs/>
                <w:sz w:val="24"/>
                <w:lang w:val="en-US" w:eastAsia="zh-CN"/>
              </w:rPr>
              <w:t>2</w:t>
            </w:r>
            <w:r>
              <w:rPr>
                <w:rFonts w:hint="eastAsia" w:ascii="Times New Roman" w:hAnsi="Times New Roman"/>
                <w:iCs/>
                <w:sz w:val="24"/>
              </w:rPr>
              <w:t>月1</w:t>
            </w:r>
            <w:r>
              <w:rPr>
                <w:rFonts w:hint="eastAsia" w:ascii="Times New Roman" w:hAnsi="Times New Roman"/>
                <w:iCs/>
                <w:sz w:val="24"/>
                <w:lang w:val="en-US" w:eastAsia="zh-CN"/>
              </w:rPr>
              <w:t>8</w:t>
            </w:r>
            <w:r>
              <w:rPr>
                <w:rFonts w:hint="eastAsia" w:ascii="Times New Roman" w:hAnsi="Times New Roman"/>
                <w:iCs/>
                <w:sz w:val="24"/>
              </w:rPr>
              <w:t>日至2025年</w:t>
            </w:r>
            <w:r>
              <w:rPr>
                <w:rFonts w:hint="eastAsia" w:ascii="Times New Roman" w:hAnsi="Times New Roman"/>
                <w:iCs/>
                <w:sz w:val="24"/>
                <w:lang w:val="en-US" w:eastAsia="zh-CN"/>
              </w:rPr>
              <w:t>3</w:t>
            </w:r>
            <w:r>
              <w:rPr>
                <w:rFonts w:hint="eastAsia" w:ascii="Times New Roman" w:hAnsi="Times New Roman"/>
                <w:iCs/>
                <w:sz w:val="24"/>
              </w:rPr>
              <w:t>月</w:t>
            </w:r>
            <w:r>
              <w:rPr>
                <w:rFonts w:hint="eastAsia" w:ascii="Times New Roman" w:hAnsi="Times New Roman"/>
                <w:iCs/>
                <w:sz w:val="24"/>
                <w:lang w:val="en-US" w:eastAsia="zh-CN"/>
              </w:rPr>
              <w:t>5</w:t>
            </w:r>
            <w:r>
              <w:rPr>
                <w:rFonts w:hint="eastAsia" w:ascii="Times New Roman" w:hAnsi="Times New Roman"/>
                <w:iCs/>
                <w:sz w:val="24"/>
              </w:rPr>
              <w:t>日</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spacing w:line="348"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董事会秘书 何骥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adjustRightInd w:val="0"/>
              <w:snapToGrid w:val="0"/>
              <w:spacing w:line="348" w:lineRule="auto"/>
              <w:rPr>
                <w:b/>
                <w:bCs/>
                <w:iCs/>
                <w:sz w:val="24"/>
              </w:rPr>
            </w:pPr>
            <w:r>
              <w:rPr>
                <w:rFonts w:hint="eastAsia"/>
                <w:b/>
                <w:bCs/>
                <w:iCs/>
                <w:sz w:val="24"/>
              </w:rPr>
              <w:t>投资者关系活动主要内容介绍</w:t>
            </w:r>
          </w:p>
        </w:tc>
        <w:tc>
          <w:tcPr>
            <w:tcW w:w="6996" w:type="dxa"/>
          </w:tcPr>
          <w:p w14:paraId="659160B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首先向投资者简要介绍公司近期经营状况，民爆业务、</w:t>
            </w:r>
            <w:r>
              <w:rPr>
                <w:rFonts w:hint="eastAsia" w:ascii="宋体" w:hAnsi="宋体" w:cs="宋体"/>
                <w:sz w:val="24"/>
                <w:szCs w:val="24"/>
                <w:lang w:val="en-US" w:eastAsia="zh-CN"/>
              </w:rPr>
              <w:t>轨交自动化及信息化</w:t>
            </w:r>
            <w:r>
              <w:rPr>
                <w:rFonts w:hint="eastAsia" w:ascii="宋体" w:hAnsi="宋体" w:cs="宋体"/>
                <w:sz w:val="24"/>
                <w:szCs w:val="24"/>
              </w:rPr>
              <w:t>业务情况，随后针对投资者关心的重点问题作了具体交流如下：</w:t>
            </w:r>
          </w:p>
          <w:p w14:paraId="70E7541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简要介绍民爆行业2024年度发展情况</w:t>
            </w:r>
            <w:r>
              <w:rPr>
                <w:rFonts w:hint="eastAsia" w:ascii="宋体" w:hAnsi="宋体" w:cs="宋体"/>
                <w:sz w:val="24"/>
                <w:szCs w:val="24"/>
              </w:rPr>
              <w:t>？</w:t>
            </w:r>
          </w:p>
          <w:p w14:paraId="46D45B24">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答：根据中国爆破行业协会公布的数据</w:t>
            </w:r>
            <w:r>
              <w:rPr>
                <w:rFonts w:hint="eastAsia" w:ascii="宋体" w:hAnsi="宋体" w:cs="宋体"/>
                <w:sz w:val="24"/>
                <w:szCs w:val="24"/>
                <w:lang w:eastAsia="zh-CN"/>
              </w:rPr>
              <w:t>，</w:t>
            </w:r>
            <w:r>
              <w:rPr>
                <w:rFonts w:hint="eastAsia" w:ascii="宋体" w:hAnsi="宋体" w:cs="宋体"/>
                <w:sz w:val="24"/>
                <w:szCs w:val="24"/>
                <w:lang w:val="en-US" w:eastAsia="zh-CN"/>
              </w:rPr>
              <w:t>2024年，</w:t>
            </w:r>
            <w:r>
              <w:rPr>
                <w:rFonts w:hint="eastAsia" w:ascii="宋体" w:hAnsi="宋体" w:cs="宋体"/>
                <w:sz w:val="24"/>
                <w:szCs w:val="24"/>
              </w:rPr>
              <w:t>从全年总体运行情况看，</w:t>
            </w:r>
            <w:r>
              <w:rPr>
                <w:rFonts w:hint="eastAsia" w:ascii="宋体" w:hAnsi="宋体" w:cs="宋体"/>
                <w:sz w:val="24"/>
                <w:szCs w:val="24"/>
                <w:lang w:val="en-US" w:eastAsia="zh-CN"/>
              </w:rPr>
              <w:t>民爆</w:t>
            </w:r>
            <w:r>
              <w:rPr>
                <w:rFonts w:hint="eastAsia" w:ascii="宋体" w:hAnsi="宋体" w:cs="宋体"/>
                <w:sz w:val="24"/>
                <w:szCs w:val="24"/>
              </w:rPr>
              <w:t>行业利润稳定增长，企业整合持续推进，产业集中度不断提升。</w:t>
            </w:r>
          </w:p>
          <w:p w14:paraId="628FCB10">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2024年，全国民爆生产企业工业炸药累计产、销量分别为449.37万吨和448.50万吨，同比分别减少1.90%和1.</w:t>
            </w:r>
            <w:r>
              <w:rPr>
                <w:rFonts w:hint="eastAsia" w:ascii="宋体" w:hAnsi="宋体" w:cs="宋体"/>
                <w:sz w:val="24"/>
                <w:szCs w:val="24"/>
                <w:lang w:val="en-US" w:eastAsia="zh-CN"/>
              </w:rPr>
              <w:t>7</w:t>
            </w:r>
            <w:r>
              <w:rPr>
                <w:rFonts w:hint="eastAsia" w:ascii="宋体" w:hAnsi="宋体" w:cs="宋体"/>
                <w:sz w:val="24"/>
                <w:szCs w:val="24"/>
              </w:rPr>
              <w:t>0%；工业雷管累计产、销量分别为6.72亿发和6.58亿发，同比分别减少7.18%和9.79%。</w:t>
            </w:r>
          </w:p>
          <w:p w14:paraId="54F3519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2024年，全国民爆生产企业累计完成生产、销售总值分别为416.95亿元和411.42亿元，同比分别下降4.50%和5.26%；累计实现主营业务收入450.67亿元，同比下降9.33%；累计实现利税总额122.99亿元，同比增长6.70%；累计实现利润总额96.39亿元，同比增长13.04%。</w:t>
            </w:r>
          </w:p>
          <w:p w14:paraId="2ADD640A">
            <w:pPr>
              <w:adjustRightInd w:val="0"/>
              <w:snapToGrid w:val="0"/>
              <w:spacing w:line="336" w:lineRule="auto"/>
              <w:ind w:firstLine="480" w:firstLineChars="200"/>
              <w:rPr>
                <w:rFonts w:ascii="宋体" w:hAnsi="宋体" w:cs="宋体"/>
                <w:sz w:val="24"/>
                <w:szCs w:val="24"/>
              </w:rPr>
            </w:pPr>
          </w:p>
          <w:p w14:paraId="463EEE2E">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2、当前民爆行业的景气度如何</w:t>
            </w:r>
            <w:r>
              <w:rPr>
                <w:rFonts w:hint="eastAsia" w:ascii="宋体" w:hAnsi="宋体" w:cs="宋体"/>
                <w:sz w:val="24"/>
                <w:szCs w:val="24"/>
                <w:lang w:eastAsia="zh-CN"/>
              </w:rPr>
              <w:t>？</w:t>
            </w:r>
            <w:r>
              <w:rPr>
                <w:rFonts w:hint="eastAsia" w:ascii="宋体" w:hAnsi="宋体" w:cs="宋体"/>
                <w:sz w:val="24"/>
                <w:szCs w:val="24"/>
                <w:lang w:val="en-US" w:eastAsia="zh-CN"/>
              </w:rPr>
              <w:t>随着国家相关政策的出台，对于公司民爆业务有何影响，公司如何应对？</w:t>
            </w:r>
          </w:p>
          <w:p w14:paraId="01EC4CBF">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答：民爆行业是国民经济和社会发展必不可少的重要基础性行业，民爆产品可广泛应用于基础能源生产、矿山开采、煤炭、冶金、有色、建材、化工、石油、交通、铁道、水利、基础建设和国防施工等重要领域，其中煤炭、金属和非金属矿山开采的炸药量占炸药总销量70%以上。下游煤炭、矿山开采等领域对民爆产品需求旺盛。根据国家统计局数据，2024年1-12月国内原煤产量约为47.59亿吨，同比增长1.3%，12月产量约为4.39亿吨，同比增长4.2%；1-12月有色金属矿采选业固定资产投资完成额累计同比增长26.70%，叠加水利建设等政策推动，民爆行业迎来需求端的</w:t>
            </w:r>
            <w:r>
              <w:rPr>
                <w:rFonts w:hint="eastAsia" w:ascii="宋体" w:hAnsi="宋体" w:cs="宋体"/>
                <w:sz w:val="24"/>
                <w:szCs w:val="24"/>
                <w:lang w:val="en-US" w:eastAsia="zh-CN"/>
              </w:rPr>
              <w:t>中</w:t>
            </w:r>
            <w:r>
              <w:rPr>
                <w:rFonts w:hint="eastAsia" w:ascii="宋体" w:hAnsi="宋体" w:cs="宋体"/>
                <w:sz w:val="24"/>
                <w:szCs w:val="24"/>
              </w:rPr>
              <w:t>长期景气。</w:t>
            </w:r>
          </w:p>
          <w:p w14:paraId="64D3C4F0">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公司作为江西省内唯一一家民爆生产企业，民爆产品及服务除遍布在江西省内，还辐射至周边省份。</w:t>
            </w:r>
            <w:r>
              <w:rPr>
                <w:rFonts w:hint="eastAsia" w:ascii="宋体" w:hAnsi="宋体" w:cs="宋体"/>
                <w:sz w:val="24"/>
                <w:szCs w:val="24"/>
              </w:rPr>
              <w:t>未来公司将顺应民爆行业结构调整及重组整合政策导向，充分发挥国有上市公司的平台优势，围绕主营业务加强产业链延伸和产业协同开展并购，增加民爆物品生产许可，实现产能适度扩张，推动产能结构与区域市场合理布局，推动民爆一体化产业做强做优做大</w:t>
            </w:r>
            <w:r>
              <w:rPr>
                <w:rFonts w:hint="eastAsia" w:ascii="宋体" w:hAnsi="宋体"/>
                <w:sz w:val="24"/>
              </w:rPr>
              <w:t>。</w:t>
            </w:r>
          </w:p>
          <w:p w14:paraId="0B0D06F7">
            <w:pPr>
              <w:adjustRightInd w:val="0"/>
              <w:snapToGrid w:val="0"/>
              <w:spacing w:line="336" w:lineRule="auto"/>
              <w:ind w:firstLine="480" w:firstLineChars="200"/>
              <w:rPr>
                <w:rFonts w:ascii="宋体" w:hAnsi="宋体" w:cs="宋体"/>
                <w:sz w:val="24"/>
                <w:szCs w:val="24"/>
              </w:rPr>
            </w:pPr>
          </w:p>
          <w:p w14:paraId="7A561B1E">
            <w:pPr>
              <w:widowControl/>
              <w:adjustRightInd w:val="0"/>
              <w:snapToGrid w:val="0"/>
              <w:spacing w:line="360" w:lineRule="auto"/>
              <w:ind w:firstLine="480" w:firstLineChars="200"/>
              <w:rPr>
                <w:rFonts w:ascii="宋体" w:hAnsi="宋体" w:cs="宋体"/>
                <w:sz w:val="24"/>
              </w:rPr>
            </w:pPr>
            <w:r>
              <w:rPr>
                <w:rFonts w:hint="eastAsia" w:ascii="宋体" w:hAnsi="宋体" w:cs="宋体"/>
                <w:sz w:val="24"/>
                <w:szCs w:val="24"/>
              </w:rPr>
              <w:t>3、</w:t>
            </w:r>
            <w:r>
              <w:rPr>
                <w:rFonts w:hint="eastAsia" w:ascii="宋体" w:hAnsi="宋体" w:cs="宋体"/>
                <w:sz w:val="24"/>
                <w:lang w:val="en-US" w:eastAsia="zh-CN"/>
              </w:rPr>
              <w:t>公司在AI智能化方面开展了哪些工作</w:t>
            </w:r>
            <w:r>
              <w:rPr>
                <w:rFonts w:hint="eastAsia" w:ascii="宋体" w:hAnsi="宋体" w:cs="宋体"/>
                <w:sz w:val="24"/>
              </w:rPr>
              <w:t>？</w:t>
            </w:r>
          </w:p>
          <w:p w14:paraId="2247096D">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答：公司下属子公司神舟智汇研发的新一代MaxSim仿真平台可以基于Docker进行快速云仿真部署，具备高效仿真计算服务能力，可满足对算力有较高要求的AI大模型接入需求。Maxsim底层开发采用通用的C++技术框架，通过VSCODE可有效接入DeepSeek；同时，神舟智汇已搭建DeepSeek私域平台环境，在兵种战术、指挥控制、辅助决策等军事垂直领域，着手利用推理模型和链式反应进行模拟仿真智能体训练，充分融合军事仿真技术，能更好的适应未来战争范式和军事模拟训练智能化转变的要求。</w:t>
            </w:r>
          </w:p>
          <w:p w14:paraId="663361C5">
            <w:pPr>
              <w:adjustRightInd w:val="0"/>
              <w:snapToGrid w:val="0"/>
              <w:spacing w:line="336" w:lineRule="auto"/>
              <w:ind w:firstLine="480" w:firstLineChars="200"/>
              <w:rPr>
                <w:rFonts w:hint="eastAsia" w:ascii="宋体" w:hAnsi="宋体" w:cs="宋体"/>
                <w:sz w:val="24"/>
              </w:rPr>
            </w:pPr>
            <w:r>
              <w:rPr>
                <w:rFonts w:hint="eastAsia" w:ascii="宋体" w:hAnsi="宋体" w:cs="宋体"/>
                <w:sz w:val="24"/>
                <w:szCs w:val="24"/>
              </w:rPr>
              <w:t>公司控股子公司国泰利民作为江西省信息化产品和服务的高科技公司，积极探索包括DeepSeek在内的AI大模型在行业领域方面的应用，特别在党建信息化、基层治理信息化以及安全生产信息化方面进行了积极的创新实践。在党建信息化方面，利用AI大模型的强大数据处理能力和智能分析功能，实现了党员信息的精准管理和个性化服务；在基层治理信息化领域，通过AI赋能基层治理全场景，构建一体化智能协同的治理体系，实现基层治理的实时交互和多元共治；在安全生产信息应用方面，基于AI大模型开发了安全生产隐患排查系统。该系统通过整合先进的AI技术、视频监控和数据分析功能，实现对生产现场的实时监测和隐患识别</w:t>
            </w:r>
            <w:r>
              <w:rPr>
                <w:rFonts w:hint="eastAsia" w:ascii="宋体" w:hAnsi="宋体" w:cs="宋体"/>
                <w:sz w:val="24"/>
              </w:rPr>
              <w:t>。</w:t>
            </w:r>
          </w:p>
          <w:p w14:paraId="360D9C01">
            <w:pPr>
              <w:adjustRightInd w:val="0"/>
              <w:snapToGrid w:val="0"/>
              <w:spacing w:line="336"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公司控股子公司太格时代通过国泰工业互联网平台将大模型Agents技术应用于工业设备管理和运维领域，形成轨道交通牵引供电设备跳闸故障分析和处置建议方案，辅助供电运维人员处置和决策。公司全资子公司融思科技上线“设备小助手”应用，为设备操作、维护过程解疑答惑，提升各类工业装备运行效率并延长使用寿命。</w:t>
            </w:r>
          </w:p>
          <w:p w14:paraId="77788626">
            <w:pPr>
              <w:adjustRightInd w:val="0"/>
              <w:snapToGrid w:val="0"/>
              <w:spacing w:line="336" w:lineRule="auto"/>
              <w:ind w:firstLine="480" w:firstLineChars="200"/>
              <w:rPr>
                <w:rFonts w:hint="eastAsia" w:ascii="宋体" w:hAnsi="宋体" w:cs="宋体"/>
                <w:sz w:val="24"/>
                <w:szCs w:val="24"/>
              </w:rPr>
            </w:pPr>
          </w:p>
          <w:p w14:paraId="00E23E08">
            <w:pPr>
              <w:adjustRightInd w:val="0"/>
              <w:snapToGrid w:val="0"/>
              <w:spacing w:line="336" w:lineRule="auto"/>
              <w:ind w:firstLine="480" w:firstLineChars="200"/>
              <w:rPr>
                <w:rFonts w:hint="eastAsia" w:ascii="宋体" w:hAnsi="宋体"/>
                <w:sz w:val="24"/>
              </w:rPr>
            </w:pPr>
            <w:r>
              <w:rPr>
                <w:rFonts w:hint="eastAsia" w:ascii="宋体" w:hAnsi="宋体" w:cs="宋体"/>
                <w:sz w:val="24"/>
                <w:szCs w:val="24"/>
              </w:rPr>
              <w:t>4、</w:t>
            </w:r>
            <w:r>
              <w:rPr>
                <w:rFonts w:hint="eastAsia" w:ascii="宋体" w:hAnsi="宋体"/>
                <w:sz w:val="24"/>
                <w:lang w:val="en-US" w:eastAsia="zh-CN"/>
              </w:rPr>
              <w:t>作为国家级双跨平台，国泰工业互联网平台在人工智能方面开展了哪些工作，未来有何规划</w:t>
            </w:r>
            <w:r>
              <w:rPr>
                <w:rFonts w:hint="eastAsia" w:ascii="宋体" w:hAnsi="宋体"/>
                <w:sz w:val="24"/>
              </w:rPr>
              <w:t>？</w:t>
            </w:r>
          </w:p>
          <w:p w14:paraId="6F57F8EB">
            <w:pPr>
              <w:adjustRightInd w:val="0"/>
              <w:snapToGrid w:val="0"/>
              <w:spacing w:line="336" w:lineRule="auto"/>
              <w:ind w:firstLine="480" w:firstLineChars="200"/>
              <w:rPr>
                <w:rFonts w:hint="eastAsia" w:ascii="宋体" w:hAnsi="宋体"/>
                <w:sz w:val="24"/>
              </w:rPr>
            </w:pPr>
            <w:r>
              <w:rPr>
                <w:rFonts w:hint="eastAsia" w:ascii="宋体" w:hAnsi="宋体"/>
                <w:sz w:val="24"/>
              </w:rPr>
              <w:t>答：国泰集团依托工业互联网平台基础能力，完成DeepSeek国产大模型的本地化适配部署，已面向集团公司内外部用户开放相关场景应用。国泰工业互联网平台从2023年开始，持续探索通用大模型在企业办公、工业生产等场景的应用能力，目前已经接入千问、混元</w:t>
            </w:r>
            <w:r>
              <w:rPr>
                <w:rFonts w:hint="eastAsia" w:ascii="宋体" w:hAnsi="宋体"/>
                <w:sz w:val="24"/>
                <w:lang w:eastAsia="zh-CN"/>
              </w:rPr>
              <w:t>、</w:t>
            </w:r>
            <w:r>
              <w:rPr>
                <w:rFonts w:hint="eastAsia" w:ascii="宋体" w:hAnsi="宋体"/>
                <w:sz w:val="24"/>
              </w:rPr>
              <w:t>DeepSeek等9个国产大模型</w:t>
            </w:r>
            <w:r>
              <w:rPr>
                <w:rFonts w:hint="eastAsia" w:ascii="宋体" w:hAnsi="宋体"/>
                <w:sz w:val="24"/>
                <w:lang w:eastAsia="zh-CN"/>
              </w:rPr>
              <w:t>，</w:t>
            </w:r>
            <w:r>
              <w:rPr>
                <w:rFonts w:hint="eastAsia" w:ascii="宋体" w:hAnsi="宋体"/>
                <w:sz w:val="24"/>
              </w:rPr>
              <w:t>使得国泰工业互联网平台能力</w:t>
            </w:r>
            <w:r>
              <w:rPr>
                <w:rFonts w:hint="eastAsia" w:ascii="宋体" w:hAnsi="宋体"/>
                <w:sz w:val="24"/>
                <w:lang w:val="en-US" w:eastAsia="zh-CN"/>
              </w:rPr>
              <w:t>不断提</w:t>
            </w:r>
            <w:r>
              <w:rPr>
                <w:rFonts w:hint="eastAsia" w:ascii="宋体" w:hAnsi="宋体"/>
                <w:sz w:val="24"/>
              </w:rPr>
              <w:t>升。</w:t>
            </w:r>
          </w:p>
          <w:p w14:paraId="5669220D">
            <w:pPr>
              <w:adjustRightInd w:val="0"/>
              <w:snapToGrid w:val="0"/>
              <w:spacing w:line="336" w:lineRule="auto"/>
              <w:ind w:firstLine="480" w:firstLineChars="200"/>
              <w:rPr>
                <w:rFonts w:hint="eastAsia" w:ascii="宋体" w:hAnsi="宋体"/>
                <w:sz w:val="24"/>
              </w:rPr>
            </w:pPr>
            <w:r>
              <w:rPr>
                <w:rFonts w:hint="eastAsia" w:ascii="宋体" w:hAnsi="宋体"/>
                <w:sz w:val="24"/>
              </w:rPr>
              <w:t>未来，国泰集团将继续坚持“通用大模型+领域小模型”并举的工业人工智能应用路径，充分吸收DeepSeek技术应用的组织和机制模式，依托国家级跨行业跨领域工业互联网平台，持续探索行业工业机理和深度推理机制的深度融合，为江西省新型工业化做出更大贡献。</w:t>
            </w:r>
          </w:p>
          <w:p w14:paraId="1F82B537">
            <w:pPr>
              <w:adjustRightInd w:val="0"/>
              <w:snapToGrid w:val="0"/>
              <w:spacing w:line="336" w:lineRule="auto"/>
              <w:ind w:firstLine="480" w:firstLineChars="200"/>
              <w:rPr>
                <w:rFonts w:hint="eastAsia" w:ascii="宋体" w:hAnsi="宋体"/>
                <w:sz w:val="24"/>
              </w:rPr>
            </w:pPr>
          </w:p>
          <w:p w14:paraId="0C6C8A8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、近日工信部印发《加快推进民用爆炸物品行业转型升级实施意见》，对</w:t>
            </w:r>
            <w:r>
              <w:rPr>
                <w:rFonts w:hint="eastAsia" w:ascii="宋体" w:hAnsi="宋体" w:cs="宋体"/>
                <w:sz w:val="24"/>
                <w:szCs w:val="24"/>
                <w:lang w:val="en-US" w:eastAsia="zh-CN"/>
              </w:rPr>
              <w:t>后续民爆</w:t>
            </w:r>
            <w:r>
              <w:rPr>
                <w:rFonts w:hint="eastAsia" w:ascii="宋体" w:hAnsi="宋体" w:cs="宋体"/>
                <w:sz w:val="24"/>
                <w:szCs w:val="24"/>
              </w:rPr>
              <w:t>行业</w:t>
            </w:r>
            <w:r>
              <w:rPr>
                <w:rFonts w:hint="eastAsia" w:ascii="宋体" w:hAnsi="宋体" w:cs="宋体"/>
                <w:sz w:val="24"/>
                <w:szCs w:val="24"/>
                <w:lang w:val="en-US" w:eastAsia="zh-CN"/>
              </w:rPr>
              <w:t>集中度影响如何</w:t>
            </w:r>
            <w:r>
              <w:rPr>
                <w:rFonts w:hint="eastAsia" w:ascii="宋体" w:hAnsi="宋体" w:cs="宋体"/>
                <w:sz w:val="24"/>
                <w:szCs w:val="24"/>
              </w:rPr>
              <w:t>？</w:t>
            </w:r>
          </w:p>
          <w:p w14:paraId="683710FD">
            <w:pPr>
              <w:adjustRightInd w:val="0"/>
              <w:snapToGrid w:val="0"/>
              <w:spacing w:line="336"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答：“十四五”期间，民爆行业在重组整合、优化产业结构方面取得了良好成效，但主要产品的区域性、结构性矛盾仍未根本解决</w:t>
            </w:r>
            <w:bookmarkStart w:id="0" w:name="_GoBack"/>
            <w:bookmarkEnd w:id="0"/>
            <w:r>
              <w:rPr>
                <w:rFonts w:hint="eastAsia" w:ascii="宋体" w:hAnsi="宋体" w:cs="宋体"/>
                <w:sz w:val="24"/>
                <w:szCs w:val="24"/>
              </w:rPr>
              <w:t>，个别产品产能仍相对过剩，企业同质化竞争加剧，亟需优化结构调整和区域布局，增强企业发展活力。《实施意见》提出推动企业重组整合和持续优化产业及产品结构</w:t>
            </w:r>
            <w:r>
              <w:rPr>
                <w:rFonts w:hint="eastAsia" w:ascii="宋体" w:hAnsi="宋体" w:cs="宋体"/>
                <w:sz w:val="24"/>
                <w:szCs w:val="24"/>
                <w:lang w:val="en-US" w:eastAsia="zh-CN"/>
              </w:rPr>
              <w:t>两</w:t>
            </w:r>
            <w:r>
              <w:rPr>
                <w:rFonts w:hint="eastAsia" w:ascii="宋体" w:hAnsi="宋体" w:cs="宋体"/>
                <w:sz w:val="24"/>
                <w:szCs w:val="24"/>
              </w:rPr>
              <w:t>项措施。鼓励民爆企业跨地区跨所有制重组整合，支持区域销售企业之间及同上下游企业重组整合，大幅压减危险源点。继续压减包装型工业炸药许可产能，动态调整电子雷管产能，综合整治“内卷式”竞争。</w:t>
            </w:r>
            <w:r>
              <w:rPr>
                <w:rFonts w:hint="eastAsia" w:ascii="宋体" w:hAnsi="宋体" w:cs="宋体"/>
                <w:sz w:val="24"/>
                <w:szCs w:val="24"/>
                <w:lang w:val="en-US" w:eastAsia="zh-CN"/>
              </w:rPr>
              <w:t>随着</w:t>
            </w:r>
            <w:r>
              <w:rPr>
                <w:rFonts w:hint="eastAsia" w:ascii="宋体" w:hAnsi="宋体" w:cs="宋体"/>
                <w:sz w:val="24"/>
                <w:szCs w:val="24"/>
              </w:rPr>
              <w:t>《实施意见》</w:t>
            </w:r>
            <w:r>
              <w:rPr>
                <w:rFonts w:hint="eastAsia" w:ascii="宋体" w:hAnsi="宋体" w:cs="宋体"/>
                <w:sz w:val="24"/>
                <w:szCs w:val="24"/>
                <w:lang w:val="en-US" w:eastAsia="zh-CN"/>
              </w:rPr>
              <w:t>的提出，国内民爆行业集中度有望进一步提升。</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D3B9F8F">
            <w:pPr>
              <w:pStyle w:val="25"/>
              <w:spacing w:line="348"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spacing w:line="348"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spacing w:line="348"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5</w:t>
            </w:r>
            <w:r>
              <w:rPr>
                <w:rFonts w:ascii="Times New Roman" w:hAnsi="Times New Roman"/>
                <w:bCs/>
                <w:iCs/>
                <w:sz w:val="24"/>
              </w:rPr>
              <w:t>年</w:t>
            </w:r>
            <w:r>
              <w:rPr>
                <w:rFonts w:hint="eastAsia" w:ascii="Times New Roman" w:hAnsi="Times New Roman"/>
                <w:bCs/>
                <w:iCs/>
                <w:sz w:val="24"/>
                <w:lang w:val="en-US" w:eastAsia="zh-CN"/>
              </w:rPr>
              <w:t>3</w:t>
            </w:r>
            <w:r>
              <w:rPr>
                <w:rFonts w:hint="eastAsia" w:ascii="Times New Roman" w:hAnsi="Times New Roman"/>
                <w:bCs/>
                <w:iCs/>
                <w:sz w:val="24"/>
              </w:rPr>
              <w:t>月</w:t>
            </w:r>
            <w:r>
              <w:rPr>
                <w:rFonts w:hint="eastAsia" w:ascii="Times New Roman" w:hAnsi="Times New Roman"/>
                <w:bCs/>
                <w:iCs/>
                <w:sz w:val="24"/>
                <w:lang w:val="en-US" w:eastAsia="zh-CN"/>
              </w:rPr>
              <w:t>5</w:t>
            </w:r>
            <w:r>
              <w:rPr>
                <w:rFonts w:ascii="Times New Roman" w:hAnsi="Times New Roman"/>
                <w:bCs/>
                <w:iCs/>
                <w:sz w:val="24"/>
              </w:rPr>
              <w:t>日</w:t>
            </w:r>
          </w:p>
        </w:tc>
      </w:tr>
    </w:tbl>
    <w:p w14:paraId="44827F39">
      <w:pPr>
        <w:adjustRightInd w:val="0"/>
        <w:snapToGrid w:val="0"/>
        <w:rPr>
          <w:rFonts w:ascii="Times New Roman" w:hAnsi="Times New Roman"/>
          <w:sz w:val="28"/>
          <w:szCs w:val="28"/>
        </w:rPr>
      </w:pPr>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172A27"/>
    <w:rsid w:val="00005BE5"/>
    <w:rsid w:val="00011023"/>
    <w:rsid w:val="00012A14"/>
    <w:rsid w:val="00051401"/>
    <w:rsid w:val="000729AD"/>
    <w:rsid w:val="00075373"/>
    <w:rsid w:val="000B3CDB"/>
    <w:rsid w:val="000B5A24"/>
    <w:rsid w:val="000D5F99"/>
    <w:rsid w:val="000E7FD8"/>
    <w:rsid w:val="000F3952"/>
    <w:rsid w:val="00111F29"/>
    <w:rsid w:val="00117DB4"/>
    <w:rsid w:val="001408E3"/>
    <w:rsid w:val="0014474A"/>
    <w:rsid w:val="001508BC"/>
    <w:rsid w:val="001549ED"/>
    <w:rsid w:val="00155533"/>
    <w:rsid w:val="00170126"/>
    <w:rsid w:val="00172134"/>
    <w:rsid w:val="00172A27"/>
    <w:rsid w:val="00173BDF"/>
    <w:rsid w:val="00183643"/>
    <w:rsid w:val="0019468E"/>
    <w:rsid w:val="001A3EA8"/>
    <w:rsid w:val="001C0C03"/>
    <w:rsid w:val="001C5BB5"/>
    <w:rsid w:val="001E1523"/>
    <w:rsid w:val="001F4888"/>
    <w:rsid w:val="002037D4"/>
    <w:rsid w:val="00260223"/>
    <w:rsid w:val="00282BE8"/>
    <w:rsid w:val="002A4B4C"/>
    <w:rsid w:val="002D7F64"/>
    <w:rsid w:val="002F355C"/>
    <w:rsid w:val="00303F67"/>
    <w:rsid w:val="003215D0"/>
    <w:rsid w:val="003333AB"/>
    <w:rsid w:val="00350817"/>
    <w:rsid w:val="003520C8"/>
    <w:rsid w:val="00356267"/>
    <w:rsid w:val="00370EA2"/>
    <w:rsid w:val="00415011"/>
    <w:rsid w:val="00431986"/>
    <w:rsid w:val="004502D8"/>
    <w:rsid w:val="004609B1"/>
    <w:rsid w:val="00466ACE"/>
    <w:rsid w:val="004762D3"/>
    <w:rsid w:val="004C0239"/>
    <w:rsid w:val="004D0367"/>
    <w:rsid w:val="004D0F55"/>
    <w:rsid w:val="004E12F1"/>
    <w:rsid w:val="004F05BD"/>
    <w:rsid w:val="00502D48"/>
    <w:rsid w:val="00505561"/>
    <w:rsid w:val="0054333A"/>
    <w:rsid w:val="00546F98"/>
    <w:rsid w:val="005508BF"/>
    <w:rsid w:val="005516FE"/>
    <w:rsid w:val="005A56BD"/>
    <w:rsid w:val="005B0351"/>
    <w:rsid w:val="005D311D"/>
    <w:rsid w:val="005D3B41"/>
    <w:rsid w:val="005E6BC9"/>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577DF"/>
    <w:rsid w:val="007A6170"/>
    <w:rsid w:val="007D2B30"/>
    <w:rsid w:val="007D484F"/>
    <w:rsid w:val="008063A5"/>
    <w:rsid w:val="00807D0E"/>
    <w:rsid w:val="00837B23"/>
    <w:rsid w:val="00856970"/>
    <w:rsid w:val="00900289"/>
    <w:rsid w:val="009A379D"/>
    <w:rsid w:val="009B4AC3"/>
    <w:rsid w:val="009C1B56"/>
    <w:rsid w:val="009C27FE"/>
    <w:rsid w:val="009D3410"/>
    <w:rsid w:val="009E3246"/>
    <w:rsid w:val="00A170C7"/>
    <w:rsid w:val="00A6191B"/>
    <w:rsid w:val="00A628F4"/>
    <w:rsid w:val="00A670F7"/>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6896"/>
    <w:rsid w:val="00BE3D4A"/>
    <w:rsid w:val="00BE6801"/>
    <w:rsid w:val="00BF44E6"/>
    <w:rsid w:val="00C528EC"/>
    <w:rsid w:val="00C5456E"/>
    <w:rsid w:val="00C9040D"/>
    <w:rsid w:val="00C96D4E"/>
    <w:rsid w:val="00CC5CA9"/>
    <w:rsid w:val="00CF0CB9"/>
    <w:rsid w:val="00CF7F22"/>
    <w:rsid w:val="00D466A6"/>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BE6AF9"/>
    <w:rsid w:val="01DE0B90"/>
    <w:rsid w:val="0220070B"/>
    <w:rsid w:val="0272649F"/>
    <w:rsid w:val="031B1925"/>
    <w:rsid w:val="040A0C52"/>
    <w:rsid w:val="04414F29"/>
    <w:rsid w:val="04850756"/>
    <w:rsid w:val="057E50FA"/>
    <w:rsid w:val="062E19DF"/>
    <w:rsid w:val="06B74D94"/>
    <w:rsid w:val="079F2DB5"/>
    <w:rsid w:val="07DD5908"/>
    <w:rsid w:val="08140220"/>
    <w:rsid w:val="086C2CFF"/>
    <w:rsid w:val="086F3FA3"/>
    <w:rsid w:val="08C40CF3"/>
    <w:rsid w:val="093D48C6"/>
    <w:rsid w:val="09C6525C"/>
    <w:rsid w:val="09F04B00"/>
    <w:rsid w:val="0A1D72FB"/>
    <w:rsid w:val="0A9172F3"/>
    <w:rsid w:val="0AD97127"/>
    <w:rsid w:val="0C112E71"/>
    <w:rsid w:val="0C702A5E"/>
    <w:rsid w:val="0C965124"/>
    <w:rsid w:val="0E776918"/>
    <w:rsid w:val="0E8F0CEC"/>
    <w:rsid w:val="0EA06710"/>
    <w:rsid w:val="0F0452CB"/>
    <w:rsid w:val="0F28659B"/>
    <w:rsid w:val="0FAE4AFF"/>
    <w:rsid w:val="0FF51325"/>
    <w:rsid w:val="108D02AC"/>
    <w:rsid w:val="109D35C9"/>
    <w:rsid w:val="10A9384D"/>
    <w:rsid w:val="112573D4"/>
    <w:rsid w:val="11882673"/>
    <w:rsid w:val="11975CCC"/>
    <w:rsid w:val="11D230A2"/>
    <w:rsid w:val="126E213E"/>
    <w:rsid w:val="12C41C61"/>
    <w:rsid w:val="12C53120"/>
    <w:rsid w:val="12F31613"/>
    <w:rsid w:val="131F6DE2"/>
    <w:rsid w:val="141F5C26"/>
    <w:rsid w:val="1450602A"/>
    <w:rsid w:val="1491634A"/>
    <w:rsid w:val="14B0591D"/>
    <w:rsid w:val="14D507B4"/>
    <w:rsid w:val="15146085"/>
    <w:rsid w:val="158F0E59"/>
    <w:rsid w:val="15E962C8"/>
    <w:rsid w:val="16826AC0"/>
    <w:rsid w:val="17090DA6"/>
    <w:rsid w:val="1761330E"/>
    <w:rsid w:val="177855D8"/>
    <w:rsid w:val="187F55E4"/>
    <w:rsid w:val="18EF7F00"/>
    <w:rsid w:val="19297D6C"/>
    <w:rsid w:val="19C159DC"/>
    <w:rsid w:val="19CC5666"/>
    <w:rsid w:val="1ACA7824"/>
    <w:rsid w:val="1B153B0F"/>
    <w:rsid w:val="1B2D6D86"/>
    <w:rsid w:val="1BD92B22"/>
    <w:rsid w:val="1C986C96"/>
    <w:rsid w:val="1CCF12B9"/>
    <w:rsid w:val="1CEA0CB6"/>
    <w:rsid w:val="1D4721ED"/>
    <w:rsid w:val="1D590854"/>
    <w:rsid w:val="1DB47768"/>
    <w:rsid w:val="1E427427"/>
    <w:rsid w:val="1E7233D8"/>
    <w:rsid w:val="1FED4FD6"/>
    <w:rsid w:val="20333C9A"/>
    <w:rsid w:val="203606F7"/>
    <w:rsid w:val="20857532"/>
    <w:rsid w:val="210420AB"/>
    <w:rsid w:val="213D3241"/>
    <w:rsid w:val="226E1C50"/>
    <w:rsid w:val="232C2FB8"/>
    <w:rsid w:val="23B00D6A"/>
    <w:rsid w:val="23B95E70"/>
    <w:rsid w:val="23C737F1"/>
    <w:rsid w:val="2513238F"/>
    <w:rsid w:val="2522011E"/>
    <w:rsid w:val="26177D1E"/>
    <w:rsid w:val="26FA6683"/>
    <w:rsid w:val="27930A54"/>
    <w:rsid w:val="27A41130"/>
    <w:rsid w:val="27E730D2"/>
    <w:rsid w:val="28740B91"/>
    <w:rsid w:val="29333E09"/>
    <w:rsid w:val="293765A7"/>
    <w:rsid w:val="2A396FA8"/>
    <w:rsid w:val="2AC55599"/>
    <w:rsid w:val="2ADE3EBE"/>
    <w:rsid w:val="2B2A2B97"/>
    <w:rsid w:val="2B9E1F94"/>
    <w:rsid w:val="2C742F1C"/>
    <w:rsid w:val="2C8974F1"/>
    <w:rsid w:val="2C8D1007"/>
    <w:rsid w:val="2D4F45EC"/>
    <w:rsid w:val="2DBC19FE"/>
    <w:rsid w:val="2DC07873"/>
    <w:rsid w:val="2E484523"/>
    <w:rsid w:val="2E72119E"/>
    <w:rsid w:val="2F3274BC"/>
    <w:rsid w:val="30091B5C"/>
    <w:rsid w:val="301402BF"/>
    <w:rsid w:val="30145DD2"/>
    <w:rsid w:val="30371B9A"/>
    <w:rsid w:val="316763F2"/>
    <w:rsid w:val="31A53D8D"/>
    <w:rsid w:val="3208431E"/>
    <w:rsid w:val="3237618E"/>
    <w:rsid w:val="32440EDC"/>
    <w:rsid w:val="32654D10"/>
    <w:rsid w:val="326C0551"/>
    <w:rsid w:val="328C0AF9"/>
    <w:rsid w:val="33690F44"/>
    <w:rsid w:val="33CE2331"/>
    <w:rsid w:val="356B0A3B"/>
    <w:rsid w:val="362C4BA3"/>
    <w:rsid w:val="36704ABB"/>
    <w:rsid w:val="367D2D2D"/>
    <w:rsid w:val="369778A1"/>
    <w:rsid w:val="373C3BA7"/>
    <w:rsid w:val="37A10571"/>
    <w:rsid w:val="37F25E82"/>
    <w:rsid w:val="385653BD"/>
    <w:rsid w:val="38C479A9"/>
    <w:rsid w:val="38CD681E"/>
    <w:rsid w:val="38DC5496"/>
    <w:rsid w:val="39760E2C"/>
    <w:rsid w:val="39AB7BB1"/>
    <w:rsid w:val="39AE48B3"/>
    <w:rsid w:val="39D37144"/>
    <w:rsid w:val="39D4375B"/>
    <w:rsid w:val="39D964F3"/>
    <w:rsid w:val="39DC36C8"/>
    <w:rsid w:val="3A3042F0"/>
    <w:rsid w:val="3A4D0C68"/>
    <w:rsid w:val="3A5B4367"/>
    <w:rsid w:val="3A811C01"/>
    <w:rsid w:val="3A953F23"/>
    <w:rsid w:val="3ABA309F"/>
    <w:rsid w:val="3BD0316A"/>
    <w:rsid w:val="3BEE40FB"/>
    <w:rsid w:val="3C3C4F74"/>
    <w:rsid w:val="3C5C4961"/>
    <w:rsid w:val="3D9A797A"/>
    <w:rsid w:val="3E7551CA"/>
    <w:rsid w:val="3ED846AD"/>
    <w:rsid w:val="3F827886"/>
    <w:rsid w:val="3FD2226D"/>
    <w:rsid w:val="40095F44"/>
    <w:rsid w:val="401B340B"/>
    <w:rsid w:val="40293542"/>
    <w:rsid w:val="4037674B"/>
    <w:rsid w:val="40F912CC"/>
    <w:rsid w:val="41030C2C"/>
    <w:rsid w:val="41557C10"/>
    <w:rsid w:val="42A329D9"/>
    <w:rsid w:val="431B63A1"/>
    <w:rsid w:val="466934D4"/>
    <w:rsid w:val="469B1418"/>
    <w:rsid w:val="46CE0C62"/>
    <w:rsid w:val="46E55077"/>
    <w:rsid w:val="46F56910"/>
    <w:rsid w:val="47413903"/>
    <w:rsid w:val="47D546FC"/>
    <w:rsid w:val="481E5EE0"/>
    <w:rsid w:val="484F0AC7"/>
    <w:rsid w:val="48562A5D"/>
    <w:rsid w:val="48B10EED"/>
    <w:rsid w:val="48D2515B"/>
    <w:rsid w:val="4933371F"/>
    <w:rsid w:val="49B37CF3"/>
    <w:rsid w:val="4A1C0F29"/>
    <w:rsid w:val="4A9F3C99"/>
    <w:rsid w:val="4B7B1369"/>
    <w:rsid w:val="4BDB5432"/>
    <w:rsid w:val="4C0E4530"/>
    <w:rsid w:val="4C565819"/>
    <w:rsid w:val="4D171D2A"/>
    <w:rsid w:val="4D2224A6"/>
    <w:rsid w:val="4D241CFD"/>
    <w:rsid w:val="4D4B521F"/>
    <w:rsid w:val="4DF5519C"/>
    <w:rsid w:val="4E004A5C"/>
    <w:rsid w:val="4E5D1EF1"/>
    <w:rsid w:val="4E9133C2"/>
    <w:rsid w:val="4EED3194"/>
    <w:rsid w:val="4F376605"/>
    <w:rsid w:val="50CE348B"/>
    <w:rsid w:val="51A83C8D"/>
    <w:rsid w:val="524D6C8F"/>
    <w:rsid w:val="53811229"/>
    <w:rsid w:val="53E607EA"/>
    <w:rsid w:val="546F389A"/>
    <w:rsid w:val="554C3B9F"/>
    <w:rsid w:val="557378ED"/>
    <w:rsid w:val="55E40C52"/>
    <w:rsid w:val="57204F99"/>
    <w:rsid w:val="579C7722"/>
    <w:rsid w:val="583F204E"/>
    <w:rsid w:val="58AE5E7C"/>
    <w:rsid w:val="59072908"/>
    <w:rsid w:val="595E459B"/>
    <w:rsid w:val="59817DB6"/>
    <w:rsid w:val="59A74B39"/>
    <w:rsid w:val="5A7D0C9E"/>
    <w:rsid w:val="5A8E4C59"/>
    <w:rsid w:val="5AD41F13"/>
    <w:rsid w:val="5B666B02"/>
    <w:rsid w:val="5B8D4930"/>
    <w:rsid w:val="5BDA230A"/>
    <w:rsid w:val="5BFA6489"/>
    <w:rsid w:val="5BFB3C44"/>
    <w:rsid w:val="5C6B3654"/>
    <w:rsid w:val="5C8445D7"/>
    <w:rsid w:val="5CE91611"/>
    <w:rsid w:val="5D2D269B"/>
    <w:rsid w:val="5D5201C0"/>
    <w:rsid w:val="5DC9716E"/>
    <w:rsid w:val="5DDE5652"/>
    <w:rsid w:val="5E1E162F"/>
    <w:rsid w:val="5E4F3FF8"/>
    <w:rsid w:val="5E613EA4"/>
    <w:rsid w:val="5EDF54D4"/>
    <w:rsid w:val="5F076D88"/>
    <w:rsid w:val="5F8D54E0"/>
    <w:rsid w:val="5FDD409B"/>
    <w:rsid w:val="5FEA56D8"/>
    <w:rsid w:val="5FFD5735"/>
    <w:rsid w:val="607313C1"/>
    <w:rsid w:val="60B66CA4"/>
    <w:rsid w:val="60E640CC"/>
    <w:rsid w:val="60FD3B15"/>
    <w:rsid w:val="61370427"/>
    <w:rsid w:val="62315391"/>
    <w:rsid w:val="62B05907"/>
    <w:rsid w:val="62C108C4"/>
    <w:rsid w:val="634927F8"/>
    <w:rsid w:val="639208BE"/>
    <w:rsid w:val="63921342"/>
    <w:rsid w:val="64086639"/>
    <w:rsid w:val="64287ECD"/>
    <w:rsid w:val="646F429E"/>
    <w:rsid w:val="6498572D"/>
    <w:rsid w:val="64B9162B"/>
    <w:rsid w:val="65D976D1"/>
    <w:rsid w:val="66247BB8"/>
    <w:rsid w:val="663740B6"/>
    <w:rsid w:val="665C68CF"/>
    <w:rsid w:val="66601051"/>
    <w:rsid w:val="667667E2"/>
    <w:rsid w:val="66902670"/>
    <w:rsid w:val="66F75934"/>
    <w:rsid w:val="6710771C"/>
    <w:rsid w:val="67585815"/>
    <w:rsid w:val="678E1D9F"/>
    <w:rsid w:val="679D374F"/>
    <w:rsid w:val="67B13EAA"/>
    <w:rsid w:val="68053E8D"/>
    <w:rsid w:val="684431E4"/>
    <w:rsid w:val="69236347"/>
    <w:rsid w:val="694E1C94"/>
    <w:rsid w:val="69F65C1A"/>
    <w:rsid w:val="6A275748"/>
    <w:rsid w:val="6A36252B"/>
    <w:rsid w:val="6A724BD9"/>
    <w:rsid w:val="6ACB2952"/>
    <w:rsid w:val="6AE826A6"/>
    <w:rsid w:val="6B0200D2"/>
    <w:rsid w:val="6B4B624F"/>
    <w:rsid w:val="6B83735C"/>
    <w:rsid w:val="6D561607"/>
    <w:rsid w:val="6D766FAF"/>
    <w:rsid w:val="6E2F47E7"/>
    <w:rsid w:val="6E3E5853"/>
    <w:rsid w:val="6E576C48"/>
    <w:rsid w:val="6E5C1E06"/>
    <w:rsid w:val="6E711399"/>
    <w:rsid w:val="6E7D2E87"/>
    <w:rsid w:val="6E8825BC"/>
    <w:rsid w:val="6E9B4D97"/>
    <w:rsid w:val="6EC33075"/>
    <w:rsid w:val="6F433BCC"/>
    <w:rsid w:val="6F595014"/>
    <w:rsid w:val="706A2341"/>
    <w:rsid w:val="713D060F"/>
    <w:rsid w:val="71B6320B"/>
    <w:rsid w:val="72075026"/>
    <w:rsid w:val="722608CA"/>
    <w:rsid w:val="72DF1AB0"/>
    <w:rsid w:val="7303577B"/>
    <w:rsid w:val="730B5005"/>
    <w:rsid w:val="732B0626"/>
    <w:rsid w:val="73C4721C"/>
    <w:rsid w:val="73FE0E42"/>
    <w:rsid w:val="74314109"/>
    <w:rsid w:val="745B2A20"/>
    <w:rsid w:val="74911176"/>
    <w:rsid w:val="749E60E7"/>
    <w:rsid w:val="74F846EB"/>
    <w:rsid w:val="75061B64"/>
    <w:rsid w:val="755D4A2E"/>
    <w:rsid w:val="76044EAD"/>
    <w:rsid w:val="7614107A"/>
    <w:rsid w:val="763E50EE"/>
    <w:rsid w:val="76D07EF6"/>
    <w:rsid w:val="77565CA2"/>
    <w:rsid w:val="77CA4C87"/>
    <w:rsid w:val="78093CAC"/>
    <w:rsid w:val="78607595"/>
    <w:rsid w:val="788861F9"/>
    <w:rsid w:val="78CA023E"/>
    <w:rsid w:val="795D77B7"/>
    <w:rsid w:val="798049F2"/>
    <w:rsid w:val="79BD7ABA"/>
    <w:rsid w:val="7A2F7E05"/>
    <w:rsid w:val="7AAA5956"/>
    <w:rsid w:val="7AAC015C"/>
    <w:rsid w:val="7AB5242F"/>
    <w:rsid w:val="7AF62CDF"/>
    <w:rsid w:val="7AF87737"/>
    <w:rsid w:val="7B0B1932"/>
    <w:rsid w:val="7B1D2DF5"/>
    <w:rsid w:val="7B292635"/>
    <w:rsid w:val="7B2A3C6E"/>
    <w:rsid w:val="7B5629F9"/>
    <w:rsid w:val="7B871525"/>
    <w:rsid w:val="7C3073CD"/>
    <w:rsid w:val="7D236D81"/>
    <w:rsid w:val="7D2C2DAC"/>
    <w:rsid w:val="7DA82D60"/>
    <w:rsid w:val="7E1249E7"/>
    <w:rsid w:val="7E3C2D09"/>
    <w:rsid w:val="7E8779D6"/>
    <w:rsid w:val="7EEA25C1"/>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2374</Words>
  <Characters>2596</Characters>
  <Lines>68</Lines>
  <Paragraphs>58</Paragraphs>
  <TotalTime>30</TotalTime>
  <ScaleCrop>false</ScaleCrop>
  <LinksUpToDate>false</LinksUpToDate>
  <CharactersWithSpaces>2693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郭辉</cp:lastModifiedBy>
  <cp:lastPrinted>2025-01-20T01:26:00Z</cp:lastPrinted>
  <dcterms:modified xsi:type="dcterms:W3CDTF">2025-03-05T09:45:18Z</dcterms:modified>
  <dc:title>投资者关系活动记录表</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36B4B2E4A6474B2E8CF203B9E2664AFA_13</vt:lpwstr>
  </property>
  <property fmtid="{D5CDD505-2E9C-101B-9397-08002B2CF9AE}" pid="4" name="KSOTemplateDocerSaveRecord">
    <vt:lpwstr>eyJoZGlkIjoiOTYzYjg5NzJmMjE3YWM3NWQ2Mzg1MDAyNjc5MjRlMDMiLCJ1c2VySWQiOiIxNjE4NDcyNzA4In0=</vt:lpwstr>
  </property>
</Properties>
</file>