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E2B0C">
      <w:pPr>
        <w:adjustRightInd w:val="0"/>
        <w:snapToGrid w:val="0"/>
        <w:spacing w:line="560" w:lineRule="exact"/>
        <w:rPr>
          <w:rFonts w:hint="default" w:eastAsia="宋体"/>
          <w:lang w:val="en-US" w:eastAsia="zh-CN"/>
        </w:rPr>
      </w:pPr>
      <w:r>
        <w:rPr>
          <w:rFonts w:hint="eastAsia" w:ascii="宋体" w:hAnsi="宋体"/>
          <w:sz w:val="24"/>
          <w:szCs w:val="24"/>
        </w:rPr>
        <w:t xml:space="preserve">证券代码：605179        </w:t>
      </w:r>
      <w:r>
        <w:rPr>
          <w:rFonts w:hint="eastAsia" w:ascii="宋体" w:hAnsi="宋体"/>
          <w:sz w:val="24"/>
          <w:szCs w:val="24"/>
          <w:lang w:val="en-US" w:eastAsia="zh-CN"/>
        </w:rPr>
        <w:t xml:space="preserve">                        </w:t>
      </w:r>
      <w:r>
        <w:rPr>
          <w:rFonts w:hint="eastAsia" w:ascii="宋体" w:hAnsi="宋体"/>
          <w:sz w:val="24"/>
          <w:szCs w:val="24"/>
        </w:rPr>
        <w:t xml:space="preserve">  证券简称：一鸣食品       </w:t>
      </w:r>
    </w:p>
    <w:p w14:paraId="69A9A4FA">
      <w:pPr>
        <w:pStyle w:val="12"/>
        <w:spacing w:before="156"/>
        <w:ind w:firstLine="0" w:firstLineChars="0"/>
        <w:rPr>
          <w:rFonts w:ascii="黑体" w:hAnsi="黑体" w:eastAsia="黑体"/>
          <w:szCs w:val="24"/>
        </w:rPr>
      </w:pPr>
    </w:p>
    <w:p w14:paraId="47A1CEA6">
      <w:pPr>
        <w:tabs>
          <w:tab w:val="center" w:pos="4213"/>
          <w:tab w:val="left" w:pos="7033"/>
        </w:tabs>
        <w:adjustRightInd w:val="0"/>
        <w:snapToGrid w:val="0"/>
        <w:spacing w:line="560" w:lineRule="exact"/>
        <w:jc w:val="center"/>
        <w:rPr>
          <w:rFonts w:hint="eastAsia" w:ascii="黑体" w:hAnsi="黑体" w:eastAsia="黑体"/>
          <w:bCs/>
          <w:color w:val="FF0000"/>
          <w:sz w:val="36"/>
          <w:szCs w:val="36"/>
          <w:lang w:eastAsia="zh-CN"/>
        </w:rPr>
      </w:pPr>
      <w:r>
        <w:rPr>
          <w:rFonts w:hint="eastAsia" w:ascii="黑体" w:hAnsi="黑体" w:eastAsia="黑体"/>
          <w:bCs/>
          <w:color w:val="FF0000"/>
          <w:sz w:val="36"/>
          <w:szCs w:val="36"/>
        </w:rPr>
        <w:t>浙江一鸣食品股份有限公司</w:t>
      </w:r>
    </w:p>
    <w:p w14:paraId="13658D2D">
      <w:pPr>
        <w:tabs>
          <w:tab w:val="center" w:pos="4213"/>
          <w:tab w:val="left" w:pos="7033"/>
        </w:tabs>
        <w:adjustRightInd w:val="0"/>
        <w:snapToGrid w:val="0"/>
        <w:spacing w:line="560" w:lineRule="exact"/>
        <w:jc w:val="center"/>
        <w:rPr>
          <w:rFonts w:hint="eastAsia" w:ascii="黑体" w:hAnsi="黑体" w:eastAsia="黑体"/>
          <w:bCs/>
          <w:color w:val="FF0000"/>
          <w:sz w:val="36"/>
          <w:szCs w:val="36"/>
        </w:rPr>
      </w:pPr>
      <w:r>
        <w:rPr>
          <w:rFonts w:hint="eastAsia" w:ascii="黑体" w:hAnsi="黑体" w:eastAsia="黑体"/>
          <w:bCs/>
          <w:color w:val="FF0000"/>
          <w:sz w:val="36"/>
          <w:szCs w:val="36"/>
        </w:rPr>
        <w:t>投资者关系活动记录表</w:t>
      </w:r>
    </w:p>
    <w:p w14:paraId="6BBD996B">
      <w:pPr>
        <w:pStyle w:val="12"/>
        <w:spacing w:before="156"/>
        <w:ind w:firstLine="480"/>
        <w:rPr>
          <w:rFonts w:hint="default" w:ascii="宋体" w:hAnsi="宋体" w:eastAsia="宋体"/>
          <w:szCs w:val="24"/>
          <w:lang w:val="en-US" w:eastAsia="zh-CN"/>
        </w:rPr>
      </w:pPr>
      <w:r>
        <w:rPr>
          <w:rFonts w:hint="eastAsia" w:ascii="宋体" w:hAnsi="宋体"/>
          <w:szCs w:val="24"/>
          <w:lang w:val="en-US" w:eastAsia="zh-CN"/>
        </w:rPr>
        <w:t xml:space="preserve">                                                    编号：2025-001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6145"/>
      </w:tblGrid>
      <w:tr w14:paraId="1E73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14:paraId="2E44E47D">
            <w:pPr>
              <w:pStyle w:val="12"/>
              <w:spacing w:beforeLines="0"/>
              <w:ind w:firstLine="0" w:firstLineChars="0"/>
              <w:jc w:val="both"/>
              <w:rPr>
                <w:rFonts w:ascii="宋体" w:hAnsi="宋体"/>
                <w:sz w:val="22"/>
                <w:szCs w:val="22"/>
                <w:vertAlign w:val="baseline"/>
              </w:rPr>
            </w:pPr>
            <w:r>
              <w:rPr>
                <w:rFonts w:hint="eastAsia" w:ascii="宋体" w:hAnsi="宋体"/>
                <w:b/>
                <w:bCs/>
                <w:sz w:val="24"/>
                <w:szCs w:val="24"/>
                <w:vertAlign w:val="baseline"/>
              </w:rPr>
              <w:t>投资者关系活动类别</w:t>
            </w:r>
          </w:p>
        </w:tc>
        <w:tc>
          <w:tcPr>
            <w:tcW w:w="6145" w:type="dxa"/>
          </w:tcPr>
          <w:p w14:paraId="420384BD">
            <w:pPr>
              <w:pStyle w:val="12"/>
              <w:spacing w:beforeLines="0"/>
              <w:ind w:left="0" w:leftChars="0" w:firstLine="0" w:firstLineChars="0"/>
              <w:rPr>
                <w:rFonts w:hint="eastAsia" w:ascii="宋体" w:hAnsi="宋体"/>
                <w:sz w:val="24"/>
                <w:szCs w:val="24"/>
                <w:vertAlign w:val="baseline"/>
                <w:lang w:val="en-US" w:eastAsia="zh-CN"/>
              </w:rPr>
            </w:pPr>
            <w:r>
              <w:rPr>
                <w:rFonts w:ascii="宋体" w:hAnsi="宋体"/>
                <w:sz w:val="24"/>
                <w:szCs w:val="24"/>
                <w:vertAlign w:val="baseline"/>
              </w:rPr>
              <w:sym w:font="Wingdings 2" w:char="0052"/>
            </w:r>
            <w:r>
              <w:rPr>
                <w:rFonts w:hint="eastAsia" w:ascii="宋体" w:hAnsi="宋体"/>
                <w:sz w:val="24"/>
                <w:szCs w:val="24"/>
                <w:vertAlign w:val="baseline"/>
              </w:rPr>
              <w:t>特定对象调研</w:t>
            </w:r>
            <w:r>
              <w:rPr>
                <w:rFonts w:hint="eastAsia" w:ascii="宋体" w:hAnsi="宋体"/>
                <w:sz w:val="24"/>
                <w:szCs w:val="24"/>
                <w:vertAlign w:val="baseline"/>
                <w:lang w:val="en-US" w:eastAsia="zh-CN"/>
              </w:rPr>
              <w:t xml:space="preserve">  </w:t>
            </w:r>
            <w:r>
              <w:rPr>
                <w:rFonts w:hint="eastAsia" w:ascii="宋体" w:hAnsi="宋体"/>
                <w:sz w:val="24"/>
                <w:szCs w:val="24"/>
                <w:vertAlign w:val="baseline"/>
                <w:lang w:val="en-US" w:eastAsia="zh-CN"/>
              </w:rPr>
              <w:sym w:font="Wingdings 2" w:char="00A3"/>
            </w:r>
            <w:r>
              <w:rPr>
                <w:rFonts w:hint="eastAsia" w:ascii="宋体" w:hAnsi="宋体"/>
                <w:sz w:val="24"/>
                <w:szCs w:val="24"/>
                <w:vertAlign w:val="baseline"/>
                <w:lang w:val="en-US" w:eastAsia="zh-CN"/>
              </w:rPr>
              <w:t>分析师会议</w:t>
            </w:r>
          </w:p>
          <w:p w14:paraId="45C7FCA3">
            <w:pPr>
              <w:pStyle w:val="12"/>
              <w:spacing w:beforeLines="0"/>
              <w:ind w:left="0" w:leftChars="0" w:firstLine="0" w:firstLineChars="0"/>
              <w:rPr>
                <w:rFonts w:hint="eastAsia" w:ascii="宋体" w:hAnsi="宋体"/>
                <w:sz w:val="24"/>
                <w:szCs w:val="24"/>
                <w:vertAlign w:val="baseline"/>
                <w:lang w:val="en-US" w:eastAsia="zh-CN"/>
              </w:rPr>
            </w:pPr>
            <w:r>
              <w:rPr>
                <w:rFonts w:hint="default" w:ascii="宋体" w:hAnsi="宋体"/>
                <w:sz w:val="24"/>
                <w:szCs w:val="24"/>
                <w:vertAlign w:val="baseline"/>
                <w:lang w:val="en-US" w:eastAsia="zh-CN"/>
              </w:rPr>
              <w:sym w:font="Wingdings 2" w:char="00A3"/>
            </w:r>
            <w:r>
              <w:rPr>
                <w:rFonts w:hint="default" w:ascii="宋体" w:hAnsi="宋体"/>
                <w:sz w:val="24"/>
                <w:szCs w:val="24"/>
                <w:vertAlign w:val="baseline"/>
                <w:lang w:val="en-US" w:eastAsia="zh-CN"/>
              </w:rPr>
              <w:t>媒体采访</w:t>
            </w:r>
            <w:r>
              <w:rPr>
                <w:rFonts w:hint="eastAsia" w:ascii="宋体" w:hAnsi="宋体"/>
                <w:sz w:val="24"/>
                <w:szCs w:val="24"/>
                <w:vertAlign w:val="baseline"/>
                <w:lang w:val="en-US" w:eastAsia="zh-CN"/>
              </w:rPr>
              <w:t xml:space="preserve">      </w:t>
            </w:r>
            <w:r>
              <w:rPr>
                <w:rFonts w:hint="eastAsia" w:ascii="宋体" w:hAnsi="宋体"/>
                <w:sz w:val="24"/>
                <w:szCs w:val="24"/>
                <w:vertAlign w:val="baseline"/>
                <w:lang w:val="en-US" w:eastAsia="zh-CN"/>
              </w:rPr>
              <w:sym w:font="Wingdings 2" w:char="00A3"/>
            </w:r>
            <w:r>
              <w:rPr>
                <w:rFonts w:hint="eastAsia" w:ascii="宋体" w:hAnsi="宋体"/>
                <w:sz w:val="24"/>
                <w:szCs w:val="24"/>
                <w:vertAlign w:val="baseline"/>
                <w:lang w:val="en-US" w:eastAsia="zh-CN"/>
              </w:rPr>
              <w:t>业绩说明会</w:t>
            </w:r>
          </w:p>
          <w:p w14:paraId="1D7F365D">
            <w:pPr>
              <w:pStyle w:val="12"/>
              <w:spacing w:beforeLines="0"/>
              <w:ind w:left="0" w:leftChars="0" w:firstLine="0" w:firstLineChars="0"/>
              <w:rPr>
                <w:rFonts w:hint="eastAsia" w:ascii="宋体" w:hAnsi="宋体"/>
                <w:sz w:val="24"/>
                <w:szCs w:val="24"/>
                <w:vertAlign w:val="baseline"/>
                <w:lang w:val="en-US" w:eastAsia="zh-CN"/>
              </w:rPr>
            </w:pPr>
            <w:r>
              <w:rPr>
                <w:rFonts w:hint="default" w:ascii="宋体" w:hAnsi="宋体"/>
                <w:sz w:val="24"/>
                <w:szCs w:val="24"/>
                <w:vertAlign w:val="baseline"/>
                <w:lang w:val="en-US" w:eastAsia="zh-CN"/>
              </w:rPr>
              <w:sym w:font="Wingdings 2" w:char="00A3"/>
            </w:r>
            <w:r>
              <w:rPr>
                <w:rFonts w:hint="default" w:ascii="宋体" w:hAnsi="宋体"/>
                <w:sz w:val="24"/>
                <w:szCs w:val="24"/>
                <w:vertAlign w:val="baseline"/>
                <w:lang w:val="en-US" w:eastAsia="zh-CN"/>
              </w:rPr>
              <w:t>新闻发布会</w:t>
            </w:r>
            <w:r>
              <w:rPr>
                <w:rFonts w:hint="eastAsia" w:ascii="宋体" w:hAnsi="宋体"/>
                <w:sz w:val="24"/>
                <w:szCs w:val="24"/>
                <w:vertAlign w:val="baseline"/>
                <w:lang w:val="en-US" w:eastAsia="zh-CN"/>
              </w:rPr>
              <w:t xml:space="preserve">    </w:t>
            </w:r>
            <w:r>
              <w:rPr>
                <w:rFonts w:hint="eastAsia" w:ascii="宋体" w:hAnsi="宋体"/>
                <w:sz w:val="24"/>
                <w:szCs w:val="24"/>
                <w:vertAlign w:val="baseline"/>
                <w:lang w:val="en-US" w:eastAsia="zh-CN"/>
              </w:rPr>
              <w:sym w:font="Wingdings 2" w:char="00A3"/>
            </w:r>
            <w:r>
              <w:rPr>
                <w:rFonts w:hint="eastAsia" w:ascii="宋体" w:hAnsi="宋体"/>
                <w:sz w:val="24"/>
                <w:szCs w:val="24"/>
                <w:vertAlign w:val="baseline"/>
                <w:lang w:val="en-US" w:eastAsia="zh-CN"/>
              </w:rPr>
              <w:t>路演活动</w:t>
            </w:r>
          </w:p>
          <w:p w14:paraId="34899820">
            <w:pPr>
              <w:pStyle w:val="12"/>
              <w:spacing w:beforeLines="0"/>
              <w:ind w:left="0" w:leftChars="0" w:firstLine="0" w:firstLineChars="0"/>
              <w:rPr>
                <w:rFonts w:hint="default" w:ascii="宋体" w:hAnsi="宋体"/>
                <w:sz w:val="28"/>
                <w:szCs w:val="28"/>
                <w:vertAlign w:val="baseline"/>
                <w:lang w:val="en-US" w:eastAsia="zh-CN"/>
              </w:rPr>
            </w:pPr>
            <w:r>
              <w:rPr>
                <w:rFonts w:hint="default" w:ascii="宋体" w:hAnsi="宋体"/>
                <w:sz w:val="24"/>
                <w:szCs w:val="24"/>
                <w:vertAlign w:val="baseline"/>
                <w:lang w:val="en-US" w:eastAsia="zh-CN"/>
              </w:rPr>
              <w:sym w:font="Wingdings 2" w:char="0052"/>
            </w:r>
            <w:r>
              <w:rPr>
                <w:rFonts w:hint="default" w:ascii="宋体" w:hAnsi="宋体"/>
                <w:sz w:val="24"/>
                <w:szCs w:val="24"/>
                <w:vertAlign w:val="baseline"/>
                <w:lang w:val="en-US" w:eastAsia="zh-CN"/>
              </w:rPr>
              <w:t>现场参观</w:t>
            </w:r>
            <w:r>
              <w:rPr>
                <w:rFonts w:hint="eastAsia" w:ascii="宋体" w:hAnsi="宋体"/>
                <w:sz w:val="24"/>
                <w:szCs w:val="24"/>
                <w:vertAlign w:val="baseline"/>
                <w:lang w:val="en-US" w:eastAsia="zh-CN"/>
              </w:rPr>
              <w:t xml:space="preserve">      </w:t>
            </w:r>
            <w:r>
              <w:rPr>
                <w:rFonts w:hint="eastAsia" w:ascii="宋体" w:hAnsi="宋体"/>
                <w:sz w:val="24"/>
                <w:szCs w:val="24"/>
                <w:vertAlign w:val="baseline"/>
                <w:lang w:val="en-US" w:eastAsia="zh-CN"/>
              </w:rPr>
              <w:sym w:font="Wingdings 2" w:char="00A3"/>
            </w:r>
            <w:r>
              <w:rPr>
                <w:rFonts w:hint="eastAsia" w:ascii="宋体" w:hAnsi="宋体"/>
                <w:sz w:val="24"/>
                <w:szCs w:val="24"/>
                <w:vertAlign w:val="baseline"/>
                <w:lang w:val="en-US" w:eastAsia="zh-CN"/>
              </w:rPr>
              <w:t>其他</w:t>
            </w:r>
          </w:p>
        </w:tc>
      </w:tr>
      <w:tr w14:paraId="1137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14:paraId="39C27ED4">
            <w:pPr>
              <w:pStyle w:val="12"/>
              <w:spacing w:beforeLines="0"/>
              <w:ind w:firstLine="0" w:firstLineChars="0"/>
              <w:rPr>
                <w:rFonts w:hint="default" w:ascii="宋体" w:hAnsi="宋体" w:eastAsia="宋体"/>
                <w:sz w:val="22"/>
                <w:szCs w:val="22"/>
                <w:vertAlign w:val="baseline"/>
                <w:lang w:val="en-US" w:eastAsia="zh-CN"/>
              </w:rPr>
            </w:pPr>
            <w:r>
              <w:rPr>
                <w:rFonts w:hint="eastAsia" w:ascii="宋体" w:hAnsi="宋体"/>
                <w:b/>
                <w:bCs/>
                <w:sz w:val="24"/>
                <w:szCs w:val="24"/>
                <w:vertAlign w:val="baseline"/>
              </w:rPr>
              <w:t>参与单位名称及</w:t>
            </w:r>
            <w:r>
              <w:rPr>
                <w:rFonts w:hint="eastAsia" w:ascii="宋体" w:hAnsi="宋体"/>
                <w:b/>
                <w:bCs/>
                <w:sz w:val="24"/>
                <w:szCs w:val="24"/>
                <w:vertAlign w:val="baseline"/>
                <w:lang w:val="en-US" w:eastAsia="zh-CN"/>
              </w:rPr>
              <w:t>人员名称</w:t>
            </w:r>
          </w:p>
        </w:tc>
        <w:tc>
          <w:tcPr>
            <w:tcW w:w="6145" w:type="dxa"/>
          </w:tcPr>
          <w:p w14:paraId="003A8DEB">
            <w:pPr>
              <w:pStyle w:val="12"/>
              <w:spacing w:before="156"/>
              <w:ind w:left="0" w:leftChars="0" w:firstLine="0" w:firstLineChars="0"/>
              <w:rPr>
                <w:rFonts w:hint="default" w:ascii="宋体" w:hAnsi="宋体" w:eastAsia="宋体"/>
                <w:szCs w:val="24"/>
                <w:vertAlign w:val="baseline"/>
                <w:lang w:val="en-US" w:eastAsia="zh-CN"/>
              </w:rPr>
            </w:pPr>
            <w:r>
              <w:rPr>
                <w:rFonts w:hint="eastAsia" w:ascii="宋体" w:hAnsi="宋体"/>
                <w:szCs w:val="24"/>
                <w:vertAlign w:val="baseline"/>
                <w:lang w:val="en-US" w:eastAsia="zh-CN"/>
              </w:rPr>
              <w:t>浙商证券、国泰君安、中国国际金融股份有限公司、无量资本、天和资本、上海问道投资管理有限公司、上海宸沣资产管理有限公司、立信会计师事务所、浙江策信投资管理有限公司、中科浙数（杭州）数字技术有限公司</w:t>
            </w:r>
          </w:p>
        </w:tc>
      </w:tr>
      <w:tr w14:paraId="2427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14:paraId="2536638C">
            <w:pPr>
              <w:pStyle w:val="12"/>
              <w:spacing w:beforeLines="0"/>
              <w:ind w:firstLine="0" w:firstLineChars="0"/>
              <w:rPr>
                <w:rFonts w:hint="eastAsia" w:ascii="宋体" w:hAnsi="宋体" w:eastAsia="宋体"/>
                <w:b/>
                <w:bCs/>
                <w:sz w:val="24"/>
                <w:szCs w:val="24"/>
                <w:vertAlign w:val="baseline"/>
                <w:lang w:val="en-US" w:eastAsia="zh-CN"/>
              </w:rPr>
            </w:pPr>
            <w:r>
              <w:rPr>
                <w:rFonts w:hint="eastAsia" w:ascii="宋体" w:hAnsi="宋体"/>
                <w:b/>
                <w:bCs/>
                <w:sz w:val="24"/>
                <w:szCs w:val="24"/>
                <w:vertAlign w:val="baseline"/>
                <w:lang w:val="en-US" w:eastAsia="zh-CN"/>
              </w:rPr>
              <w:t>时间</w:t>
            </w:r>
          </w:p>
        </w:tc>
        <w:tc>
          <w:tcPr>
            <w:tcW w:w="6145" w:type="dxa"/>
          </w:tcPr>
          <w:p w14:paraId="6CE47623">
            <w:pPr>
              <w:pStyle w:val="12"/>
              <w:spacing w:before="156"/>
              <w:ind w:left="0" w:leftChars="0" w:firstLine="0" w:firstLineChars="0"/>
              <w:rPr>
                <w:rFonts w:hint="default" w:ascii="宋体" w:hAnsi="宋体" w:eastAsia="宋体"/>
                <w:szCs w:val="24"/>
                <w:vertAlign w:val="baseline"/>
                <w:lang w:val="en-US" w:eastAsia="zh-CN"/>
              </w:rPr>
            </w:pPr>
            <w:r>
              <w:rPr>
                <w:rFonts w:hint="eastAsia" w:ascii="宋体" w:hAnsi="宋体"/>
                <w:szCs w:val="24"/>
                <w:vertAlign w:val="baseline"/>
                <w:lang w:val="en-US" w:eastAsia="zh-CN"/>
              </w:rPr>
              <w:t>2025年3月5日（星期三）</w:t>
            </w:r>
          </w:p>
        </w:tc>
      </w:tr>
      <w:tr w14:paraId="5AF4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14:paraId="59699724">
            <w:pPr>
              <w:pStyle w:val="12"/>
              <w:spacing w:beforeLines="0"/>
              <w:ind w:firstLine="0" w:firstLineChars="0"/>
              <w:rPr>
                <w:rFonts w:hint="eastAsia" w:ascii="宋体" w:hAnsi="宋体" w:eastAsia="宋体"/>
                <w:b/>
                <w:bCs/>
                <w:sz w:val="24"/>
                <w:szCs w:val="24"/>
                <w:vertAlign w:val="baseline"/>
                <w:lang w:val="en-US" w:eastAsia="zh-CN"/>
              </w:rPr>
            </w:pPr>
            <w:r>
              <w:rPr>
                <w:rFonts w:hint="eastAsia" w:ascii="宋体" w:hAnsi="宋体"/>
                <w:b/>
                <w:bCs/>
                <w:sz w:val="24"/>
                <w:szCs w:val="24"/>
                <w:vertAlign w:val="baseline"/>
                <w:lang w:val="en-US" w:eastAsia="zh-CN"/>
              </w:rPr>
              <w:t>地点</w:t>
            </w:r>
          </w:p>
        </w:tc>
        <w:tc>
          <w:tcPr>
            <w:tcW w:w="6145" w:type="dxa"/>
          </w:tcPr>
          <w:p w14:paraId="56C633C7">
            <w:pPr>
              <w:pStyle w:val="12"/>
              <w:spacing w:before="156"/>
              <w:ind w:left="0" w:leftChars="0" w:firstLine="0" w:firstLineChars="0"/>
              <w:rPr>
                <w:rFonts w:hint="default" w:ascii="宋体" w:hAnsi="宋体" w:eastAsia="宋体"/>
                <w:szCs w:val="24"/>
                <w:vertAlign w:val="baseline"/>
                <w:lang w:val="en-US" w:eastAsia="zh-CN"/>
              </w:rPr>
            </w:pPr>
            <w:r>
              <w:rPr>
                <w:rFonts w:hint="eastAsia" w:ascii="宋体" w:hAnsi="宋体"/>
                <w:szCs w:val="24"/>
                <w:vertAlign w:val="baseline"/>
                <w:lang w:val="en-US" w:eastAsia="zh-CN"/>
              </w:rPr>
              <w:t>公司会议室</w:t>
            </w:r>
          </w:p>
        </w:tc>
      </w:tr>
      <w:tr w14:paraId="29E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14:paraId="49B781F9">
            <w:pPr>
              <w:pStyle w:val="12"/>
              <w:spacing w:beforeLines="0"/>
              <w:ind w:firstLine="0" w:firstLineChars="0"/>
              <w:rPr>
                <w:rFonts w:hint="eastAsia" w:ascii="宋体" w:hAnsi="宋体"/>
                <w:b/>
                <w:bCs/>
                <w:sz w:val="24"/>
                <w:szCs w:val="24"/>
                <w:vertAlign w:val="baseline"/>
                <w:lang w:val="en-US" w:eastAsia="zh-CN"/>
              </w:rPr>
            </w:pPr>
          </w:p>
          <w:p w14:paraId="2F83A34F">
            <w:pPr>
              <w:pStyle w:val="12"/>
              <w:spacing w:beforeLines="0"/>
              <w:ind w:firstLine="0" w:firstLineChars="0"/>
              <w:rPr>
                <w:rFonts w:hint="default" w:ascii="宋体" w:hAnsi="宋体" w:eastAsia="宋体"/>
                <w:b/>
                <w:bCs/>
                <w:sz w:val="24"/>
                <w:szCs w:val="24"/>
                <w:vertAlign w:val="baseline"/>
                <w:lang w:val="en-US" w:eastAsia="zh-CN"/>
              </w:rPr>
            </w:pPr>
            <w:r>
              <w:rPr>
                <w:rFonts w:hint="eastAsia" w:ascii="宋体" w:hAnsi="宋体"/>
                <w:b/>
                <w:bCs/>
                <w:sz w:val="24"/>
                <w:szCs w:val="24"/>
                <w:vertAlign w:val="baseline"/>
                <w:lang w:val="en-US" w:eastAsia="zh-CN"/>
              </w:rPr>
              <w:t>上市公司接待人员姓名</w:t>
            </w:r>
          </w:p>
        </w:tc>
        <w:tc>
          <w:tcPr>
            <w:tcW w:w="6145" w:type="dxa"/>
          </w:tcPr>
          <w:p w14:paraId="575A20A8">
            <w:pPr>
              <w:pStyle w:val="12"/>
              <w:numPr>
                <w:ilvl w:val="0"/>
                <w:numId w:val="1"/>
              </w:numPr>
              <w:spacing w:before="156"/>
              <w:ind w:left="0" w:leftChars="0" w:firstLine="0" w:firstLineChars="0"/>
              <w:rPr>
                <w:rFonts w:hint="eastAsia" w:ascii="宋体" w:hAnsi="宋体"/>
                <w:szCs w:val="24"/>
                <w:vertAlign w:val="baseline"/>
                <w:lang w:val="en-US" w:eastAsia="zh-CN"/>
              </w:rPr>
            </w:pPr>
            <w:r>
              <w:rPr>
                <w:rFonts w:hint="eastAsia" w:ascii="宋体" w:hAnsi="宋体"/>
                <w:szCs w:val="24"/>
                <w:vertAlign w:val="baseline"/>
                <w:lang w:val="en-US" w:eastAsia="zh-CN"/>
              </w:rPr>
              <w:t>董事长 朱立科先生</w:t>
            </w:r>
          </w:p>
          <w:p w14:paraId="2AEA422D">
            <w:pPr>
              <w:pStyle w:val="12"/>
              <w:numPr>
                <w:ilvl w:val="0"/>
                <w:numId w:val="1"/>
              </w:numPr>
              <w:spacing w:before="156"/>
              <w:ind w:left="0" w:leftChars="0" w:firstLine="0" w:firstLineChars="0"/>
              <w:rPr>
                <w:rFonts w:hint="default" w:ascii="宋体" w:hAnsi="宋体"/>
                <w:szCs w:val="24"/>
                <w:vertAlign w:val="baseline"/>
                <w:lang w:val="en-US" w:eastAsia="zh-CN"/>
              </w:rPr>
            </w:pPr>
            <w:r>
              <w:rPr>
                <w:rFonts w:hint="eastAsia" w:ascii="宋体" w:hAnsi="宋体"/>
                <w:szCs w:val="24"/>
                <w:vertAlign w:val="baseline"/>
                <w:lang w:val="en-US" w:eastAsia="zh-CN"/>
              </w:rPr>
              <w:t>董事 朱立群先生</w:t>
            </w:r>
            <w:bookmarkStart w:id="0" w:name="_GoBack"/>
            <w:bookmarkEnd w:id="0"/>
          </w:p>
          <w:p w14:paraId="5489F442">
            <w:pPr>
              <w:pStyle w:val="12"/>
              <w:numPr>
                <w:ilvl w:val="0"/>
                <w:numId w:val="1"/>
              </w:numPr>
              <w:spacing w:before="156"/>
              <w:ind w:left="0" w:leftChars="0" w:firstLine="0" w:firstLineChars="0"/>
              <w:rPr>
                <w:rFonts w:hint="default" w:ascii="宋体" w:hAnsi="宋体"/>
                <w:szCs w:val="24"/>
                <w:vertAlign w:val="baseline"/>
                <w:lang w:val="en-US" w:eastAsia="zh-CN"/>
              </w:rPr>
            </w:pPr>
            <w:r>
              <w:rPr>
                <w:rFonts w:hint="eastAsia" w:ascii="宋体" w:hAnsi="宋体"/>
                <w:szCs w:val="24"/>
                <w:vertAlign w:val="baseline"/>
                <w:lang w:val="en-US" w:eastAsia="zh-CN"/>
              </w:rPr>
              <w:t>董事会秘书 林益雷先生</w:t>
            </w:r>
          </w:p>
        </w:tc>
      </w:tr>
      <w:tr w14:paraId="2037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14:paraId="7020C86E">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p>
          <w:p w14:paraId="1097917F">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p>
          <w:p w14:paraId="23BFE3BC">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p>
          <w:p w14:paraId="7A0A23A8">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p>
          <w:p w14:paraId="12DAEEC9">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p>
          <w:p w14:paraId="1A94CC18">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p>
          <w:p w14:paraId="1D489E38">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p>
          <w:p w14:paraId="17A10B0F">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p>
          <w:p w14:paraId="6F4D75CF">
            <w:pPr>
              <w:pStyle w:val="12"/>
              <w:keepNext w:val="0"/>
              <w:keepLines w:val="0"/>
              <w:pageBreakBefore w:val="0"/>
              <w:widowControl w:val="0"/>
              <w:kinsoku/>
              <w:wordWrap/>
              <w:overflowPunct/>
              <w:topLinePunct w:val="0"/>
              <w:autoSpaceDE/>
              <w:autoSpaceDN/>
              <w:bidi w:val="0"/>
              <w:adjustRightInd/>
              <w:snapToGrid/>
              <w:spacing w:beforeLines="0"/>
              <w:ind w:firstLine="0" w:firstLineChars="0"/>
              <w:jc w:val="left"/>
              <w:textAlignment w:val="center"/>
              <w:rPr>
                <w:rFonts w:hint="eastAsia" w:ascii="宋体" w:hAnsi="宋体"/>
                <w:b/>
                <w:bCs/>
                <w:sz w:val="24"/>
                <w:szCs w:val="24"/>
                <w:vertAlign w:val="baseline"/>
                <w:lang w:val="en-US" w:eastAsia="zh-CN"/>
              </w:rPr>
            </w:pPr>
            <w:r>
              <w:rPr>
                <w:rFonts w:hint="eastAsia" w:ascii="宋体" w:hAnsi="宋体"/>
                <w:b/>
                <w:bCs/>
                <w:sz w:val="24"/>
                <w:szCs w:val="24"/>
                <w:vertAlign w:val="baseline"/>
                <w:lang w:val="en-US" w:eastAsia="zh-CN"/>
              </w:rPr>
              <w:t>投资者关系活动主要内容介绍</w:t>
            </w:r>
          </w:p>
        </w:tc>
        <w:tc>
          <w:tcPr>
            <w:tcW w:w="6145" w:type="dxa"/>
          </w:tcPr>
          <w:p w14:paraId="4FA72511">
            <w:pPr>
              <w:numPr>
                <w:ilvl w:val="0"/>
                <w:numId w:val="0"/>
              </w:numPr>
              <w:bidi w:val="0"/>
              <w:ind w:leftChars="0"/>
              <w:rPr>
                <w:rFonts w:hint="eastAsia"/>
                <w:b/>
                <w:bCs/>
              </w:rPr>
            </w:pPr>
            <w:r>
              <w:rPr>
                <w:rFonts w:hint="eastAsia"/>
                <w:b/>
                <w:bCs/>
                <w:lang w:val="en-US" w:eastAsia="zh-CN"/>
              </w:rPr>
              <w:t>1.</w:t>
            </w:r>
            <w:r>
              <w:rPr>
                <w:rFonts w:hint="eastAsia"/>
                <w:b/>
                <w:bCs/>
              </w:rPr>
              <w:t>公司更倾向投入新品研发（如功能性乳品）还是渠道加密（如社区店扩张）？</w:t>
            </w:r>
          </w:p>
          <w:p w14:paraId="2E25C323">
            <w:pPr>
              <w:numPr>
                <w:ilvl w:val="0"/>
                <w:numId w:val="0"/>
              </w:numPr>
              <w:bidi w:val="0"/>
              <w:ind w:leftChars="0"/>
              <w:rPr>
                <w:rFonts w:hint="eastAsia"/>
                <w:lang w:val="en-US" w:eastAsia="zh-CN"/>
              </w:rPr>
            </w:pPr>
            <w:r>
              <w:rPr>
                <w:rFonts w:hint="eastAsia"/>
                <w:lang w:val="en-US" w:eastAsia="zh-CN"/>
              </w:rPr>
              <w:t xml:space="preserve">   公司的当前的战略主目标是实现华东地区奶吧数量6600家门店，实现这一目标离不开产品创新。在拓展门店渠道的过程中，公司始终坚持以客户为中心，加大技术创新投入。一方面不断拓展社区店等渠道，提升品牌市场覆盖率；另一方面积极研发新品，如功能性乳品等，为消费者提供更多选择，两者同步推进，相互促进。</w:t>
            </w:r>
          </w:p>
          <w:p w14:paraId="588090D5">
            <w:pPr>
              <w:numPr>
                <w:ilvl w:val="0"/>
                <w:numId w:val="0"/>
              </w:numPr>
              <w:bidi w:val="0"/>
              <w:ind w:leftChars="0"/>
              <w:rPr>
                <w:rFonts w:hint="default"/>
                <w:lang w:val="en-US" w:eastAsia="zh-CN"/>
              </w:rPr>
            </w:pPr>
          </w:p>
          <w:p w14:paraId="48BF92B4">
            <w:pPr>
              <w:numPr>
                <w:ilvl w:val="0"/>
                <w:numId w:val="0"/>
              </w:numPr>
              <w:bidi w:val="0"/>
              <w:ind w:leftChars="0"/>
              <w:rPr>
                <w:rFonts w:hint="eastAsia"/>
                <w:b/>
                <w:bCs/>
              </w:rPr>
            </w:pPr>
            <w:r>
              <w:rPr>
                <w:rFonts w:hint="eastAsia"/>
                <w:b/>
                <w:bCs/>
                <w:lang w:val="en-US" w:eastAsia="zh-CN"/>
              </w:rPr>
              <w:t>2.目前公司如何战略布局考虑第二增长曲线</w:t>
            </w:r>
            <w:r>
              <w:rPr>
                <w:rFonts w:hint="eastAsia"/>
                <w:b/>
                <w:bCs/>
                <w:lang w:eastAsia="zh-CN"/>
              </w:rPr>
              <w:t>？</w:t>
            </w:r>
          </w:p>
          <w:p w14:paraId="0452CC16">
            <w:pPr>
              <w:numPr>
                <w:ilvl w:val="0"/>
                <w:numId w:val="0"/>
              </w:numPr>
              <w:bidi w:val="0"/>
              <w:ind w:leftChars="0" w:firstLine="481"/>
              <w:rPr>
                <w:rFonts w:hint="eastAsia"/>
                <w:lang w:val="en-US" w:eastAsia="zh-CN"/>
              </w:rPr>
            </w:pPr>
            <w:r>
              <w:rPr>
                <w:rFonts w:hint="eastAsia"/>
                <w:lang w:val="en-US" w:eastAsia="zh-CN"/>
              </w:rPr>
              <w:t>公司将围绕核心产品，拓展相关多元化业务，打造第二增长曲线。例如，公司推出以天然乳基为原料、为儿童开发的0添加健康零食品牌米可泡泡；开展围绕“大脑、骨骼、肠胃”营养需求，以天然乳基为载体，为儿童及银发群体开发健康功能食品的创新食品项目；推进为客户提供一站式咖啡服务解决方案的奕程咖啡项目等。</w:t>
            </w:r>
          </w:p>
          <w:p w14:paraId="560D513C">
            <w:pPr>
              <w:numPr>
                <w:ilvl w:val="0"/>
                <w:numId w:val="0"/>
              </w:numPr>
              <w:bidi w:val="0"/>
              <w:ind w:leftChars="0"/>
              <w:rPr>
                <w:rFonts w:hint="default"/>
                <w:lang w:val="en-US" w:eastAsia="zh-CN"/>
              </w:rPr>
            </w:pPr>
          </w:p>
          <w:p w14:paraId="21D3BE7D">
            <w:pPr>
              <w:numPr>
                <w:ilvl w:val="0"/>
                <w:numId w:val="0"/>
              </w:numPr>
              <w:bidi w:val="0"/>
              <w:ind w:leftChars="0"/>
              <w:rPr>
                <w:rFonts w:hint="default"/>
                <w:b/>
                <w:bCs/>
                <w:lang w:val="en-US" w:eastAsia="zh-CN"/>
              </w:rPr>
            </w:pPr>
            <w:r>
              <w:rPr>
                <w:rFonts w:hint="eastAsia"/>
                <w:b/>
                <w:bCs/>
                <w:lang w:val="en-US" w:eastAsia="zh-CN"/>
              </w:rPr>
              <w:t>3.</w:t>
            </w:r>
            <w:r>
              <w:rPr>
                <w:rFonts w:hint="eastAsia"/>
                <w:b/>
                <w:bCs/>
              </w:rPr>
              <w:t>2024年前三季度关闭340家门店（直营占48.5%），加盟店新增242家但收入同比仅增0.6%。闭店是否反映直营模式效率低下？加盟商盈利模型是否可持续？</w:t>
            </w:r>
          </w:p>
          <w:p w14:paraId="2E975F9E">
            <w:pPr>
              <w:bidi w:val="0"/>
              <w:ind w:firstLine="420" w:firstLineChars="200"/>
              <w:rPr>
                <w:rFonts w:hint="eastAsia"/>
                <w:lang w:val="en-US" w:eastAsia="zh-CN"/>
              </w:rPr>
            </w:pPr>
            <w:r>
              <w:rPr>
                <w:rFonts w:hint="eastAsia"/>
                <w:lang w:val="en-US" w:eastAsia="zh-CN"/>
              </w:rPr>
              <w:t>由于部分的直营门店业绩未达预期，我们前三季度主动关闭了一批直营店。</w:t>
            </w:r>
            <w:r>
              <w:rPr>
                <w:rFonts w:hint="eastAsia"/>
              </w:rPr>
              <w:t>2024年前三季度</w:t>
            </w:r>
            <w:r>
              <w:rPr>
                <w:rFonts w:hint="eastAsia"/>
                <w:lang w:val="en-US" w:eastAsia="zh-CN"/>
              </w:rPr>
              <w:t>加盟店新增242家、关闭175家、实际净增67家门店。受老门店会面临着商圈迁移、城市人员流动等客观因素影响，公司每年都会有一部分因搬迁关停。新门店的开业时间和老门店调整等因素，使得加盟收入增长与门店数量变化比例在短期内并不一致。</w:t>
            </w:r>
          </w:p>
          <w:p w14:paraId="55BE9503">
            <w:pPr>
              <w:bidi w:val="0"/>
              <w:ind w:firstLine="420" w:firstLineChars="200"/>
              <w:rPr>
                <w:rFonts w:hint="default"/>
                <w:lang w:val="en-US" w:eastAsia="zh-CN"/>
              </w:rPr>
            </w:pPr>
          </w:p>
          <w:p w14:paraId="2F040913">
            <w:pPr>
              <w:numPr>
                <w:ilvl w:val="0"/>
                <w:numId w:val="0"/>
              </w:numPr>
              <w:bidi w:val="0"/>
              <w:ind w:leftChars="0"/>
              <w:rPr>
                <w:rFonts w:hint="eastAsia"/>
                <w:b/>
                <w:bCs/>
              </w:rPr>
            </w:pPr>
            <w:r>
              <w:rPr>
                <w:rFonts w:hint="eastAsia"/>
                <w:b/>
                <w:bCs/>
                <w:lang w:val="en-US" w:eastAsia="zh-CN"/>
              </w:rPr>
              <w:t>4.</w:t>
            </w:r>
            <w:r>
              <w:rPr>
                <w:rFonts w:hint="eastAsia"/>
                <w:b/>
                <w:bCs/>
              </w:rPr>
              <w:t>计划2024年净增800家门店，但前三季度净减少56家。全年目标是否下调？未来如何平衡规模与单店产出（当前日均销售额约1.4万元）？</w:t>
            </w:r>
          </w:p>
          <w:p w14:paraId="2BF9339D">
            <w:pPr>
              <w:numPr>
                <w:ilvl w:val="0"/>
                <w:numId w:val="0"/>
              </w:numPr>
              <w:bidi w:val="0"/>
              <w:ind w:leftChars="0" w:firstLine="420" w:firstLineChars="200"/>
              <w:rPr>
                <w:rFonts w:hint="eastAsia"/>
                <w:lang w:val="en-US" w:eastAsia="zh-CN"/>
              </w:rPr>
            </w:pPr>
            <w:r>
              <w:rPr>
                <w:rFonts w:hint="eastAsia"/>
                <w:lang w:val="en-US" w:eastAsia="zh-CN"/>
              </w:rPr>
              <w:t>该计划为2023年第四季度制定的新一年度战略目标，2024年市场环境不如预期的乐观，公司内部对全年目标进行了调整，以“高质量拓展”为主要方向，“开好店、开万元店”为目标，针对不同的市场区域,围绕成熟、发展、新拓展市场制定差异化的拓展策略。在门店投资成本上，我们将持续优化供应链资源，完善装修施工整体流程，提高装修施工效率，降低装修施工和设备成本。对于存量店，公司重点聚焦客户满意战略，不断强化品牌力，提升门店终端的服务力，精准锁定目标客户群体、夯实早餐消费场景，重点打造午餐场景，增加门店全天客流，提升门店员工劳效。</w:t>
            </w:r>
          </w:p>
          <w:p w14:paraId="619B71F6">
            <w:pPr>
              <w:numPr>
                <w:ilvl w:val="0"/>
                <w:numId w:val="0"/>
              </w:numPr>
              <w:bidi w:val="0"/>
              <w:ind w:leftChars="0" w:firstLine="420" w:firstLineChars="200"/>
              <w:rPr>
                <w:rFonts w:hint="eastAsia"/>
                <w:lang w:val="en-US" w:eastAsia="zh-CN"/>
              </w:rPr>
            </w:pPr>
          </w:p>
          <w:p w14:paraId="28767AC6">
            <w:pPr>
              <w:numPr>
                <w:ilvl w:val="0"/>
                <w:numId w:val="0"/>
              </w:numPr>
              <w:bidi w:val="0"/>
              <w:ind w:leftChars="0"/>
              <w:rPr>
                <w:rFonts w:hint="eastAsia"/>
                <w:b/>
                <w:bCs/>
                <w:lang w:val="en-US" w:eastAsia="zh-CN"/>
              </w:rPr>
            </w:pPr>
            <w:r>
              <w:rPr>
                <w:rFonts w:hint="eastAsia"/>
                <w:b/>
                <w:bCs/>
                <w:lang w:val="en-US" w:eastAsia="zh-CN"/>
              </w:rPr>
              <w:t>5.长三角老龄化率超24%（高于全国18%），银发消费市场增长明确。“针对老年群体需求，是否研发适老化产品（如易吞咽高蛋白酸奶、低升糖指数面包）？在门店布局上，是否会与社区养老服务中心合作提供定制配送服务？”</w:t>
            </w:r>
          </w:p>
          <w:p w14:paraId="3CE35AF2">
            <w:pPr>
              <w:bidi w:val="0"/>
              <w:ind w:firstLine="420" w:firstLineChars="200"/>
              <w:rPr>
                <w:rFonts w:hint="eastAsia"/>
                <w:lang w:val="en-US" w:eastAsia="zh-CN"/>
              </w:rPr>
            </w:pPr>
            <w:r>
              <w:rPr>
                <w:rFonts w:hint="eastAsia"/>
                <w:lang w:val="en-US" w:eastAsia="zh-CN"/>
              </w:rPr>
              <w:t>满足银发族需求是公司未来重点关注方向之一。目前，公司已进行初步探索，推出了适合全家营养的奶粉产品，包括只有生牛乳的纯牛奶粉，以及添加铁皮石斛、高钙高蛋白且不添加蔗糖的药食同源奶粉。未来，公司将加大这方面的投入，研发更多适老化产品。</w:t>
            </w:r>
          </w:p>
          <w:p w14:paraId="576973B6">
            <w:pPr>
              <w:bidi w:val="0"/>
              <w:rPr>
                <w:rFonts w:hint="eastAsia"/>
                <w:lang w:val="en-US" w:eastAsia="zh-CN"/>
              </w:rPr>
            </w:pPr>
          </w:p>
          <w:p w14:paraId="11338547">
            <w:pPr>
              <w:numPr>
                <w:ilvl w:val="0"/>
                <w:numId w:val="0"/>
              </w:numPr>
              <w:bidi w:val="0"/>
              <w:ind w:leftChars="0" w:firstLine="420" w:firstLineChars="200"/>
              <w:rPr>
                <w:rFonts w:hint="eastAsia"/>
                <w:lang w:val="en-US" w:eastAsia="zh-CN"/>
              </w:rPr>
            </w:pPr>
          </w:p>
          <w:p w14:paraId="7FFBB4BE">
            <w:pPr>
              <w:numPr>
                <w:ilvl w:val="0"/>
                <w:numId w:val="0"/>
              </w:numPr>
              <w:bidi w:val="0"/>
              <w:ind w:leftChars="0"/>
              <w:rPr>
                <w:rFonts w:hint="eastAsia"/>
                <w:b/>
                <w:bCs/>
              </w:rPr>
            </w:pPr>
            <w:r>
              <w:rPr>
                <w:rFonts w:hint="eastAsia"/>
                <w:b/>
                <w:bCs/>
                <w:lang w:val="en-US" w:eastAsia="zh-CN"/>
              </w:rPr>
              <w:t>6.</w:t>
            </w:r>
            <w:r>
              <w:rPr>
                <w:rFonts w:hint="eastAsia"/>
                <w:b/>
                <w:bCs/>
              </w:rPr>
              <w:t>华东收入占比96.2%（2024Q3），华中、华南尚无实质性突破。冷链半径限制下，是否考虑通过</w:t>
            </w:r>
            <w:r>
              <w:rPr>
                <w:rFonts w:hint="eastAsia"/>
                <w:b/>
                <w:bCs/>
                <w:lang w:val="en-US" w:eastAsia="zh-CN"/>
              </w:rPr>
              <w:t>并购或增加</w:t>
            </w:r>
            <w:r>
              <w:rPr>
                <w:rFonts w:hint="eastAsia"/>
                <w:b/>
                <w:bCs/>
              </w:rPr>
              <w:t xml:space="preserve">区域代工或预包装产品突破地理壁垒？ </w:t>
            </w:r>
          </w:p>
          <w:p w14:paraId="6C935237">
            <w:pPr>
              <w:numPr>
                <w:ilvl w:val="0"/>
                <w:numId w:val="0"/>
              </w:numPr>
              <w:bidi w:val="0"/>
              <w:ind w:leftChars="0" w:firstLine="420" w:firstLineChars="200"/>
              <w:rPr>
                <w:rFonts w:hint="eastAsia"/>
                <w:lang w:val="en-US" w:eastAsia="zh-CN"/>
              </w:rPr>
            </w:pPr>
            <w:r>
              <w:rPr>
                <w:rFonts w:hint="eastAsia"/>
                <w:lang w:val="en-US" w:eastAsia="zh-CN"/>
              </w:rPr>
              <w:t>我们每年都会有详细的区域拓展计划，2025年主要聚焦在华东地区，未来我们如果需要将产品销售至华中、华南地区时，并购或增加区域代工或预包装产品将会是我们提升整体供应链能力的选项之一。</w:t>
            </w:r>
          </w:p>
          <w:p w14:paraId="618EBD36">
            <w:pPr>
              <w:numPr>
                <w:ilvl w:val="0"/>
                <w:numId w:val="0"/>
              </w:numPr>
              <w:bidi w:val="0"/>
              <w:ind w:leftChars="0" w:firstLine="480"/>
              <w:rPr>
                <w:rFonts w:hint="default"/>
                <w:lang w:val="en-US" w:eastAsia="zh-CN"/>
              </w:rPr>
            </w:pPr>
          </w:p>
          <w:p w14:paraId="588BC70B">
            <w:pPr>
              <w:numPr>
                <w:ilvl w:val="0"/>
                <w:numId w:val="0"/>
              </w:numPr>
              <w:bidi w:val="0"/>
              <w:ind w:leftChars="0"/>
              <w:rPr>
                <w:rFonts w:hint="eastAsia"/>
                <w:b/>
                <w:bCs/>
              </w:rPr>
            </w:pPr>
            <w:r>
              <w:rPr>
                <w:rFonts w:hint="eastAsia"/>
                <w:b/>
                <w:bCs/>
                <w:lang w:val="en-US" w:eastAsia="zh-CN"/>
              </w:rPr>
              <w:t>7.</w:t>
            </w:r>
            <w:r>
              <w:rPr>
                <w:rFonts w:hint="eastAsia"/>
                <w:b/>
                <w:bCs/>
              </w:rPr>
              <w:t>线</w:t>
            </w:r>
            <w:r>
              <w:rPr>
                <w:rFonts w:hint="eastAsia"/>
                <w:b/>
                <w:bCs/>
                <w:highlight w:val="none"/>
              </w:rPr>
              <w:t>上收入占比</w:t>
            </w:r>
            <w:r>
              <w:rPr>
                <w:rFonts w:hint="eastAsia"/>
                <w:b/>
                <w:bCs/>
                <w:highlight w:val="none"/>
                <w:lang w:val="en-US" w:eastAsia="zh-CN"/>
              </w:rPr>
              <w:t>小</w:t>
            </w:r>
            <w:r>
              <w:rPr>
                <w:rFonts w:hint="eastAsia"/>
                <w:b/>
                <w:bCs/>
                <w:highlight w:val="none"/>
              </w:rPr>
              <w:t>，但</w:t>
            </w:r>
            <w:r>
              <w:rPr>
                <w:rFonts w:hint="eastAsia"/>
                <w:b/>
                <w:bCs/>
                <w:highlight w:val="none"/>
                <w:lang w:val="en-US" w:eastAsia="zh-CN"/>
              </w:rPr>
              <w:t>是整体电</w:t>
            </w:r>
            <w:r>
              <w:rPr>
                <w:rFonts w:hint="eastAsia"/>
                <w:b/>
                <w:bCs/>
                <w:highlight w:val="none"/>
              </w:rPr>
              <w:t>商增速达</w:t>
            </w:r>
            <w:r>
              <w:rPr>
                <w:rFonts w:hint="eastAsia"/>
                <w:b/>
                <w:bCs/>
                <w:highlight w:val="none"/>
                <w:lang w:val="en-US" w:eastAsia="zh-CN"/>
              </w:rPr>
              <w:t>到了</w:t>
            </w:r>
            <w:r>
              <w:rPr>
                <w:rFonts w:hint="eastAsia"/>
                <w:b/>
                <w:bCs/>
                <w:highlight w:val="none"/>
              </w:rPr>
              <w:t>27%。是否计划加大数字化投入？</w:t>
            </w:r>
          </w:p>
          <w:p w14:paraId="5E7542D1">
            <w:pPr>
              <w:numPr>
                <w:ilvl w:val="0"/>
                <w:numId w:val="0"/>
              </w:numPr>
              <w:bidi w:val="0"/>
              <w:ind w:leftChars="0"/>
              <w:rPr>
                <w:rFonts w:hint="eastAsia"/>
                <w:lang w:val="en-US" w:eastAsia="zh-CN"/>
              </w:rPr>
            </w:pPr>
            <w:r>
              <w:rPr>
                <w:rFonts w:hint="eastAsia"/>
                <w:lang w:val="en-US" w:eastAsia="zh-CN"/>
              </w:rPr>
              <w:t xml:space="preserve">    线上渠道是公司大力发展的渠道之一，在当前市场环境下，发展线上渠道是快消品牌的必要选择。对于一鸣来说，电商业务刚刚起步，前景广阔；公司选择发展线上，也有利于我们走出去跟全国同行竞争学习，变相提高企业的综合竞争力，所以接下来公司会继续在会员APP、微信商城、微信小店及抖音直播平台上继续投入。</w:t>
            </w:r>
          </w:p>
          <w:p w14:paraId="68A9A765">
            <w:pPr>
              <w:numPr>
                <w:ilvl w:val="0"/>
                <w:numId w:val="0"/>
              </w:numPr>
              <w:bidi w:val="0"/>
              <w:ind w:leftChars="0"/>
              <w:rPr>
                <w:rFonts w:hint="default"/>
                <w:lang w:val="en-US" w:eastAsia="zh-CN"/>
              </w:rPr>
            </w:pPr>
          </w:p>
          <w:p w14:paraId="18E58C79">
            <w:pPr>
              <w:numPr>
                <w:ilvl w:val="0"/>
                <w:numId w:val="0"/>
              </w:numPr>
              <w:bidi w:val="0"/>
              <w:ind w:leftChars="0"/>
              <w:rPr>
                <w:rFonts w:hint="eastAsia"/>
                <w:b/>
                <w:bCs/>
              </w:rPr>
            </w:pPr>
            <w:r>
              <w:rPr>
                <w:rFonts w:hint="eastAsia"/>
                <w:b/>
                <w:bCs/>
                <w:lang w:val="en-US" w:eastAsia="zh-CN"/>
              </w:rPr>
              <w:t>8.</w:t>
            </w:r>
            <w:r>
              <w:rPr>
                <w:rFonts w:hint="eastAsia"/>
                <w:b/>
                <w:bCs/>
                <w:lang w:eastAsia="zh-CN"/>
              </w:rPr>
              <w:t>2024Q3线上收入7003万元（+37%），但毛利率同比下降5.79个百分点至35.16%。电商渠道是否过度依赖低价促销？如何解决短保产品线上配送时效与损耗问题？</w:t>
            </w:r>
          </w:p>
          <w:p w14:paraId="1332DB30">
            <w:pPr>
              <w:numPr>
                <w:ilvl w:val="0"/>
                <w:numId w:val="0"/>
              </w:numPr>
              <w:bidi w:val="0"/>
              <w:ind w:leftChars="0" w:firstLine="420" w:firstLineChars="200"/>
              <w:rPr>
                <w:rFonts w:hint="default"/>
                <w:lang w:val="en-US" w:eastAsia="zh-CN"/>
              </w:rPr>
            </w:pPr>
            <w:r>
              <w:rPr>
                <w:rFonts w:hint="eastAsia"/>
                <w:lang w:val="en-US" w:eastAsia="zh-CN"/>
              </w:rPr>
              <w:t>电商渠道毛利率下降原因主要是公司采取低价优质的产品策略，这也是目前各行业在电商上选择的主流策略，因此我们数据上出现波动属于正常情况。2024年公司在线上渠道增加了一些低温产品，由于低温产品的物流费用较高，也导致产品毛利率下降。针对短保产品时效和损耗基于两个点去优化：1.全国云仓建设，大幅度缩短快递时效性，降低物流成本。2.通过供应链的弹性柔性配合，同时不断提升总体业绩的来为减少产品损耗率，进而提高毛利率。</w:t>
            </w:r>
          </w:p>
          <w:p w14:paraId="379ECD0C">
            <w:pPr>
              <w:numPr>
                <w:ilvl w:val="0"/>
                <w:numId w:val="0"/>
              </w:numPr>
              <w:bidi w:val="0"/>
              <w:ind w:leftChars="0"/>
              <w:rPr>
                <w:rFonts w:hint="default"/>
                <w:lang w:val="en-US" w:eastAsia="zh-CN"/>
              </w:rPr>
            </w:pPr>
          </w:p>
          <w:p w14:paraId="573E8B8A">
            <w:pPr>
              <w:numPr>
                <w:ilvl w:val="0"/>
                <w:numId w:val="0"/>
              </w:numPr>
              <w:bidi w:val="0"/>
              <w:ind w:leftChars="0"/>
              <w:rPr>
                <w:rFonts w:hint="eastAsia"/>
                <w:b/>
                <w:bCs/>
                <w:lang w:eastAsia="zh-CN"/>
              </w:rPr>
            </w:pPr>
            <w:r>
              <w:rPr>
                <w:rFonts w:hint="eastAsia"/>
                <w:b/>
                <w:bCs/>
                <w:lang w:val="en-US" w:eastAsia="zh-CN"/>
              </w:rPr>
              <w:t>9.</w:t>
            </w:r>
            <w:r>
              <w:rPr>
                <w:rFonts w:hint="eastAsia"/>
                <w:b/>
                <w:bCs/>
                <w:lang w:eastAsia="zh-CN"/>
              </w:rPr>
              <w:t>线上收入增长主要依赖低价促销还是自然流量？2024年线上客单价同比变化趋势如何？</w:t>
            </w:r>
          </w:p>
          <w:p w14:paraId="4E8D8FC6">
            <w:pPr>
              <w:numPr>
                <w:ilvl w:val="0"/>
                <w:numId w:val="0"/>
              </w:numPr>
              <w:bidi w:val="0"/>
              <w:ind w:leftChars="0" w:firstLine="420" w:firstLineChars="200"/>
              <w:rPr>
                <w:rFonts w:hint="eastAsia"/>
                <w:lang w:val="en-US" w:eastAsia="zh-CN"/>
              </w:rPr>
            </w:pPr>
            <w:r>
              <w:rPr>
                <w:rFonts w:hint="eastAsia"/>
                <w:lang w:val="en-US" w:eastAsia="zh-CN"/>
              </w:rPr>
              <w:t>在当下的市场环境下，企业需要提供低价优质的产品，不能简单地认为线上的收入增长依赖于低价促销。同时在流量获取上面，我们是多元化的组合打法，例如抖音直播间以付费打法为主，为产品和品牌在线上做大量发声，进而带动天猫、私域、分销渠道完成流量变现。2024年乳品线上市场客单下降比较明显，但一鸣线上客单变化幅度并不大，且线上业务总量上实现了高速增长，表明市场对于一鸣的产品较为认可。</w:t>
            </w:r>
          </w:p>
          <w:p w14:paraId="78E125D2">
            <w:pPr>
              <w:numPr>
                <w:ilvl w:val="0"/>
                <w:numId w:val="0"/>
              </w:numPr>
              <w:bidi w:val="0"/>
              <w:ind w:leftChars="0"/>
              <w:rPr>
                <w:rFonts w:hint="eastAsia"/>
                <w:lang w:eastAsia="zh-CN"/>
              </w:rPr>
            </w:pPr>
          </w:p>
          <w:p w14:paraId="144FE1FE">
            <w:pPr>
              <w:numPr>
                <w:ilvl w:val="0"/>
                <w:numId w:val="0"/>
              </w:numPr>
              <w:bidi w:val="0"/>
              <w:ind w:leftChars="0"/>
              <w:rPr>
                <w:rFonts w:hint="eastAsia"/>
                <w:b/>
                <w:bCs/>
                <w:lang w:eastAsia="zh-CN"/>
              </w:rPr>
            </w:pPr>
            <w:r>
              <w:rPr>
                <w:rFonts w:hint="eastAsia"/>
                <w:b/>
                <w:bCs/>
                <w:lang w:val="en-US" w:eastAsia="zh-CN"/>
              </w:rPr>
              <w:t>10.</w:t>
            </w:r>
            <w:r>
              <w:rPr>
                <w:rFonts w:hint="eastAsia"/>
                <w:b/>
                <w:bCs/>
                <w:lang w:eastAsia="zh-CN"/>
              </w:rPr>
              <w:t>白砂糖、果酱等原料成本</w:t>
            </w:r>
            <w:r>
              <w:rPr>
                <w:rFonts w:hint="eastAsia"/>
                <w:b/>
                <w:bCs/>
                <w:lang w:val="en-US" w:eastAsia="zh-CN"/>
              </w:rPr>
              <w:t>管理上</w:t>
            </w:r>
            <w:r>
              <w:rPr>
                <w:rFonts w:hint="eastAsia"/>
                <w:b/>
                <w:bCs/>
                <w:lang w:eastAsia="zh-CN"/>
              </w:rPr>
              <w:t>是否通过期货工具对冲价格波动？冷链物流成本</w:t>
            </w:r>
            <w:r>
              <w:rPr>
                <w:rFonts w:hint="eastAsia"/>
                <w:b/>
                <w:bCs/>
                <w:lang w:val="en-US" w:eastAsia="zh-CN"/>
              </w:rPr>
              <w:t>是否有</w:t>
            </w:r>
            <w:r>
              <w:rPr>
                <w:rFonts w:hint="eastAsia"/>
                <w:b/>
                <w:bCs/>
                <w:lang w:eastAsia="zh-CN"/>
              </w:rPr>
              <w:t xml:space="preserve">优化空间？  </w:t>
            </w:r>
          </w:p>
          <w:p w14:paraId="0A121869">
            <w:pPr>
              <w:numPr>
                <w:ilvl w:val="0"/>
                <w:numId w:val="0"/>
              </w:numPr>
              <w:bidi w:val="0"/>
              <w:ind w:leftChars="0" w:firstLine="420" w:firstLineChars="200"/>
              <w:rPr>
                <w:rFonts w:hint="eastAsia"/>
                <w:lang w:val="en-US" w:eastAsia="zh-CN"/>
              </w:rPr>
            </w:pPr>
            <w:r>
              <w:rPr>
                <w:rFonts w:hint="eastAsia"/>
                <w:lang w:val="en-US" w:eastAsia="zh-CN"/>
              </w:rPr>
              <w:t>公司高度关注主要原料成本变化，除了在供应商管理方面采取针对性措施外，还会在合适的时间点锁定原材料供应价格，以降低价格上涨对公司的负面影响。目前，公司并未直接利用期货工具对冲价格波动。</w:t>
            </w:r>
          </w:p>
          <w:p w14:paraId="5EDE01F7">
            <w:pPr>
              <w:numPr>
                <w:ilvl w:val="0"/>
                <w:numId w:val="0"/>
              </w:numPr>
              <w:bidi w:val="0"/>
              <w:ind w:leftChars="0" w:firstLine="420" w:firstLineChars="200"/>
              <w:rPr>
                <w:rFonts w:hint="default"/>
                <w:lang w:val="en-US" w:eastAsia="zh-CN"/>
              </w:rPr>
            </w:pPr>
            <w:r>
              <w:rPr>
                <w:rFonts w:hint="eastAsia"/>
                <w:lang w:val="en-US" w:eastAsia="zh-CN"/>
              </w:rPr>
              <w:t>目前，公司建立了自有物流车辆、配送中心与外部专用合作车辆相结合的冷链物流体系，通过七大配送周转中心（平阳、平湖、杭州、南京、宁波、常州以及电商配送中心），业务覆盖浙江、江苏、上海、福建等地。公司可通过优化运输路线、降低空载率、对外出租空闲车辆等方式降低物流成本。此外，随着公司业务规模扩大，冷链物流成本也会相应降低。</w:t>
            </w:r>
          </w:p>
          <w:p w14:paraId="2DD4E431">
            <w:pPr>
              <w:numPr>
                <w:ilvl w:val="0"/>
                <w:numId w:val="0"/>
              </w:numPr>
              <w:bidi w:val="0"/>
              <w:ind w:leftChars="0"/>
              <w:rPr>
                <w:rFonts w:hint="default"/>
                <w:b/>
                <w:bCs/>
                <w:lang w:val="en-US" w:eastAsia="zh-CN"/>
              </w:rPr>
            </w:pPr>
          </w:p>
          <w:p w14:paraId="7BBA7885">
            <w:pPr>
              <w:numPr>
                <w:ilvl w:val="0"/>
                <w:numId w:val="0"/>
              </w:numPr>
              <w:bidi w:val="0"/>
              <w:ind w:leftChars="0"/>
              <w:rPr>
                <w:rFonts w:hint="eastAsia"/>
                <w:b/>
                <w:bCs/>
                <w:lang w:eastAsia="zh-CN"/>
              </w:rPr>
            </w:pPr>
            <w:r>
              <w:rPr>
                <w:rFonts w:hint="eastAsia"/>
                <w:b/>
                <w:bCs/>
                <w:lang w:val="en-US" w:eastAsia="zh-CN"/>
              </w:rPr>
              <w:t>11.</w:t>
            </w:r>
            <w:r>
              <w:rPr>
                <w:rFonts w:hint="eastAsia"/>
                <w:b/>
                <w:bCs/>
                <w:lang w:eastAsia="zh-CN"/>
              </w:rPr>
              <w:t>自建牧场奶牛存栏量约</w:t>
            </w:r>
            <w:r>
              <w:rPr>
                <w:rFonts w:hint="eastAsia"/>
                <w:b/>
                <w:bCs/>
                <w:lang w:val="en-US" w:eastAsia="zh-CN"/>
              </w:rPr>
              <w:t>5000</w:t>
            </w:r>
            <w:r>
              <w:rPr>
                <w:rFonts w:hint="eastAsia"/>
                <w:b/>
                <w:bCs/>
                <w:lang w:eastAsia="zh-CN"/>
              </w:rPr>
              <w:t>头，奶源自给率约</w:t>
            </w:r>
            <w:r>
              <w:rPr>
                <w:rFonts w:hint="eastAsia"/>
                <w:b/>
                <w:bCs/>
                <w:lang w:val="en-US" w:eastAsia="zh-CN"/>
              </w:rPr>
              <w:t>2</w:t>
            </w:r>
            <w:r>
              <w:rPr>
                <w:rFonts w:hint="eastAsia"/>
                <w:b/>
                <w:bCs/>
                <w:lang w:eastAsia="zh-CN"/>
              </w:rPr>
              <w:t>0%。如何应对南方高温对奶牛产奶效率的影响？</w:t>
            </w:r>
          </w:p>
          <w:p w14:paraId="442379BB">
            <w:pPr>
              <w:numPr>
                <w:ilvl w:val="0"/>
                <w:numId w:val="0"/>
              </w:numPr>
              <w:bidi w:val="0"/>
              <w:ind w:leftChars="0" w:firstLine="420" w:firstLineChars="200"/>
              <w:rPr>
                <w:rFonts w:hint="default"/>
                <w:lang w:val="en-US" w:eastAsia="zh-CN"/>
              </w:rPr>
            </w:pPr>
            <w:r>
              <w:rPr>
                <w:rFonts w:hint="eastAsia"/>
                <w:lang w:val="en-US" w:eastAsia="zh-CN"/>
              </w:rPr>
              <w:t xml:space="preserve">截至2024年9月，公司奶牛存栏量约5300头，自有奶源占比约20%。公司成立了浙江省奶牛遗传改良与乳品质研究重点实验室，依托浙江中星畜牧科技有限公司运营，构建商业化畜禽种业体系，增强自主创新能力和综合竞争力。公司将依托现有养殖场和科研设施，积极探索胚胎繁育技术，致力于培育适应南方环境、抗病能力强、品质优良的奶牛新品系，提升奶牛种业核心竞争力，促进奶牛养殖提质增效。 </w:t>
            </w:r>
          </w:p>
          <w:p w14:paraId="151D9C97">
            <w:pPr>
              <w:numPr>
                <w:ilvl w:val="0"/>
                <w:numId w:val="0"/>
              </w:numPr>
              <w:bidi w:val="0"/>
              <w:rPr>
                <w:rFonts w:hint="default"/>
                <w:lang w:val="en-US" w:eastAsia="zh-CN"/>
              </w:rPr>
            </w:pPr>
          </w:p>
          <w:p w14:paraId="4A6CE498">
            <w:pPr>
              <w:numPr>
                <w:ilvl w:val="0"/>
                <w:numId w:val="0"/>
              </w:numPr>
              <w:bidi w:val="0"/>
              <w:ind w:leftChars="0"/>
              <w:rPr>
                <w:rFonts w:hint="eastAsia"/>
                <w:b/>
                <w:bCs/>
                <w:lang w:val="en-US" w:eastAsia="zh-CN"/>
              </w:rPr>
            </w:pPr>
            <w:r>
              <w:rPr>
                <w:rFonts w:hint="eastAsia"/>
                <w:b/>
                <w:bCs/>
                <w:lang w:val="en-US" w:eastAsia="zh-CN"/>
              </w:rPr>
              <w:t>12.咖啡品牌“奕程咖啡”入驻率不足5%，披萨业务覆盖40家门店。跨界业务是否拖累主业资源？公司将其定位为‘引流工具’还是独立增长点？如何评估烘焙品类未来市场？</w:t>
            </w:r>
          </w:p>
          <w:p w14:paraId="4BA0C808">
            <w:pPr>
              <w:numPr>
                <w:ilvl w:val="0"/>
                <w:numId w:val="0"/>
              </w:numPr>
              <w:bidi w:val="0"/>
              <w:ind w:leftChars="0"/>
              <w:rPr>
                <w:rFonts w:hint="eastAsia"/>
                <w:lang w:val="en-US" w:eastAsia="zh-CN"/>
              </w:rPr>
            </w:pPr>
            <w:r>
              <w:rPr>
                <w:rFonts w:hint="eastAsia"/>
                <w:lang w:val="en-US" w:eastAsia="zh-CN"/>
              </w:rPr>
              <w:t xml:space="preserve">   奕程咖啡并非仅面向门店，是一个多渠道拓展的项目，由专门团队负责运作。咖啡和披萨业务都是公司对创新商业模式的探索。这两项业务进入门店时，需综合考虑门店硬件条件、所在商圈情况等因素，因此在门店拓展初期需要一定的时间打基础。咖啡和披萨入驻奶吧门店，丰富了门店品类，能够在非客流高峰期吸引部分顾客，满足顾客全天不同时段的需求，为顾客带来更多新鲜体验。</w:t>
            </w:r>
          </w:p>
          <w:p w14:paraId="1B53A407">
            <w:pPr>
              <w:numPr>
                <w:ilvl w:val="0"/>
                <w:numId w:val="0"/>
              </w:numPr>
              <w:bidi w:val="0"/>
              <w:ind w:leftChars="0" w:firstLine="420" w:firstLineChars="200"/>
              <w:rPr>
                <w:rFonts w:hint="default"/>
                <w:lang w:val="en-US" w:eastAsia="zh-CN"/>
              </w:rPr>
            </w:pPr>
            <w:r>
              <w:rPr>
                <w:rFonts w:hint="eastAsia"/>
                <w:lang w:val="en-US" w:eastAsia="zh-CN"/>
              </w:rPr>
              <w:t>从烘焙品类整体市场来看，蛋糕、糕点是烘焙行业最大的两个细分品类。从同比增速来看，糕点、蛋糕、面包近年来均保持双位数增长。预计未来，存量规模增速较大的蛋糕、糕点仍将引领烘焙行业发展。从产品角度看，烘焙行业有从中长保产品向短保产品、从包装产品向非包装产品发展的趋势。从竞争格局看，我国烘焙行业集中度较低，未来市场发展空间较大。</w:t>
            </w:r>
          </w:p>
          <w:p w14:paraId="6DA60826">
            <w:pPr>
              <w:numPr>
                <w:ilvl w:val="0"/>
                <w:numId w:val="0"/>
              </w:numPr>
              <w:bidi w:val="0"/>
              <w:ind w:leftChars="0"/>
              <w:rPr>
                <w:rFonts w:hint="default"/>
                <w:lang w:val="en-US" w:eastAsia="zh-CN"/>
              </w:rPr>
            </w:pPr>
          </w:p>
          <w:p w14:paraId="40D64F9A">
            <w:pPr>
              <w:numPr>
                <w:ilvl w:val="0"/>
                <w:numId w:val="0"/>
              </w:numPr>
              <w:bidi w:val="0"/>
              <w:ind w:leftChars="0"/>
              <w:rPr>
                <w:rFonts w:hint="eastAsia"/>
                <w:b/>
                <w:bCs/>
                <w:lang w:val="en-US" w:eastAsia="zh-CN"/>
              </w:rPr>
            </w:pPr>
            <w:r>
              <w:rPr>
                <w:rFonts w:hint="eastAsia"/>
                <w:b/>
                <w:bCs/>
                <w:lang w:val="en-US" w:eastAsia="zh-CN"/>
              </w:rPr>
              <w:t xml:space="preserve">13.当前市盈率（TTM）443.65倍，较行业平均（27.99倍）溢价超18倍。高估值是否透支成长预期？公司如何引导市场理性定价？ </w:t>
            </w:r>
          </w:p>
          <w:p w14:paraId="77A3C221">
            <w:pPr>
              <w:numPr>
                <w:ilvl w:val="0"/>
                <w:numId w:val="0"/>
              </w:numPr>
              <w:bidi w:val="0"/>
              <w:ind w:leftChars="0"/>
              <w:rPr>
                <w:rFonts w:hint="default"/>
                <w:b w:val="0"/>
                <w:bCs w:val="0"/>
                <w:highlight w:val="yellow"/>
                <w:u w:val="none"/>
                <w:lang w:val="en-US" w:eastAsia="zh-CN"/>
              </w:rPr>
            </w:pPr>
            <w:r>
              <w:rPr>
                <w:rFonts w:hint="eastAsia"/>
              </w:rPr>
              <w:t xml:space="preserve"> </w:t>
            </w:r>
            <w:r>
              <w:rPr>
                <w:rFonts w:hint="eastAsia"/>
                <w:lang w:val="en-US" w:eastAsia="zh-CN"/>
              </w:rPr>
              <w:t xml:space="preserve"> </w:t>
            </w:r>
            <w:r>
              <w:rPr>
                <w:rFonts w:hint="eastAsia"/>
                <w:b w:val="0"/>
                <w:bCs w:val="0"/>
                <w:highlight w:val="none"/>
                <w:u w:val="none"/>
                <w:lang w:val="en-US" w:eastAsia="zh-CN"/>
              </w:rPr>
              <w:t xml:space="preserve"> 公司始终坚持以主业发展为核心，做优做强做大，不断提升经营质量和业绩，增强公司内在价值。同时，公司始终秉持价值创造与合规披露并重的原则，将根据《上市公司监管指引第10号——市值管理》的指导，合法合规的加强信息披露与投资者的沟通，注重股东回报。市场定价的本质是公司价值创造的可视化表达，扎实的业绩增长与合规的价值传递是平衡市场预期的核心。上市公司股价走势受多种因素影响，包括公司基本面、经济形势、政策导向、二级市场行情以及投资者交易意愿等。</w:t>
            </w:r>
          </w:p>
          <w:p w14:paraId="26A87895">
            <w:pPr>
              <w:numPr>
                <w:ilvl w:val="0"/>
                <w:numId w:val="0"/>
              </w:numPr>
              <w:bidi w:val="0"/>
              <w:ind w:leftChars="0"/>
              <w:rPr>
                <w:rFonts w:hint="default"/>
                <w:lang w:val="en-US" w:eastAsia="zh-CN"/>
              </w:rPr>
            </w:pPr>
          </w:p>
          <w:p w14:paraId="713EF9BC">
            <w:pPr>
              <w:numPr>
                <w:ilvl w:val="0"/>
                <w:numId w:val="0"/>
              </w:numPr>
              <w:bidi w:val="0"/>
              <w:ind w:leftChars="0"/>
              <w:rPr>
                <w:rFonts w:hint="eastAsia"/>
                <w:b/>
                <w:bCs/>
                <w:lang w:val="en-US" w:eastAsia="zh-CN"/>
              </w:rPr>
            </w:pPr>
            <w:r>
              <w:rPr>
                <w:rFonts w:hint="eastAsia"/>
                <w:b/>
                <w:bCs/>
                <w:lang w:val="en-US" w:eastAsia="zh-CN"/>
              </w:rPr>
              <w:t>14.2024年12月员工持股平台（心悦、鸣牛、诚悦）减持1%股份，减持是否基于对公司前景的负面判断？实控人后续有无减持计划？</w:t>
            </w:r>
          </w:p>
          <w:p w14:paraId="1268679F">
            <w:pPr>
              <w:numPr>
                <w:ilvl w:val="0"/>
                <w:numId w:val="0"/>
              </w:numPr>
              <w:bidi w:val="0"/>
              <w:ind w:leftChars="0" w:firstLine="420" w:firstLineChars="200"/>
              <w:rPr>
                <w:rFonts w:hint="eastAsia"/>
                <w:lang w:val="en-US" w:eastAsia="zh-CN"/>
              </w:rPr>
            </w:pPr>
            <w:r>
              <w:rPr>
                <w:rFonts w:hint="eastAsia"/>
                <w:lang w:val="en-US" w:eastAsia="zh-CN"/>
              </w:rPr>
              <w:t>本次减持是兑现IPO前员工激励的正常经营行为，有助于激发员工积极性，增强员工主人翁意识。公司控股股东、实控人以及董监高均未参与此次减持。公司控股股东、管理层及全体员工对公司未来发展充满信心。</w:t>
            </w:r>
          </w:p>
          <w:p w14:paraId="5E899892">
            <w:pPr>
              <w:numPr>
                <w:ilvl w:val="0"/>
                <w:numId w:val="0"/>
              </w:numPr>
              <w:bidi w:val="0"/>
              <w:ind w:leftChars="0" w:firstLine="420" w:firstLineChars="200"/>
              <w:rPr>
                <w:rFonts w:hint="eastAsia"/>
                <w:lang w:val="en-US" w:eastAsia="zh-CN"/>
              </w:rPr>
            </w:pPr>
            <w:r>
              <w:rPr>
                <w:rFonts w:hint="eastAsia"/>
                <w:lang w:val="en-US" w:eastAsia="zh-CN"/>
              </w:rPr>
              <w:t>目前，实际控制人暂无减持计划。若未来有股份减持计划，公司将严格按照信息披露规则进行披露。</w:t>
            </w:r>
          </w:p>
          <w:p w14:paraId="549B27C3">
            <w:pPr>
              <w:numPr>
                <w:ilvl w:val="0"/>
                <w:numId w:val="0"/>
              </w:numPr>
              <w:bidi w:val="0"/>
              <w:ind w:leftChars="0" w:firstLine="420" w:firstLineChars="200"/>
              <w:rPr>
                <w:rFonts w:hint="default"/>
                <w:lang w:val="en-US" w:eastAsia="zh-CN"/>
              </w:rPr>
            </w:pPr>
          </w:p>
          <w:p w14:paraId="1134C163">
            <w:pPr>
              <w:numPr>
                <w:ilvl w:val="0"/>
                <w:numId w:val="0"/>
              </w:numPr>
              <w:bidi w:val="0"/>
              <w:ind w:leftChars="0"/>
              <w:rPr>
                <w:rFonts w:hint="eastAsia"/>
                <w:b/>
                <w:bCs/>
                <w:lang w:val="en-US" w:eastAsia="zh-CN"/>
              </w:rPr>
            </w:pPr>
            <w:r>
              <w:rPr>
                <w:rFonts w:hint="eastAsia"/>
                <w:b/>
                <w:bCs/>
                <w:lang w:val="en-US" w:eastAsia="zh-CN"/>
              </w:rPr>
              <w:t>15.未来会否提高分红比例？</w:t>
            </w:r>
          </w:p>
          <w:p w14:paraId="4A146B6B">
            <w:pPr>
              <w:bidi w:val="0"/>
              <w:ind w:firstLine="420" w:firstLineChars="200"/>
              <w:rPr>
                <w:rFonts w:hint="eastAsia"/>
                <w:lang w:eastAsia="zh-CN"/>
              </w:rPr>
            </w:pPr>
            <w:r>
              <w:rPr>
                <w:rFonts w:hint="eastAsia"/>
                <w:lang w:eastAsia="zh-CN"/>
              </w:rPr>
              <w:t>公司始终重视全体股东的合理投资回报，积极回馈投资者，同时兼顾公司可持续发展。公司将综合考虑盈利状况、现金流水平、未来资金需求等因素，合理制定利润分配方案。</w:t>
            </w:r>
          </w:p>
          <w:p w14:paraId="7B135421">
            <w:pPr>
              <w:pStyle w:val="12"/>
              <w:spacing w:before="156"/>
              <w:rPr>
                <w:rFonts w:ascii="宋体" w:hAnsi="宋体"/>
                <w:szCs w:val="24"/>
                <w:vertAlign w:val="baseline"/>
              </w:rPr>
            </w:pPr>
          </w:p>
          <w:p w14:paraId="0213E73D">
            <w:pPr>
              <w:pStyle w:val="12"/>
              <w:spacing w:before="156"/>
              <w:rPr>
                <w:rFonts w:ascii="宋体" w:hAnsi="宋体"/>
                <w:szCs w:val="24"/>
                <w:vertAlign w:val="baseline"/>
              </w:rPr>
            </w:pPr>
          </w:p>
          <w:p w14:paraId="040DA65C">
            <w:pPr>
              <w:pStyle w:val="12"/>
              <w:spacing w:before="156"/>
              <w:rPr>
                <w:rFonts w:ascii="宋体" w:hAnsi="宋体"/>
                <w:szCs w:val="24"/>
                <w:vertAlign w:val="baseline"/>
              </w:rPr>
            </w:pPr>
          </w:p>
          <w:p w14:paraId="565529D4">
            <w:pPr>
              <w:pStyle w:val="12"/>
              <w:spacing w:before="156"/>
              <w:rPr>
                <w:rFonts w:ascii="宋体" w:hAnsi="宋体"/>
                <w:szCs w:val="24"/>
                <w:vertAlign w:val="baseline"/>
              </w:rPr>
            </w:pPr>
          </w:p>
          <w:p w14:paraId="0C9E7785">
            <w:pPr>
              <w:pStyle w:val="12"/>
              <w:spacing w:before="156"/>
              <w:rPr>
                <w:rFonts w:ascii="宋体" w:hAnsi="宋体"/>
                <w:szCs w:val="24"/>
                <w:vertAlign w:val="baseline"/>
              </w:rPr>
            </w:pPr>
          </w:p>
          <w:p w14:paraId="79C5A466">
            <w:pPr>
              <w:pStyle w:val="12"/>
              <w:spacing w:before="156"/>
              <w:rPr>
                <w:rFonts w:ascii="宋体" w:hAnsi="宋体"/>
                <w:szCs w:val="24"/>
                <w:vertAlign w:val="baseline"/>
              </w:rPr>
            </w:pPr>
          </w:p>
          <w:p w14:paraId="3516A639">
            <w:pPr>
              <w:pStyle w:val="12"/>
              <w:spacing w:before="156"/>
              <w:rPr>
                <w:rFonts w:ascii="宋体" w:hAnsi="宋体"/>
                <w:szCs w:val="24"/>
                <w:vertAlign w:val="baseline"/>
              </w:rPr>
            </w:pPr>
          </w:p>
          <w:p w14:paraId="3902F37E">
            <w:pPr>
              <w:pStyle w:val="12"/>
              <w:spacing w:before="156"/>
              <w:rPr>
                <w:rFonts w:ascii="宋体" w:hAnsi="宋体"/>
                <w:szCs w:val="24"/>
                <w:vertAlign w:val="baseline"/>
              </w:rPr>
            </w:pPr>
          </w:p>
          <w:p w14:paraId="51F076EE">
            <w:pPr>
              <w:pStyle w:val="12"/>
              <w:spacing w:before="156"/>
              <w:rPr>
                <w:rFonts w:ascii="宋体" w:hAnsi="宋体"/>
                <w:szCs w:val="24"/>
                <w:vertAlign w:val="baseline"/>
              </w:rPr>
            </w:pPr>
          </w:p>
          <w:p w14:paraId="2A3FE1E8">
            <w:pPr>
              <w:pStyle w:val="12"/>
              <w:spacing w:before="156"/>
              <w:rPr>
                <w:rFonts w:ascii="宋体" w:hAnsi="宋体"/>
                <w:szCs w:val="24"/>
                <w:vertAlign w:val="baseline"/>
              </w:rPr>
            </w:pPr>
          </w:p>
        </w:tc>
      </w:tr>
      <w:tr w14:paraId="5D75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14:paraId="4A31882A">
            <w:pPr>
              <w:pStyle w:val="12"/>
              <w:spacing w:beforeLines="0"/>
              <w:ind w:firstLine="0" w:firstLineChars="0"/>
              <w:rPr>
                <w:rFonts w:hint="default" w:ascii="宋体" w:hAnsi="宋体"/>
                <w:b/>
                <w:bCs/>
                <w:sz w:val="28"/>
                <w:szCs w:val="28"/>
                <w:vertAlign w:val="baseline"/>
                <w:lang w:val="en-US" w:eastAsia="zh-CN"/>
              </w:rPr>
            </w:pPr>
            <w:r>
              <w:rPr>
                <w:rFonts w:hint="eastAsia" w:ascii="宋体" w:hAnsi="宋体"/>
                <w:b/>
                <w:bCs/>
                <w:sz w:val="28"/>
                <w:szCs w:val="28"/>
                <w:vertAlign w:val="baseline"/>
                <w:lang w:val="en-US" w:eastAsia="zh-CN"/>
              </w:rPr>
              <w:t>附件清单（如有）</w:t>
            </w:r>
          </w:p>
        </w:tc>
        <w:tc>
          <w:tcPr>
            <w:tcW w:w="6145" w:type="dxa"/>
          </w:tcPr>
          <w:p w14:paraId="1A53B781">
            <w:pPr>
              <w:pStyle w:val="12"/>
              <w:spacing w:before="156"/>
              <w:rPr>
                <w:rFonts w:ascii="宋体" w:hAnsi="宋体"/>
                <w:szCs w:val="24"/>
                <w:vertAlign w:val="baseline"/>
              </w:rPr>
            </w:pPr>
          </w:p>
        </w:tc>
      </w:tr>
      <w:tr w14:paraId="01B0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Pr>
          <w:p w14:paraId="51A39904">
            <w:pPr>
              <w:pStyle w:val="12"/>
              <w:spacing w:beforeLines="0"/>
              <w:ind w:firstLine="0" w:firstLineChars="0"/>
              <w:rPr>
                <w:rFonts w:hint="default" w:ascii="宋体" w:hAnsi="宋体"/>
                <w:b/>
                <w:bCs/>
                <w:sz w:val="28"/>
                <w:szCs w:val="28"/>
                <w:vertAlign w:val="baseline"/>
                <w:lang w:val="en-US" w:eastAsia="zh-CN"/>
              </w:rPr>
            </w:pPr>
            <w:r>
              <w:rPr>
                <w:rFonts w:hint="eastAsia" w:ascii="宋体" w:hAnsi="宋体"/>
                <w:b/>
                <w:bCs/>
                <w:sz w:val="28"/>
                <w:szCs w:val="28"/>
                <w:vertAlign w:val="baseline"/>
                <w:lang w:val="en-US" w:eastAsia="zh-CN"/>
              </w:rPr>
              <w:t>日期</w:t>
            </w:r>
          </w:p>
        </w:tc>
        <w:tc>
          <w:tcPr>
            <w:tcW w:w="6145" w:type="dxa"/>
          </w:tcPr>
          <w:p w14:paraId="3B4ED9A0">
            <w:pPr>
              <w:pStyle w:val="12"/>
              <w:spacing w:before="156"/>
              <w:ind w:left="0" w:leftChars="0" w:firstLine="0" w:firstLineChars="0"/>
              <w:rPr>
                <w:rFonts w:hint="default" w:ascii="宋体" w:hAnsi="宋体" w:eastAsia="宋体"/>
                <w:szCs w:val="24"/>
                <w:vertAlign w:val="baseline"/>
                <w:lang w:val="en-US" w:eastAsia="zh-CN"/>
              </w:rPr>
            </w:pPr>
            <w:r>
              <w:rPr>
                <w:rFonts w:hint="eastAsia" w:ascii="宋体" w:hAnsi="宋体"/>
                <w:szCs w:val="24"/>
                <w:vertAlign w:val="baseline"/>
                <w:lang w:val="en-US" w:eastAsia="zh-CN"/>
              </w:rPr>
              <w:t>2025年3月7日</w:t>
            </w:r>
          </w:p>
        </w:tc>
      </w:tr>
    </w:tbl>
    <w:p w14:paraId="1752A593">
      <w:pPr>
        <w:pStyle w:val="12"/>
        <w:spacing w:before="156"/>
        <w:ind w:firstLine="480"/>
        <w:rPr>
          <w:rFonts w:ascii="宋体" w:hAnsi="宋体"/>
          <w:szCs w:val="24"/>
        </w:rPr>
      </w:pPr>
    </w:p>
    <w:p w14:paraId="42AECDD6">
      <w:pPr>
        <w:pStyle w:val="12"/>
        <w:spacing w:before="156"/>
        <w:ind w:firstLine="480"/>
        <w:rPr>
          <w:rFonts w:ascii="宋体" w:hAnsi="宋体"/>
          <w:szCs w:val="24"/>
        </w:rPr>
      </w:pPr>
    </w:p>
    <w:p w14:paraId="34E35EE4">
      <w:pPr>
        <w:pStyle w:val="12"/>
        <w:spacing w:before="156"/>
        <w:ind w:firstLine="480"/>
        <w:rPr>
          <w:rFonts w:ascii="宋体" w:hAnsi="宋体"/>
          <w:szCs w:val="24"/>
        </w:rPr>
      </w:pPr>
    </w:p>
    <w:p w14:paraId="2F48946B">
      <w:pPr>
        <w:pStyle w:val="12"/>
        <w:spacing w:before="156"/>
        <w:ind w:left="0" w:leftChars="0" w:firstLine="0" w:firstLineChars="0"/>
        <w:rPr>
          <w:rFonts w:ascii="宋体" w:hAnsi="宋体"/>
          <w:szCs w:val="24"/>
        </w:rPr>
      </w:pPr>
    </w:p>
    <w:p w14:paraId="1EF444BC">
      <w:pPr>
        <w:pStyle w:val="12"/>
        <w:spacing w:before="156"/>
        <w:ind w:left="0" w:leftChars="0" w:firstLine="0" w:firstLineChars="0"/>
        <w:rPr>
          <w:rFonts w:ascii="宋体" w:hAnsi="宋体"/>
          <w:szCs w:val="24"/>
        </w:rPr>
      </w:pPr>
    </w:p>
    <w:p w14:paraId="7CAA123E">
      <w:pPr>
        <w:pStyle w:val="12"/>
        <w:spacing w:before="156"/>
        <w:ind w:left="0" w:leftChars="0" w:firstLine="0" w:firstLineChars="0"/>
        <w:rPr>
          <w:rFonts w:ascii="宋体" w:hAnsi="宋体"/>
          <w:szCs w:val="24"/>
        </w:rPr>
      </w:pPr>
    </w:p>
    <w:p w14:paraId="4ABFD363">
      <w:pPr>
        <w:pStyle w:val="12"/>
        <w:spacing w:before="156"/>
        <w:ind w:left="0" w:leftChars="0" w:firstLine="0" w:firstLineChars="0"/>
        <w:rPr>
          <w:rFonts w:ascii="宋体" w:hAnsi="宋体"/>
          <w:szCs w:val="24"/>
        </w:rPr>
      </w:pPr>
    </w:p>
    <w:p w14:paraId="411687CC">
      <w:pPr>
        <w:pStyle w:val="12"/>
        <w:spacing w:before="156" w:line="360" w:lineRule="auto"/>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A99D71-A561-4D67-BF67-D72B0E54EC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embedRegular r:id="rId2" w:fontKey="{8C87E3B5-5A5B-4DDC-A328-76A73DA105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F1849"/>
    <w:multiLevelType w:val="singleLevel"/>
    <w:tmpl w:val="481F18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YjE0MGM4MDEwODk2NjMzZjU2NTFmNjY1Yjc5ZGYifQ=="/>
  </w:docVars>
  <w:rsids>
    <w:rsidRoot w:val="491D438B"/>
    <w:rsid w:val="0002212C"/>
    <w:rsid w:val="000258C5"/>
    <w:rsid w:val="0016207F"/>
    <w:rsid w:val="002533BE"/>
    <w:rsid w:val="002617F1"/>
    <w:rsid w:val="00321288"/>
    <w:rsid w:val="00394509"/>
    <w:rsid w:val="00507513"/>
    <w:rsid w:val="006156E2"/>
    <w:rsid w:val="0068383B"/>
    <w:rsid w:val="006A5847"/>
    <w:rsid w:val="006D56B3"/>
    <w:rsid w:val="008B05F8"/>
    <w:rsid w:val="008B437E"/>
    <w:rsid w:val="009211AD"/>
    <w:rsid w:val="00A60A90"/>
    <w:rsid w:val="00AD7E78"/>
    <w:rsid w:val="00B17EEB"/>
    <w:rsid w:val="00BC0CC9"/>
    <w:rsid w:val="00E94886"/>
    <w:rsid w:val="00EB5016"/>
    <w:rsid w:val="00ED110F"/>
    <w:rsid w:val="00EE19AE"/>
    <w:rsid w:val="00FF244F"/>
    <w:rsid w:val="040C0819"/>
    <w:rsid w:val="047A0094"/>
    <w:rsid w:val="056D4CF7"/>
    <w:rsid w:val="0A644E02"/>
    <w:rsid w:val="0BC9770E"/>
    <w:rsid w:val="0C06651D"/>
    <w:rsid w:val="0E5E07A6"/>
    <w:rsid w:val="0FB436CB"/>
    <w:rsid w:val="108D3F63"/>
    <w:rsid w:val="15EE5FD1"/>
    <w:rsid w:val="18DC1A07"/>
    <w:rsid w:val="19A55C12"/>
    <w:rsid w:val="1A003F36"/>
    <w:rsid w:val="1CAB65B6"/>
    <w:rsid w:val="247A3F92"/>
    <w:rsid w:val="2A922315"/>
    <w:rsid w:val="2D21745B"/>
    <w:rsid w:val="334541AA"/>
    <w:rsid w:val="33DF16C3"/>
    <w:rsid w:val="3434427C"/>
    <w:rsid w:val="36CA7953"/>
    <w:rsid w:val="37D06F58"/>
    <w:rsid w:val="3B8732EB"/>
    <w:rsid w:val="3BE01A54"/>
    <w:rsid w:val="3EF4620C"/>
    <w:rsid w:val="40120CB3"/>
    <w:rsid w:val="418C6E44"/>
    <w:rsid w:val="44187659"/>
    <w:rsid w:val="44FE6F7E"/>
    <w:rsid w:val="480D334D"/>
    <w:rsid w:val="491D438B"/>
    <w:rsid w:val="4D4E2675"/>
    <w:rsid w:val="4D891B60"/>
    <w:rsid w:val="4EA841D2"/>
    <w:rsid w:val="50E564EC"/>
    <w:rsid w:val="5288039B"/>
    <w:rsid w:val="56E33F90"/>
    <w:rsid w:val="57DD7C07"/>
    <w:rsid w:val="5CB45C47"/>
    <w:rsid w:val="5FC51214"/>
    <w:rsid w:val="60340051"/>
    <w:rsid w:val="60B20E7C"/>
    <w:rsid w:val="618B6116"/>
    <w:rsid w:val="63067615"/>
    <w:rsid w:val="671276C1"/>
    <w:rsid w:val="69B0358A"/>
    <w:rsid w:val="6E051338"/>
    <w:rsid w:val="74800030"/>
    <w:rsid w:val="759B4B2D"/>
    <w:rsid w:val="789D22A3"/>
    <w:rsid w:val="790F19B7"/>
    <w:rsid w:val="79610221"/>
    <w:rsid w:val="7A435876"/>
    <w:rsid w:val="7D7D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4"/>
    <w:autoRedefine/>
    <w:qFormat/>
    <w:uiPriority w:val="0"/>
    <w:pPr>
      <w:jc w:val="left"/>
    </w:pPr>
  </w:style>
  <w:style w:type="paragraph" w:styleId="5">
    <w:name w:val="footer"/>
    <w:basedOn w:val="1"/>
    <w:autoRedefine/>
    <w:unhideWhenUsed/>
    <w:qFormat/>
    <w:uiPriority w:val="99"/>
    <w:pPr>
      <w:tabs>
        <w:tab w:val="center" w:pos="4153"/>
        <w:tab w:val="right" w:pos="8306"/>
      </w:tabs>
      <w:snapToGrid w:val="0"/>
      <w:jc w:val="left"/>
    </w:pPr>
    <w:rPr>
      <w:kern w:val="0"/>
      <w:sz w:val="18"/>
      <w:szCs w:val="18"/>
      <w:lang w:val="zh-CN"/>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5"/>
    <w:autoRedefine/>
    <w:qFormat/>
    <w:uiPriority w:val="0"/>
    <w:rPr>
      <w:b/>
      <w:bCs/>
    </w:rPr>
  </w:style>
  <w:style w:type="table" w:styleId="9">
    <w:name w:val="Table Grid"/>
    <w:basedOn w:val="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paragraph" w:customStyle="1" w:styleId="12">
    <w:name w:val="无间隔1"/>
    <w:autoRedefine/>
    <w:semiHidden/>
    <w:qFormat/>
    <w:uiPriority w:val="1"/>
    <w:pPr>
      <w:widowControl w:val="0"/>
      <w:spacing w:beforeLines="50"/>
      <w:ind w:firstLine="200" w:firstLineChars="200"/>
      <w:jc w:val="both"/>
    </w:pPr>
    <w:rPr>
      <w:rFonts w:ascii="Arial" w:hAnsi="Arial" w:eastAsia="宋体" w:cs="Times New Roman"/>
      <w:kern w:val="2"/>
      <w:sz w:val="24"/>
      <w:szCs w:val="22"/>
      <w:lang w:val="en-US" w:eastAsia="zh-CN" w:bidi="ar-SA"/>
    </w:rPr>
  </w:style>
  <w:style w:type="character" w:customStyle="1" w:styleId="13">
    <w:name w:val="页眉 字符"/>
    <w:basedOn w:val="10"/>
    <w:link w:val="6"/>
    <w:autoRedefine/>
    <w:qFormat/>
    <w:uiPriority w:val="0"/>
    <w:rPr>
      <w:kern w:val="2"/>
      <w:sz w:val="18"/>
      <w:szCs w:val="18"/>
    </w:rPr>
  </w:style>
  <w:style w:type="character" w:customStyle="1" w:styleId="14">
    <w:name w:val="批注文字 字符"/>
    <w:basedOn w:val="10"/>
    <w:link w:val="4"/>
    <w:autoRedefine/>
    <w:qFormat/>
    <w:uiPriority w:val="0"/>
    <w:rPr>
      <w:kern w:val="2"/>
      <w:sz w:val="21"/>
    </w:rPr>
  </w:style>
  <w:style w:type="character" w:customStyle="1" w:styleId="15">
    <w:name w:val="批注主题 字符"/>
    <w:basedOn w:val="14"/>
    <w:link w:val="7"/>
    <w:autoRedefine/>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3636</Words>
  <Characters>3802</Characters>
  <Lines>17</Lines>
  <Paragraphs>5</Paragraphs>
  <TotalTime>21</TotalTime>
  <ScaleCrop>false</ScaleCrop>
  <LinksUpToDate>false</LinksUpToDate>
  <CharactersWithSpaces>3934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2023-05-29T02:08:00Z</dcterms:created>
  <dc:creator>静</dc:creator>
  <cp:lastModifiedBy>静</cp:lastModifiedBy>
  <dcterms:modified xsi:type="dcterms:W3CDTF">2025-03-07T07:59:31Z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374202ED0D2D45FCA87150E13B73FDA8_13</vt:lpwstr>
  </property>
  <property fmtid="{D5CDD505-2E9C-101B-9397-08002B2CF9AE}" pid="4" name="commondata">
    <vt:lpwstr>eyJoZGlkIjoiNTIzOGUxMjIwZDNjYWM5N2FiNmIxOTBmNmY4M2M1MzMifQ==</vt:lpwstr>
  </property>
  <property fmtid="{D5CDD505-2E9C-101B-9397-08002B2CF9AE}" pid="5" name="KSOTemplateDocerSaveRecord">
    <vt:lpwstr>eyJoZGlkIjoiNWRkZjFjOGU4ZDc1NzhjNzZjMDhlMGRkMmM1NDQ4MzMiLCJ1c2VySWQiOiIzMzc0NTA2NzcifQ==</vt:lpwstr>
  </property>
</Properties>
</file>