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  <w:bookmarkStart w:id="0" w:name="_GoBack"/>
      <w:bookmarkEnd w:id="0"/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47015E22">
            <w:pPr>
              <w:spacing w:line="30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新华资产、国金证券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年3月11日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5C2E89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介绍公司奶茶业务旺季的销售情况？</w:t>
            </w:r>
          </w:p>
          <w:p w14:paraId="6E596D4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</w:p>
          <w:p w14:paraId="251241F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奶茶新品的销售情况？</w:t>
            </w:r>
          </w:p>
          <w:p w14:paraId="7CF084A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7006694C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，旺季礼品市场小范围探测反馈积极，填补了高价格带礼品装的市场空间，未来还将对其内容物与包装做进一步优化。原叶现泡轻乳茶的消费者对产品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并通过快闪店+内容营销的方式，在品牌端获得较高声量。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25EF7FA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公司2025年即饮板块的规划？</w:t>
            </w:r>
          </w:p>
          <w:p w14:paraId="76B1391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Meco果茶是即饮业务的核心，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针对Meco果茶：</w:t>
            </w:r>
            <w:r>
              <w:rPr>
                <w:rFonts w:hint="eastAsia" w:ascii="宋体" w:hAnsi="宋体" w:eastAsia="宋体" w:cs="宋体"/>
                <w:szCs w:val="21"/>
              </w:rPr>
              <w:t>1、渠道端：公司将会继续做深做透学校渠道，把握零食量贩和礼品渠道背后的市场机会，同时积极加大对餐饮渠道的探索；2、产品端：Meco果茶推出一款“橙曼茉莉”新口味进行迭代优化；3、品牌端：公司将会不断创新宣传形式，与消费者做沟通。</w:t>
            </w:r>
          </w:p>
          <w:p w14:paraId="2A79197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兰芳园冻柠茶：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3105815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公司后续的新品规划？</w:t>
            </w:r>
          </w:p>
          <w:p w14:paraId="5262948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答：奶茶板块，公司将会沿着健康化、年轻化的升级方向，做更多的研究，以满足消费者的需求；同时，加强消费者教育，积极传递产品、品牌的变化。 </w:t>
            </w:r>
          </w:p>
          <w:p w14:paraId="0BF744B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即饮板块，Meco果茶推出</w:t>
            </w:r>
            <w:r>
              <w:rPr>
                <w:rFonts w:hint="eastAsia" w:ascii="宋体" w:hAnsi="宋体" w:eastAsia="宋体" w:cs="宋体"/>
                <w:szCs w:val="21"/>
              </w:rPr>
              <w:t>一款“橙曼茉莉”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新口味进行迭代优化；同时公司计划推出适合餐饮和零食量贩渠道的定制</w:t>
            </w:r>
            <w:r>
              <w:rPr>
                <w:rFonts w:hint="eastAsia" w:ascii="宋体" w:hAnsi="宋体" w:eastAsia="宋体" w:cs="宋体"/>
                <w:szCs w:val="21"/>
              </w:rPr>
              <w:t>款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 w:cs="宋体"/>
                <w:szCs w:val="21"/>
              </w:rPr>
              <w:t>，进一步探测试销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 w14:paraId="1D60172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公司2025年成本端展望？</w:t>
            </w:r>
          </w:p>
          <w:p w14:paraId="04A1B84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0991C49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公司2025年的费用投放规划？</w:t>
            </w:r>
          </w:p>
          <w:p w14:paraId="3A349AA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2025年，公司费用投放将会保持稳中求进的总基调，根据外部形势的变化调整公司的费用投放策略。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0D4C6D1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4697927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  <w:p w14:paraId="12C0C6A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公司后续的分红规划？</w:t>
            </w:r>
          </w:p>
          <w:p w14:paraId="6BD9520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0ED6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1500</Words>
  <Characters>1543</Characters>
  <Lines>11</Lines>
  <Paragraphs>3</Paragraphs>
  <TotalTime>7</TotalTime>
  <ScaleCrop>false</ScaleCrop>
  <LinksUpToDate>false</LinksUpToDate>
  <CharactersWithSpaces>1622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2025-03-12T07:33:14Z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97ED76E63C06430CA82842A505B86B56_13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