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14547" w14:textId="77777777" w:rsidR="0083576C" w:rsidRDefault="00F606A4">
      <w:pPr>
        <w:autoSpaceDE w:val="0"/>
        <w:autoSpaceDN w:val="0"/>
        <w:spacing w:before="62" w:line="580" w:lineRule="exact"/>
        <w:ind w:right="90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  <w:lang w:val="zh-CN" w:bidi="zh-CN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  <w:lang w:val="zh-CN" w:bidi="zh-CN"/>
        </w:rPr>
        <w:t>陕西北元化工集团股份有限公司投资者关系活动记录表</w:t>
      </w:r>
    </w:p>
    <w:p w14:paraId="48DB67AB" w14:textId="75AC3C21" w:rsidR="0083576C" w:rsidRDefault="00F606A4">
      <w:pPr>
        <w:autoSpaceDE w:val="0"/>
        <w:autoSpaceDN w:val="0"/>
        <w:spacing w:before="62" w:line="580" w:lineRule="exact"/>
        <w:ind w:right="90"/>
        <w:rPr>
          <w:rFonts w:ascii="仿宋_GB2312" w:eastAsia="仿宋_GB2312" w:hAnsi="宋体" w:cs="宋体"/>
          <w:kern w:val="0"/>
          <w:lang w:val="zh-CN" w:bidi="zh-CN"/>
        </w:rPr>
      </w:pPr>
      <w:r>
        <w:rPr>
          <w:rFonts w:ascii="仿宋_GB2312" w:eastAsia="仿宋_GB2312" w:hAnsi="宋体" w:cs="宋体" w:hint="eastAsia"/>
          <w:kern w:val="0"/>
          <w:lang w:val="zh-CN" w:bidi="zh-CN"/>
        </w:rPr>
        <w:t>股票简称：北</w:t>
      </w:r>
      <w:proofErr w:type="gramStart"/>
      <w:r>
        <w:rPr>
          <w:rFonts w:ascii="仿宋_GB2312" w:eastAsia="仿宋_GB2312" w:hAnsi="宋体" w:cs="宋体" w:hint="eastAsia"/>
          <w:kern w:val="0"/>
          <w:lang w:val="zh-CN" w:bidi="zh-CN"/>
        </w:rPr>
        <w:t>元集团</w:t>
      </w:r>
      <w:proofErr w:type="gramEnd"/>
      <w:r>
        <w:rPr>
          <w:rFonts w:ascii="仿宋_GB2312" w:eastAsia="仿宋_GB2312" w:hAnsi="宋体" w:cs="宋体" w:hint="eastAsia"/>
          <w:kern w:val="0"/>
          <w:lang w:val="zh-CN" w:bidi="zh-CN"/>
        </w:rPr>
        <w:tab/>
      </w:r>
      <w:r>
        <w:rPr>
          <w:rFonts w:ascii="仿宋_GB2312" w:eastAsia="仿宋_GB2312" w:hAnsi="宋体" w:cs="宋体"/>
          <w:kern w:val="0"/>
          <w:lang w:val="zh-CN" w:bidi="zh-CN"/>
        </w:rPr>
        <w:t xml:space="preserve">    </w:t>
      </w:r>
      <w:r>
        <w:rPr>
          <w:rFonts w:ascii="仿宋_GB2312" w:eastAsia="仿宋_GB2312" w:hAnsi="宋体" w:cs="宋体" w:hint="eastAsia"/>
          <w:kern w:val="0"/>
          <w:lang w:val="zh-CN" w:bidi="zh-CN"/>
        </w:rPr>
        <w:t>股票代码：</w:t>
      </w:r>
      <w:r>
        <w:rPr>
          <w:rFonts w:ascii="仿宋_GB2312" w:eastAsia="仿宋_GB2312" w:hAnsi="宋体" w:cs="宋体"/>
          <w:kern w:val="0"/>
          <w:lang w:val="zh-CN" w:bidi="zh-CN"/>
        </w:rPr>
        <w:t>601568</w:t>
      </w:r>
      <w:r>
        <w:rPr>
          <w:rFonts w:ascii="仿宋_GB2312" w:eastAsia="仿宋_GB2312" w:hAnsi="宋体" w:cs="宋体" w:hint="eastAsia"/>
          <w:kern w:val="0"/>
          <w:lang w:val="zh-CN" w:bidi="zh-CN"/>
        </w:rPr>
        <w:tab/>
      </w:r>
      <w:r>
        <w:rPr>
          <w:rFonts w:ascii="仿宋_GB2312" w:eastAsia="仿宋_GB2312" w:hAnsi="宋体" w:cs="宋体"/>
          <w:kern w:val="0"/>
          <w:lang w:val="zh-CN" w:bidi="zh-CN"/>
        </w:rPr>
        <w:t xml:space="preserve">       </w:t>
      </w:r>
      <w:r>
        <w:rPr>
          <w:rFonts w:ascii="仿宋_GB2312" w:eastAsia="仿宋_GB2312" w:hAnsi="宋体" w:cs="宋体" w:hint="eastAsia"/>
          <w:kern w:val="0"/>
          <w:lang w:val="zh-CN" w:bidi="zh-CN"/>
        </w:rPr>
        <w:t>编号：2</w:t>
      </w:r>
      <w:r>
        <w:rPr>
          <w:rFonts w:ascii="仿宋_GB2312" w:eastAsia="仿宋_GB2312" w:hAnsi="宋体" w:cs="宋体"/>
          <w:kern w:val="0"/>
          <w:lang w:val="zh-CN" w:bidi="zh-CN"/>
        </w:rPr>
        <w:t>02</w:t>
      </w:r>
      <w:r w:rsidR="00FC51A7">
        <w:rPr>
          <w:rFonts w:ascii="仿宋_GB2312" w:eastAsia="仿宋_GB2312" w:hAnsi="宋体" w:cs="宋体" w:hint="eastAsia"/>
          <w:kern w:val="0"/>
          <w:lang w:val="zh-CN" w:bidi="zh-CN"/>
        </w:rPr>
        <w:t>5</w:t>
      </w:r>
      <w:r>
        <w:rPr>
          <w:rFonts w:ascii="仿宋_GB2312" w:eastAsia="仿宋_GB2312" w:hAnsi="宋体" w:cs="宋体"/>
          <w:kern w:val="0"/>
          <w:lang w:val="zh-CN" w:bidi="zh-CN"/>
        </w:rPr>
        <w:t>-00</w:t>
      </w:r>
      <w:r w:rsidR="00FC51A7">
        <w:rPr>
          <w:rFonts w:ascii="仿宋_GB2312" w:eastAsia="仿宋_GB2312" w:hAnsi="宋体" w:cs="宋体" w:hint="eastAsia"/>
          <w:kern w:val="0"/>
          <w:lang w:val="zh-CN" w:bidi="zh-CN"/>
        </w:rPr>
        <w:t>1</w:t>
      </w:r>
    </w:p>
    <w:tbl>
      <w:tblPr>
        <w:tblStyle w:val="a9"/>
        <w:tblW w:w="9299" w:type="dxa"/>
        <w:jc w:val="center"/>
        <w:tblLook w:val="04A0" w:firstRow="1" w:lastRow="0" w:firstColumn="1" w:lastColumn="0" w:noHBand="0" w:noVBand="1"/>
      </w:tblPr>
      <w:tblGrid>
        <w:gridCol w:w="2304"/>
        <w:gridCol w:w="3774"/>
        <w:gridCol w:w="3221"/>
      </w:tblGrid>
      <w:tr w:rsidR="0083576C" w14:paraId="0550E217" w14:textId="77777777" w:rsidTr="00355DDE">
        <w:trPr>
          <w:trHeight w:hRule="exact" w:val="510"/>
          <w:jc w:val="center"/>
        </w:trPr>
        <w:tc>
          <w:tcPr>
            <w:tcW w:w="2282" w:type="dxa"/>
            <w:vMerge w:val="restart"/>
            <w:tcBorders>
              <w:right w:val="single" w:sz="4" w:space="0" w:color="auto"/>
            </w:tcBorders>
            <w:vAlign w:val="center"/>
          </w:tcPr>
          <w:p w14:paraId="2424F1C7" w14:textId="77777777" w:rsidR="0083576C" w:rsidRDefault="00F606A4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投资者关系活动类别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5C1B50" w14:textId="48CE1C54" w:rsidR="0083576C" w:rsidRDefault="008A260F" w:rsidP="00355DDE">
            <w:pPr>
              <w:rPr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sym w:font="Wingdings 2" w:char="F052"/>
            </w:r>
            <w:r w:rsidR="00F606A4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机构调研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90927F" w14:textId="77777777" w:rsidR="0083576C" w:rsidRDefault="00F606A4" w:rsidP="00355DDE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□分析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师会议</w:t>
            </w:r>
            <w:proofErr w:type="gramEnd"/>
          </w:p>
        </w:tc>
      </w:tr>
      <w:tr w:rsidR="0083576C" w14:paraId="07A77F19" w14:textId="77777777" w:rsidTr="00355DDE">
        <w:trPr>
          <w:trHeight w:hRule="exact" w:val="510"/>
          <w:jc w:val="center"/>
        </w:trPr>
        <w:tc>
          <w:tcPr>
            <w:tcW w:w="2282" w:type="dxa"/>
            <w:vMerge/>
            <w:tcBorders>
              <w:right w:val="single" w:sz="4" w:space="0" w:color="auto"/>
            </w:tcBorders>
            <w:vAlign w:val="center"/>
          </w:tcPr>
          <w:p w14:paraId="0AFE3891" w14:textId="77777777" w:rsidR="0083576C" w:rsidRDefault="0083576C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CCCC98" w14:textId="77777777" w:rsidR="0083576C" w:rsidRDefault="00F606A4" w:rsidP="00355DDE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□媒体采访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D1CCB8" w14:textId="77777777" w:rsidR="0083576C" w:rsidRDefault="00F606A4" w:rsidP="00355DDE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□业绩说明会</w:t>
            </w:r>
          </w:p>
        </w:tc>
      </w:tr>
      <w:tr w:rsidR="0083576C" w14:paraId="4D0D9F56" w14:textId="77777777" w:rsidTr="00355DDE">
        <w:trPr>
          <w:trHeight w:hRule="exact" w:val="510"/>
          <w:jc w:val="center"/>
        </w:trPr>
        <w:tc>
          <w:tcPr>
            <w:tcW w:w="2282" w:type="dxa"/>
            <w:vMerge/>
            <w:tcBorders>
              <w:right w:val="single" w:sz="4" w:space="0" w:color="auto"/>
            </w:tcBorders>
            <w:vAlign w:val="center"/>
          </w:tcPr>
          <w:p w14:paraId="3FC383CD" w14:textId="77777777" w:rsidR="0083576C" w:rsidRDefault="0083576C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</w:p>
        </w:tc>
        <w:tc>
          <w:tcPr>
            <w:tcW w:w="3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A41F45" w14:textId="77777777" w:rsidR="0083576C" w:rsidRDefault="00F606A4" w:rsidP="00355DDE">
            <w:pPr>
              <w:autoSpaceDE w:val="0"/>
              <w:autoSpaceDN w:val="0"/>
              <w:spacing w:after="100" w:afterAutospacing="1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□新闻发布会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508511" w14:textId="421A5CC2" w:rsidR="0083576C" w:rsidRDefault="00AA5AA4" w:rsidP="00355DDE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 w:rsidRPr="00AA5AA4">
              <w:rPr>
                <w:rFonts w:ascii="Wingdings 2" w:eastAsia="仿宋_GB2312" w:hAnsi="Wingdings 2" w:cs="宋体" w:hint="eastAsia"/>
                <w:kern w:val="0"/>
                <w:lang w:val="zh-CN" w:bidi="zh-CN"/>
              </w:rPr>
              <w:t>□</w:t>
            </w:r>
            <w:r w:rsidR="00F606A4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现场参观</w:t>
            </w:r>
          </w:p>
        </w:tc>
      </w:tr>
      <w:tr w:rsidR="0083576C" w14:paraId="0485EE9C" w14:textId="77777777" w:rsidTr="00355DDE">
        <w:trPr>
          <w:trHeight w:hRule="exact" w:val="510"/>
          <w:jc w:val="center"/>
        </w:trPr>
        <w:tc>
          <w:tcPr>
            <w:tcW w:w="22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68EFF" w14:textId="77777777" w:rsidR="0083576C" w:rsidRDefault="0083576C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</w:p>
        </w:tc>
        <w:tc>
          <w:tcPr>
            <w:tcW w:w="6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7D90" w14:textId="063D3020" w:rsidR="0083576C" w:rsidRDefault="00355DDE" w:rsidP="00355DDE">
            <w:pPr>
              <w:autoSpaceDE w:val="0"/>
              <w:autoSpaceDN w:val="0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□</w:t>
            </w:r>
            <w:r w:rsidR="00F606A4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其他</w:t>
            </w:r>
          </w:p>
        </w:tc>
      </w:tr>
      <w:tr w:rsidR="0083576C" w14:paraId="2E53F6D4" w14:textId="77777777" w:rsidTr="00355DDE">
        <w:trPr>
          <w:trHeight w:val="837"/>
          <w:jc w:val="center"/>
        </w:trPr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211F7C5D" w14:textId="77777777" w:rsidR="0083576C" w:rsidRDefault="00F606A4" w:rsidP="00726F77">
            <w:pPr>
              <w:autoSpaceDE w:val="0"/>
              <w:autoSpaceDN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参与单位名称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2BD46" w14:textId="2493ECA5" w:rsidR="0083576C" w:rsidRPr="00325B14" w:rsidRDefault="00FC51A7" w:rsidP="00325B14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</w:rPr>
              <w:t>国惠基金</w:t>
            </w:r>
            <w:proofErr w:type="gramEnd"/>
            <w:r w:rsidR="008E626C">
              <w:rPr>
                <w:rFonts w:ascii="仿宋_GB2312" w:eastAsia="仿宋_GB2312" w:hint="eastAsia"/>
                <w:color w:val="000000"/>
                <w:kern w:val="0"/>
              </w:rPr>
              <w:t>、上海杉</w:t>
            </w:r>
            <w:proofErr w:type="gramStart"/>
            <w:r w:rsidR="008E626C">
              <w:rPr>
                <w:rFonts w:ascii="仿宋_GB2312" w:eastAsia="仿宋_GB2312" w:hint="eastAsia"/>
                <w:color w:val="000000"/>
                <w:kern w:val="0"/>
              </w:rPr>
              <w:t>玺</w:t>
            </w:r>
            <w:proofErr w:type="gramEnd"/>
          </w:p>
        </w:tc>
      </w:tr>
      <w:tr w:rsidR="0083576C" w14:paraId="3356AB66" w14:textId="77777777" w:rsidTr="00355DDE">
        <w:trPr>
          <w:trHeight w:val="847"/>
          <w:jc w:val="center"/>
        </w:trPr>
        <w:tc>
          <w:tcPr>
            <w:tcW w:w="2282" w:type="dxa"/>
            <w:vAlign w:val="center"/>
          </w:tcPr>
          <w:p w14:paraId="6630F908" w14:textId="77777777" w:rsidR="0083576C" w:rsidRDefault="00F606A4" w:rsidP="00726F77">
            <w:pPr>
              <w:autoSpaceDE w:val="0"/>
              <w:autoSpaceDN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时间</w:t>
            </w:r>
          </w:p>
        </w:tc>
        <w:tc>
          <w:tcPr>
            <w:tcW w:w="6927" w:type="dxa"/>
            <w:gridSpan w:val="2"/>
            <w:vAlign w:val="center"/>
          </w:tcPr>
          <w:p w14:paraId="7FCE95D3" w14:textId="1A372047" w:rsidR="0083576C" w:rsidRDefault="00F606A4" w:rsidP="005E417E">
            <w:pPr>
              <w:autoSpaceDE w:val="0"/>
              <w:autoSpaceDN w:val="0"/>
              <w:spacing w:line="580" w:lineRule="exact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/>
                <w:kern w:val="0"/>
                <w:lang w:val="zh-CN" w:bidi="zh-CN"/>
              </w:rPr>
              <w:t>202</w:t>
            </w:r>
            <w:r w:rsidR="00FC51A7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年</w:t>
            </w:r>
            <w:r w:rsidR="00FC51A7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月</w:t>
            </w:r>
            <w:r w:rsidR="00FC51A7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日</w:t>
            </w:r>
            <w:r w:rsidR="00325B14">
              <w:rPr>
                <w:rFonts w:ascii="仿宋_GB2312" w:eastAsia="仿宋_GB2312" w:hAnsi="宋体" w:cs="宋体"/>
                <w:kern w:val="0"/>
                <w:lang w:val="zh-CN" w:bidi="zh-CN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时至</w:t>
            </w:r>
            <w:r>
              <w:rPr>
                <w:rFonts w:ascii="仿宋_GB2312" w:eastAsia="仿宋_GB2312" w:hAnsi="宋体" w:cs="宋体"/>
                <w:kern w:val="0"/>
                <w:lang w:val="zh-CN" w:bidi="zh-CN"/>
              </w:rPr>
              <w:t>202</w:t>
            </w:r>
            <w:r w:rsidR="00FC51A7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年</w:t>
            </w:r>
            <w:r w:rsidR="00FC51A7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月</w:t>
            </w:r>
            <w:r w:rsidR="00FC51A7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日</w:t>
            </w:r>
            <w:r w:rsidR="00325B14">
              <w:rPr>
                <w:rFonts w:ascii="仿宋_GB2312" w:eastAsia="仿宋_GB2312" w:hAnsi="宋体" w:cs="宋体"/>
                <w:kern w:val="0"/>
                <w:lang w:val="zh-CN" w:bidi="zh-CN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时</w:t>
            </w:r>
          </w:p>
        </w:tc>
      </w:tr>
      <w:tr w:rsidR="0083576C" w14:paraId="5A6E5F4D" w14:textId="77777777" w:rsidTr="00355DDE">
        <w:trPr>
          <w:trHeight w:val="709"/>
          <w:jc w:val="center"/>
        </w:trPr>
        <w:tc>
          <w:tcPr>
            <w:tcW w:w="2282" w:type="dxa"/>
            <w:vAlign w:val="center"/>
          </w:tcPr>
          <w:p w14:paraId="1EFA49B0" w14:textId="77777777" w:rsidR="0083576C" w:rsidRDefault="00F606A4" w:rsidP="00726F77">
            <w:pPr>
              <w:autoSpaceDE w:val="0"/>
              <w:autoSpaceDN w:val="0"/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地点</w:t>
            </w:r>
          </w:p>
        </w:tc>
        <w:tc>
          <w:tcPr>
            <w:tcW w:w="6927" w:type="dxa"/>
            <w:gridSpan w:val="2"/>
            <w:vAlign w:val="center"/>
          </w:tcPr>
          <w:p w14:paraId="02E9B26B" w14:textId="7ADCB50E" w:rsidR="0083576C" w:rsidRDefault="00BA58BD" w:rsidP="00726F77">
            <w:pPr>
              <w:autoSpaceDE w:val="0"/>
              <w:autoSpaceDN w:val="0"/>
              <w:spacing w:line="580" w:lineRule="exact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公司展厅、</w:t>
            </w:r>
            <w:r w:rsidR="008A260F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生产</w:t>
            </w:r>
            <w:r w:rsidR="008E626C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集控中心、</w:t>
            </w: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生产现场、会议室</w:t>
            </w:r>
          </w:p>
        </w:tc>
      </w:tr>
      <w:tr w:rsidR="0083576C" w14:paraId="7EA5942D" w14:textId="77777777" w:rsidTr="00355DDE">
        <w:trPr>
          <w:trHeight w:val="1398"/>
          <w:jc w:val="center"/>
        </w:trPr>
        <w:tc>
          <w:tcPr>
            <w:tcW w:w="2282" w:type="dxa"/>
            <w:vAlign w:val="center"/>
          </w:tcPr>
          <w:p w14:paraId="574B0229" w14:textId="77777777" w:rsidR="0083576C" w:rsidRDefault="00F606A4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公司接待人员</w:t>
            </w:r>
          </w:p>
          <w:p w14:paraId="739ED308" w14:textId="77777777" w:rsidR="0083576C" w:rsidRDefault="00F606A4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姓名</w:t>
            </w:r>
          </w:p>
        </w:tc>
        <w:tc>
          <w:tcPr>
            <w:tcW w:w="6927" w:type="dxa"/>
            <w:gridSpan w:val="2"/>
            <w:vAlign w:val="center"/>
          </w:tcPr>
          <w:p w14:paraId="2F12C894" w14:textId="76A1FDAC" w:rsidR="0083576C" w:rsidRDefault="008A260F" w:rsidP="000440F7">
            <w:pPr>
              <w:autoSpaceDE w:val="0"/>
              <w:autoSpaceDN w:val="0"/>
              <w:spacing w:before="4" w:line="580" w:lineRule="exact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证券事务代表、证券法</w:t>
            </w:r>
            <w:proofErr w:type="gramStart"/>
            <w:r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务</w:t>
            </w:r>
            <w:proofErr w:type="gramEnd"/>
            <w:r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部部长、审计部部长刘娜，证券法</w:t>
            </w:r>
            <w:proofErr w:type="gramStart"/>
            <w:r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务</w:t>
            </w:r>
            <w:proofErr w:type="gramEnd"/>
            <w:r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部副部长梁军</w:t>
            </w:r>
            <w:r w:rsidR="00F606A4" w:rsidRPr="00431911"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及其他相关人员</w:t>
            </w:r>
            <w:r w:rsidR="00BA58BD" w:rsidRPr="00431911"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。</w:t>
            </w:r>
          </w:p>
        </w:tc>
      </w:tr>
      <w:tr w:rsidR="00B166E6" w:rsidRPr="00B166E6" w14:paraId="55305F8E" w14:textId="77777777" w:rsidTr="00355DDE">
        <w:trPr>
          <w:trHeight w:val="1585"/>
          <w:jc w:val="center"/>
        </w:trPr>
        <w:tc>
          <w:tcPr>
            <w:tcW w:w="2282" w:type="dxa"/>
            <w:vAlign w:val="center"/>
          </w:tcPr>
          <w:p w14:paraId="31328E51" w14:textId="77777777" w:rsidR="0083576C" w:rsidRPr="00B166E6" w:rsidRDefault="00F606A4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投资者关系活动主要内容介绍</w:t>
            </w:r>
          </w:p>
        </w:tc>
        <w:tc>
          <w:tcPr>
            <w:tcW w:w="6927" w:type="dxa"/>
            <w:gridSpan w:val="2"/>
          </w:tcPr>
          <w:p w14:paraId="6C113CE9" w14:textId="77777777" w:rsidR="00BA58BD" w:rsidRPr="00B166E6" w:rsidRDefault="00BA58BD" w:rsidP="0058640B">
            <w:pPr>
              <w:autoSpaceDE w:val="0"/>
              <w:autoSpaceDN w:val="0"/>
              <w:spacing w:line="440" w:lineRule="exact"/>
              <w:ind w:firstLineChars="200" w:firstLine="560"/>
              <w:rPr>
                <w:rFonts w:ascii="黑体" w:eastAsia="黑体" w:hAnsi="黑体" w:cs="宋体"/>
                <w:kern w:val="0"/>
                <w:lang w:val="zh-CN" w:bidi="zh-CN"/>
              </w:rPr>
            </w:pPr>
            <w:r w:rsidRPr="00B166E6">
              <w:rPr>
                <w:rFonts w:ascii="黑体" w:eastAsia="黑体" w:hAnsi="黑体" w:cs="宋体" w:hint="eastAsia"/>
                <w:kern w:val="0"/>
                <w:lang w:val="zh-CN" w:bidi="zh-CN"/>
              </w:rPr>
              <w:t>一、现场参观</w:t>
            </w:r>
          </w:p>
          <w:p w14:paraId="11CD5795" w14:textId="615C9EE7" w:rsidR="00BA58BD" w:rsidRPr="00B166E6" w:rsidRDefault="00BA58BD" w:rsidP="0058640B">
            <w:pPr>
              <w:autoSpaceDE w:val="0"/>
              <w:autoSpaceDN w:val="0"/>
              <w:spacing w:line="440" w:lineRule="exact"/>
              <w:ind w:firstLineChars="200" w:firstLine="560"/>
              <w:rPr>
                <w:rFonts w:ascii="仿宋_GB2312" w:eastAsia="仿宋_GB2312" w:hAnsi="黑体" w:cs="宋体"/>
                <w:kern w:val="0"/>
                <w:lang w:val="zh-CN" w:bidi="zh-CN"/>
              </w:rPr>
            </w:pPr>
            <w:r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来访人员首先参观了公司展厅</w:t>
            </w:r>
            <w:r w:rsidR="008E626C"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及</w:t>
            </w:r>
            <w:r w:rsidR="003C4940"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生产</w:t>
            </w:r>
            <w:r w:rsidR="008E626C"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集控中心</w:t>
            </w:r>
            <w:r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，</w:t>
            </w:r>
            <w:r w:rsidR="00431911"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详细了解了</w:t>
            </w:r>
            <w:r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公司发展历程、企业文化、循环产业链等情况</w:t>
            </w:r>
            <w:r w:rsidR="00431911"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，</w:t>
            </w:r>
            <w:r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随后参观了聚氯乙烯全自动包装生产线，</w:t>
            </w:r>
            <w:r w:rsidR="00431911" w:rsidRPr="00B166E6">
              <w:rPr>
                <w:rFonts w:ascii="仿宋_GB2312" w:eastAsia="仿宋_GB2312" w:hAnsi="黑体" w:cs="宋体" w:hint="eastAsia"/>
                <w:kern w:val="0"/>
                <w:lang w:val="zh-CN" w:bidi="zh-CN"/>
              </w:rPr>
              <w:t>现场</w:t>
            </w:r>
            <w:r w:rsidR="00431911" w:rsidRPr="00B166E6"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了解了</w:t>
            </w:r>
            <w:r w:rsidRPr="00B166E6">
              <w:rPr>
                <w:rFonts w:ascii="仿宋_GB2312" w:eastAsia="仿宋_GB2312" w:hAnsi="黑体" w:cs="宋体" w:hint="eastAsia"/>
                <w:spacing w:val="-6"/>
                <w:kern w:val="0"/>
                <w:lang w:val="zh-CN" w:bidi="zh-CN"/>
              </w:rPr>
              <w:t>公司产品种类、生产工艺流程、自动化包装等情况。</w:t>
            </w:r>
          </w:p>
          <w:p w14:paraId="7B8A7896" w14:textId="74B48F64" w:rsidR="0083576C" w:rsidRPr="00B166E6" w:rsidRDefault="00BA58BD" w:rsidP="0058640B">
            <w:pPr>
              <w:autoSpaceDE w:val="0"/>
              <w:autoSpaceDN w:val="0"/>
              <w:spacing w:line="440" w:lineRule="exact"/>
              <w:ind w:firstLineChars="200" w:firstLine="560"/>
              <w:rPr>
                <w:rFonts w:ascii="黑体" w:eastAsia="黑体" w:hAnsi="黑体" w:cs="宋体"/>
                <w:kern w:val="0"/>
                <w:lang w:val="zh-CN" w:bidi="zh-CN"/>
              </w:rPr>
            </w:pPr>
            <w:r w:rsidRPr="00B166E6">
              <w:rPr>
                <w:rFonts w:ascii="黑体" w:eastAsia="黑体" w:hAnsi="黑体" w:cs="宋体" w:hint="eastAsia"/>
                <w:kern w:val="0"/>
                <w:lang w:val="zh-CN" w:bidi="zh-CN"/>
              </w:rPr>
              <w:t>二、会议室交流主要问题及回复如下：</w:t>
            </w:r>
          </w:p>
          <w:p w14:paraId="07C08E89" w14:textId="29E9F798" w:rsidR="00F22103" w:rsidRPr="00B166E6" w:rsidRDefault="00F22103" w:rsidP="0058640B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  <w:bCs/>
              </w:rPr>
            </w:pPr>
            <w:r w:rsidRPr="00B166E6">
              <w:rPr>
                <w:rFonts w:ascii="仿宋_GB2312" w:eastAsia="仿宋_GB2312" w:hint="eastAsia"/>
                <w:b/>
                <w:bCs/>
              </w:rPr>
              <w:t>1.</w:t>
            </w:r>
            <w:r w:rsidR="00D81885" w:rsidRPr="00B166E6">
              <w:rPr>
                <w:rFonts w:ascii="仿宋_GB2312" w:eastAsia="仿宋_GB2312" w:hint="eastAsia"/>
                <w:b/>
                <w:bCs/>
              </w:rPr>
              <w:t>公司主产品聚氯乙烯和烧碱的成本与同行业相比具有哪些优势？</w:t>
            </w:r>
          </w:p>
          <w:p w14:paraId="3B1EB0FD" w14:textId="0FCC39AB" w:rsidR="00D81885" w:rsidRPr="00B166E6" w:rsidRDefault="00F22103" w:rsidP="0058640B">
            <w:pPr>
              <w:spacing w:line="440" w:lineRule="exact"/>
              <w:ind w:firstLineChars="200" w:firstLine="560"/>
              <w:rPr>
                <w:rFonts w:ascii="仿宋_GB2312" w:eastAsia="仿宋_GB2312"/>
                <w:bCs/>
              </w:rPr>
            </w:pPr>
            <w:r w:rsidRPr="00B166E6">
              <w:rPr>
                <w:rFonts w:ascii="仿宋_GB2312" w:eastAsia="仿宋_GB2312" w:hint="eastAsia"/>
                <w:bCs/>
              </w:rPr>
              <w:t>答：</w:t>
            </w:r>
            <w:r w:rsidR="00D81885" w:rsidRPr="00B166E6">
              <w:rPr>
                <w:rFonts w:ascii="仿宋_GB2312" w:eastAsia="仿宋_GB2312" w:hint="eastAsia"/>
                <w:bCs/>
              </w:rPr>
              <w:t>公司主产品的主要原料为电石和原盐。公司地处陕西省神府地区，当地富产氯碱化工所需的煤炭、原盐、石灰石、电石等资源，为聚氯乙烯和烧碱的生产提供了充分的原料保障。同时，公司与大型国有煤矿建立战略合作，通过输煤廊道供煤，运输成本较低。此外，</w:t>
            </w:r>
            <w:r w:rsidR="00D81885" w:rsidRPr="00B166E6">
              <w:rPr>
                <w:rFonts w:ascii="仿宋_GB2312" w:eastAsia="仿宋_GB2312" w:hint="eastAsia"/>
                <w:bCs/>
              </w:rPr>
              <w:lastRenderedPageBreak/>
              <w:t>公司生产厂区地下2600米广布原盐资源，目前有2处盐矿采矿权，已实现自采自用，产能约130万吨/年，满足烧碱生产需求，资源禀赋及对应成本优势明显。</w:t>
            </w:r>
          </w:p>
          <w:p w14:paraId="575D692C" w14:textId="2378A9DC" w:rsidR="00BA3362" w:rsidRPr="00B166E6" w:rsidRDefault="00BA3362" w:rsidP="0058640B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  <w:bCs/>
              </w:rPr>
            </w:pPr>
            <w:r w:rsidRPr="00B166E6">
              <w:rPr>
                <w:rFonts w:ascii="仿宋_GB2312" w:eastAsia="仿宋_GB2312" w:hint="eastAsia"/>
                <w:b/>
                <w:bCs/>
              </w:rPr>
              <w:t>2</w:t>
            </w:r>
            <w:r w:rsidR="008E626C" w:rsidRPr="00B166E6">
              <w:rPr>
                <w:rFonts w:ascii="仿宋_GB2312" w:eastAsia="仿宋_GB2312" w:hint="eastAsia"/>
                <w:b/>
                <w:bCs/>
              </w:rPr>
              <w:t>.电石法PVC和乙烯法PVC主要区别和优劣势？行业内电石法和</w:t>
            </w:r>
            <w:proofErr w:type="gramStart"/>
            <w:r w:rsidR="008E626C" w:rsidRPr="00B166E6">
              <w:rPr>
                <w:rFonts w:ascii="仿宋_GB2312" w:eastAsia="仿宋_GB2312" w:hint="eastAsia"/>
                <w:b/>
                <w:bCs/>
              </w:rPr>
              <w:t>乙烯法占比</w:t>
            </w:r>
            <w:proofErr w:type="gramEnd"/>
            <w:r w:rsidR="008E626C" w:rsidRPr="00B166E6">
              <w:rPr>
                <w:rFonts w:ascii="仿宋_GB2312" w:eastAsia="仿宋_GB2312" w:hint="eastAsia"/>
                <w:b/>
                <w:bCs/>
              </w:rPr>
              <w:t>大概多少？</w:t>
            </w:r>
          </w:p>
          <w:p w14:paraId="0E095D8C" w14:textId="7CEF4E4E" w:rsidR="00313773" w:rsidRPr="00B166E6" w:rsidRDefault="00BA58BD" w:rsidP="0058640B">
            <w:pPr>
              <w:spacing w:line="440" w:lineRule="exact"/>
              <w:ind w:firstLineChars="200" w:firstLine="560"/>
              <w:rPr>
                <w:rFonts w:ascii="仿宋_GB2312" w:eastAsia="仿宋_GB2312"/>
              </w:rPr>
            </w:pPr>
            <w:r w:rsidRPr="00B166E6">
              <w:rPr>
                <w:rFonts w:ascii="仿宋_GB2312" w:eastAsia="仿宋_GB2312" w:hint="eastAsia"/>
              </w:rPr>
              <w:t>答：</w:t>
            </w:r>
            <w:r w:rsidR="004A141D" w:rsidRPr="00B166E6">
              <w:rPr>
                <w:rFonts w:ascii="仿宋_GB2312" w:eastAsia="仿宋_GB2312" w:hint="eastAsia"/>
              </w:rPr>
              <w:t>电石法</w:t>
            </w:r>
            <w:r w:rsidR="004A141D" w:rsidRPr="00B166E6">
              <w:rPr>
                <w:rFonts w:ascii="仿宋_GB2312" w:eastAsia="仿宋_GB2312" w:hint="eastAsia"/>
                <w:bCs/>
              </w:rPr>
              <w:t>PVC</w:t>
            </w:r>
            <w:r w:rsidR="004A141D" w:rsidRPr="00B166E6">
              <w:rPr>
                <w:rFonts w:ascii="仿宋_GB2312" w:eastAsia="仿宋_GB2312" w:hint="eastAsia"/>
              </w:rPr>
              <w:t>成本优势明显，产能基础大，生产技术成熟，且配套产业完善</w:t>
            </w:r>
            <w:r w:rsidR="00DB024A">
              <w:rPr>
                <w:rFonts w:ascii="仿宋_GB2312" w:eastAsia="仿宋_GB2312" w:hint="eastAsia"/>
              </w:rPr>
              <w:t>；</w:t>
            </w:r>
            <w:r w:rsidR="004A141D" w:rsidRPr="00B166E6">
              <w:rPr>
                <w:rFonts w:ascii="仿宋_GB2312" w:eastAsia="仿宋_GB2312" w:hint="eastAsia"/>
              </w:rPr>
              <w:t>乙烯法</w:t>
            </w:r>
            <w:r w:rsidR="004A141D" w:rsidRPr="00B166E6">
              <w:rPr>
                <w:rFonts w:ascii="仿宋_GB2312" w:eastAsia="仿宋_GB2312"/>
              </w:rPr>
              <w:t>PVC</w:t>
            </w:r>
            <w:r w:rsidR="004A141D" w:rsidRPr="00B166E6">
              <w:rPr>
                <w:rFonts w:ascii="仿宋_GB2312" w:eastAsia="仿宋_GB2312" w:hint="eastAsia"/>
              </w:rPr>
              <w:t>产品性能好，生产相对清洁环保，但原料供应受国际石油市场影响大。</w:t>
            </w:r>
            <w:r w:rsidR="00313773" w:rsidRPr="00B166E6">
              <w:rPr>
                <w:rFonts w:ascii="仿宋_GB2312" w:eastAsia="仿宋_GB2312" w:hint="eastAsia"/>
              </w:rPr>
              <w:t>据相关统计</w:t>
            </w:r>
            <w:r w:rsidR="003A0CBC" w:rsidRPr="00B166E6">
              <w:rPr>
                <w:rFonts w:ascii="仿宋_GB2312" w:eastAsia="仿宋_GB2312" w:hint="eastAsia"/>
              </w:rPr>
              <w:t>，</w:t>
            </w:r>
            <w:r w:rsidR="004A141D" w:rsidRPr="00B166E6">
              <w:rPr>
                <w:rFonts w:ascii="仿宋_GB2312" w:eastAsia="仿宋_GB2312" w:hint="eastAsia"/>
              </w:rPr>
              <w:t>行业内</w:t>
            </w:r>
            <w:proofErr w:type="gramStart"/>
            <w:r w:rsidR="004A141D" w:rsidRPr="00B166E6">
              <w:rPr>
                <w:rFonts w:ascii="仿宋_GB2312" w:eastAsia="仿宋_GB2312" w:hint="eastAsia"/>
              </w:rPr>
              <w:t>电石法占比</w:t>
            </w:r>
            <w:proofErr w:type="gramEnd"/>
            <w:r w:rsidR="00313773" w:rsidRPr="00B166E6">
              <w:rPr>
                <w:rFonts w:ascii="仿宋_GB2312" w:eastAsia="仿宋_GB2312" w:hint="eastAsia"/>
              </w:rPr>
              <w:t>约</w:t>
            </w:r>
            <w:r w:rsidR="004A141D" w:rsidRPr="00B166E6">
              <w:rPr>
                <w:rFonts w:ascii="仿宋_GB2312" w:eastAsia="仿宋_GB2312" w:hint="eastAsia"/>
              </w:rPr>
              <w:t>76%，</w:t>
            </w:r>
            <w:proofErr w:type="gramStart"/>
            <w:r w:rsidR="004A141D" w:rsidRPr="00B166E6">
              <w:rPr>
                <w:rFonts w:ascii="仿宋_GB2312" w:eastAsia="仿宋_GB2312" w:hint="eastAsia"/>
              </w:rPr>
              <w:t>乙烯法占比</w:t>
            </w:r>
            <w:proofErr w:type="gramEnd"/>
            <w:r w:rsidR="00313773" w:rsidRPr="00B166E6">
              <w:rPr>
                <w:rFonts w:ascii="仿宋_GB2312" w:eastAsia="仿宋_GB2312" w:hint="eastAsia"/>
              </w:rPr>
              <w:t>约</w:t>
            </w:r>
            <w:r w:rsidR="004A141D" w:rsidRPr="00B166E6">
              <w:rPr>
                <w:rFonts w:ascii="仿宋_GB2312" w:eastAsia="仿宋_GB2312" w:hint="eastAsia"/>
              </w:rPr>
              <w:t>24%。</w:t>
            </w:r>
          </w:p>
          <w:p w14:paraId="537CE642" w14:textId="18568AAB" w:rsidR="00BB748C" w:rsidRPr="00B166E6" w:rsidRDefault="00220337" w:rsidP="0058640B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  <w:lang w:bidi="zh-CN"/>
              </w:rPr>
            </w:pPr>
            <w:r w:rsidRPr="00B166E6">
              <w:rPr>
                <w:rFonts w:ascii="仿宋_GB2312" w:eastAsia="仿宋_GB2312" w:hAnsi="宋体" w:cs="宋体" w:hint="eastAsia"/>
                <w:b/>
                <w:kern w:val="0"/>
                <w:lang w:bidi="zh-CN"/>
              </w:rPr>
              <w:t>3</w:t>
            </w:r>
            <w:r w:rsidR="00BB748C" w:rsidRPr="00B166E6">
              <w:rPr>
                <w:rFonts w:ascii="仿宋_GB2312" w:eastAsia="仿宋_GB2312" w:hAnsi="宋体" w:cs="宋体" w:hint="eastAsia"/>
                <w:b/>
                <w:kern w:val="0"/>
                <w:lang w:bidi="zh-CN"/>
              </w:rPr>
              <w:t>.2025年至2026年行业内PVC产能新增情况？近两年是否有产能出清？</w:t>
            </w:r>
          </w:p>
          <w:p w14:paraId="2369896A" w14:textId="2F426747" w:rsidR="004D62F2" w:rsidRPr="00B166E6" w:rsidRDefault="00BB748C" w:rsidP="0058640B">
            <w:pPr>
              <w:spacing w:line="440" w:lineRule="exact"/>
              <w:ind w:firstLineChars="200" w:firstLine="560"/>
              <w:rPr>
                <w:rFonts w:ascii="仿宋_GB2312" w:eastAsia="仿宋_GB2312" w:hAnsi="宋体" w:cs="宋体"/>
                <w:kern w:val="0"/>
                <w:lang w:bidi="zh-CN"/>
              </w:rPr>
            </w:pPr>
            <w:r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答：</w:t>
            </w:r>
            <w:r w:rsidR="00111758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据相关统计，</w:t>
            </w:r>
            <w:r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2025年至2026年行业内PVC产能计划新增</w:t>
            </w:r>
            <w:r w:rsidR="00111758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约</w:t>
            </w:r>
            <w:r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290万吨。</w:t>
            </w:r>
            <w:r w:rsidR="00BA3362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目前暂无产能出清。</w:t>
            </w:r>
          </w:p>
          <w:p w14:paraId="2AF3232F" w14:textId="475D91C9" w:rsidR="00BB748C" w:rsidRPr="00B166E6" w:rsidRDefault="00D81885" w:rsidP="0058640B">
            <w:pPr>
              <w:spacing w:line="440" w:lineRule="exact"/>
              <w:ind w:firstLineChars="200" w:firstLine="562"/>
              <w:rPr>
                <w:rFonts w:ascii="仿宋_GB2312" w:eastAsia="仿宋_GB2312" w:hAnsi="宋体" w:cs="宋体"/>
                <w:b/>
                <w:kern w:val="0"/>
                <w:lang w:bidi="zh-CN"/>
              </w:rPr>
            </w:pPr>
            <w:r w:rsidRPr="00B166E6">
              <w:rPr>
                <w:rFonts w:ascii="仿宋_GB2312" w:eastAsia="仿宋_GB2312" w:hAnsi="宋体" w:cs="宋体" w:hint="eastAsia"/>
                <w:b/>
                <w:kern w:val="0"/>
                <w:lang w:bidi="zh-CN"/>
              </w:rPr>
              <w:t>4</w:t>
            </w:r>
            <w:r w:rsidR="00BB748C" w:rsidRPr="00B166E6">
              <w:rPr>
                <w:rFonts w:ascii="仿宋_GB2312" w:eastAsia="仿宋_GB2312" w:hAnsi="宋体" w:cs="宋体" w:hint="eastAsia"/>
                <w:b/>
                <w:kern w:val="0"/>
                <w:lang w:bidi="zh-CN"/>
              </w:rPr>
              <w:t>.2024年三季度PVC库存仍处于高位，库存消化周期大概多久？从2024年四季度到今年一季度库存变化的情况是怎样的？</w:t>
            </w:r>
          </w:p>
          <w:p w14:paraId="05D75807" w14:textId="039C0724" w:rsidR="0090646F" w:rsidRPr="00B166E6" w:rsidRDefault="00BB748C" w:rsidP="0058640B">
            <w:pPr>
              <w:spacing w:line="440" w:lineRule="exact"/>
              <w:ind w:firstLineChars="200" w:firstLine="560"/>
              <w:rPr>
                <w:rFonts w:ascii="仿宋_GB2312" w:eastAsia="仿宋_GB2312" w:hAnsi="宋体" w:cs="宋体"/>
                <w:kern w:val="0"/>
                <w:lang w:bidi="zh-CN"/>
              </w:rPr>
            </w:pPr>
            <w:r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答：</w:t>
            </w:r>
            <w:r w:rsidR="0058640B" w:rsidRPr="0058640B">
              <w:rPr>
                <w:rFonts w:ascii="仿宋_GB2312" w:eastAsia="仿宋_GB2312" w:hAnsi="宋体" w:cs="宋体" w:hint="eastAsia"/>
                <w:kern w:val="0"/>
                <w:lang w:bidi="zh-CN"/>
              </w:rPr>
              <w:t>PVC社会</w:t>
            </w:r>
            <w:r w:rsidR="00CE3229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库存消化周期大概</w:t>
            </w:r>
            <w:r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3-4个月。</w:t>
            </w:r>
            <w:r w:rsidR="00CE3229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2024年四季度到今年一季度</w:t>
            </w:r>
            <w:r w:rsidR="00DB024A">
              <w:rPr>
                <w:rFonts w:ascii="仿宋_GB2312" w:eastAsia="仿宋_GB2312" w:hAnsi="宋体" w:cs="宋体" w:hint="eastAsia"/>
                <w:kern w:val="0"/>
                <w:lang w:bidi="zh-CN"/>
              </w:rPr>
              <w:t>社会</w:t>
            </w:r>
            <w:r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库存持续累库。</w:t>
            </w:r>
          </w:p>
          <w:p w14:paraId="3C802AA0" w14:textId="328548A7" w:rsidR="00DF6486" w:rsidRPr="00B166E6" w:rsidRDefault="003B6957" w:rsidP="0058640B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  <w:bCs/>
              </w:rPr>
            </w:pPr>
            <w:r w:rsidRPr="00B166E6">
              <w:rPr>
                <w:rFonts w:ascii="仿宋_GB2312" w:eastAsia="仿宋_GB2312" w:hint="eastAsia"/>
                <w:b/>
                <w:bCs/>
              </w:rPr>
              <w:t>5</w:t>
            </w:r>
            <w:r w:rsidR="00DF6486" w:rsidRPr="00B166E6">
              <w:rPr>
                <w:rFonts w:ascii="仿宋_GB2312" w:eastAsia="仿宋_GB2312" w:hint="eastAsia"/>
                <w:b/>
                <w:bCs/>
              </w:rPr>
              <w:t>.公司在降本增效方面有什么举措？</w:t>
            </w:r>
            <w:r w:rsidR="00B94CA7" w:rsidRPr="00B166E6">
              <w:rPr>
                <w:rFonts w:ascii="仿宋_GB2312" w:eastAsia="仿宋_GB2312" w:hint="eastAsia"/>
                <w:b/>
                <w:bCs/>
              </w:rPr>
              <w:t xml:space="preserve"> </w:t>
            </w:r>
          </w:p>
          <w:p w14:paraId="14B8FC1A" w14:textId="3D3323DB" w:rsidR="00DF6486" w:rsidRPr="00B166E6" w:rsidRDefault="00A34FD6" w:rsidP="0058640B">
            <w:pPr>
              <w:spacing w:line="440" w:lineRule="exact"/>
              <w:ind w:firstLineChars="200" w:firstLine="560"/>
              <w:rPr>
                <w:rFonts w:ascii="仿宋_GB2312" w:eastAsia="仿宋_GB2312" w:hAnsi="宋体" w:cs="宋体"/>
                <w:kern w:val="0"/>
                <w:lang w:bidi="zh-CN"/>
              </w:rPr>
            </w:pPr>
            <w:r w:rsidRPr="00B166E6">
              <w:rPr>
                <w:rFonts w:ascii="仿宋_GB2312" w:eastAsia="仿宋_GB2312" w:hAnsi="宋体" w:cs="宋体"/>
                <w:kern w:val="0"/>
                <w:lang w:bidi="zh-CN"/>
              </w:rPr>
              <w:t>答</w:t>
            </w:r>
            <w:r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：</w:t>
            </w:r>
            <w:r w:rsidR="004541D7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公司坚持低成本战略，以精细过程管理助</w:t>
            </w:r>
            <w:proofErr w:type="gramStart"/>
            <w:r w:rsidR="004541D7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推公司</w:t>
            </w:r>
            <w:proofErr w:type="gramEnd"/>
            <w:r w:rsidR="004541D7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增产量、降成本、控费用、创效益。</w:t>
            </w:r>
            <w:r w:rsidR="00B94CA7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采购方面，</w:t>
            </w:r>
            <w:r w:rsidR="00A0385E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强化原材料供应战略合作，加大陕西区域低价电石</w:t>
            </w:r>
            <w:proofErr w:type="gramStart"/>
            <w:r w:rsidR="00A0385E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采购占</w:t>
            </w:r>
            <w:proofErr w:type="gramEnd"/>
            <w:r w:rsidR="00A0385E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比，降低采购成本。销售方面，灵活调整产品销售策略，增加高附加值产品及高价区域销售比例</w:t>
            </w:r>
            <w:r w:rsidR="00B94CA7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。</w:t>
            </w:r>
            <w:r w:rsidR="00A0385E" w:rsidRPr="00B166E6">
              <w:rPr>
                <w:rFonts w:ascii="仿宋_GB2312" w:eastAsia="仿宋_GB2312" w:hAnsi="宋体" w:cs="宋体" w:hint="eastAsia"/>
                <w:kern w:val="0"/>
                <w:lang w:bidi="zh-CN"/>
              </w:rPr>
              <w:t>生产运行方面，突出生产过程精益管控，提升系统运行经济性。</w:t>
            </w:r>
            <w:bookmarkStart w:id="0" w:name="_GoBack"/>
            <w:bookmarkEnd w:id="0"/>
          </w:p>
          <w:p w14:paraId="3305969A" w14:textId="6082CE4D" w:rsidR="00B94CA7" w:rsidRPr="00B166E6" w:rsidRDefault="003B6957" w:rsidP="0058640B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  <w:bCs/>
              </w:rPr>
            </w:pPr>
            <w:r w:rsidRPr="00B166E6">
              <w:rPr>
                <w:rFonts w:ascii="仿宋_GB2312" w:eastAsia="仿宋_GB2312" w:hint="eastAsia"/>
                <w:b/>
                <w:bCs/>
              </w:rPr>
              <w:t>6</w:t>
            </w:r>
            <w:r w:rsidR="00B94CA7" w:rsidRPr="00B166E6">
              <w:rPr>
                <w:rFonts w:ascii="仿宋_GB2312" w:eastAsia="仿宋_GB2312" w:hint="eastAsia"/>
                <w:b/>
                <w:bCs/>
              </w:rPr>
              <w:t>.公司自备电厂所发电量是否</w:t>
            </w:r>
            <w:proofErr w:type="gramStart"/>
            <w:r w:rsidR="00B94CA7" w:rsidRPr="00B166E6">
              <w:rPr>
                <w:rFonts w:ascii="仿宋_GB2312" w:eastAsia="仿宋_GB2312" w:hint="eastAsia"/>
                <w:b/>
                <w:bCs/>
              </w:rPr>
              <w:t>够生产</w:t>
            </w:r>
            <w:proofErr w:type="gramEnd"/>
            <w:r w:rsidR="00B94CA7" w:rsidRPr="00B166E6">
              <w:rPr>
                <w:rFonts w:ascii="仿宋_GB2312" w:eastAsia="仿宋_GB2312" w:hint="eastAsia"/>
                <w:b/>
                <w:bCs/>
              </w:rPr>
              <w:t>所需？</w:t>
            </w:r>
            <w:r w:rsidR="00C32AFB" w:rsidRPr="00B166E6">
              <w:rPr>
                <w:rFonts w:ascii="仿宋_GB2312" w:eastAsia="仿宋_GB2312"/>
                <w:b/>
                <w:bCs/>
              </w:rPr>
              <w:t xml:space="preserve"> </w:t>
            </w:r>
          </w:p>
          <w:p w14:paraId="786F64AA" w14:textId="22FF9110" w:rsidR="00B94CA7" w:rsidRPr="00B166E6" w:rsidRDefault="00B94CA7" w:rsidP="0058640B">
            <w:pPr>
              <w:spacing w:line="440" w:lineRule="exact"/>
              <w:ind w:firstLineChars="200" w:firstLine="560"/>
              <w:rPr>
                <w:rFonts w:ascii="仿宋_GB2312" w:eastAsia="仿宋_GB2312"/>
              </w:rPr>
            </w:pPr>
            <w:r w:rsidRPr="00B166E6">
              <w:rPr>
                <w:rFonts w:ascii="仿宋_GB2312" w:eastAsia="仿宋_GB2312" w:hint="eastAsia"/>
              </w:rPr>
              <w:t>答：</w:t>
            </w:r>
            <w:r w:rsidR="00C32AFB" w:rsidRPr="00B166E6">
              <w:rPr>
                <w:rFonts w:ascii="仿宋_GB2312" w:eastAsia="仿宋_GB2312" w:hint="eastAsia"/>
              </w:rPr>
              <w:t>公司设计发电装置为4x125MW+2x25MW，年设计发电能力约为40亿度，主要用于公司聚氯乙烯、烧碱、</w:t>
            </w:r>
            <w:r w:rsidR="00C32AFB" w:rsidRPr="00B166E6">
              <w:rPr>
                <w:rFonts w:ascii="仿宋_GB2312" w:eastAsia="仿宋_GB2312" w:hint="eastAsia"/>
              </w:rPr>
              <w:lastRenderedPageBreak/>
              <w:t>水泥等生产及生活区等用电，尚需外购部分动力</w:t>
            </w:r>
            <w:proofErr w:type="gramStart"/>
            <w:r w:rsidR="00C32AFB" w:rsidRPr="00B166E6">
              <w:rPr>
                <w:rFonts w:ascii="仿宋_GB2312" w:eastAsia="仿宋_GB2312" w:hint="eastAsia"/>
              </w:rPr>
              <w:t>电满足</w:t>
            </w:r>
            <w:proofErr w:type="gramEnd"/>
            <w:r w:rsidR="00C32AFB" w:rsidRPr="00B166E6">
              <w:rPr>
                <w:rFonts w:ascii="仿宋_GB2312" w:eastAsia="仿宋_GB2312" w:hint="eastAsia"/>
              </w:rPr>
              <w:t>生产用电需求。</w:t>
            </w:r>
          </w:p>
          <w:p w14:paraId="1599A64D" w14:textId="1F71F07C" w:rsidR="00C32AFB" w:rsidRPr="00B166E6" w:rsidRDefault="003B6957" w:rsidP="0058640B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</w:rPr>
            </w:pPr>
            <w:r w:rsidRPr="00B166E6">
              <w:rPr>
                <w:rFonts w:ascii="仿宋_GB2312" w:eastAsia="仿宋_GB2312" w:hint="eastAsia"/>
                <w:b/>
              </w:rPr>
              <w:t>7</w:t>
            </w:r>
            <w:r w:rsidR="00DF7CD8" w:rsidRPr="00B166E6">
              <w:rPr>
                <w:rFonts w:ascii="仿宋_GB2312" w:eastAsia="仿宋_GB2312" w:hint="eastAsia"/>
                <w:b/>
              </w:rPr>
              <w:t>.</w:t>
            </w:r>
            <w:r w:rsidR="00C32AFB" w:rsidRPr="00B166E6">
              <w:rPr>
                <w:rFonts w:ascii="仿宋_GB2312" w:eastAsia="仿宋_GB2312" w:hint="eastAsia"/>
                <w:b/>
              </w:rPr>
              <w:t xml:space="preserve">公司光伏发电项目产能达到多少？ </w:t>
            </w:r>
          </w:p>
          <w:p w14:paraId="71E05724" w14:textId="77777777" w:rsidR="00C32AFB" w:rsidRPr="00B166E6" w:rsidRDefault="0075465E" w:rsidP="0058640B">
            <w:pPr>
              <w:spacing w:line="440" w:lineRule="exact"/>
              <w:ind w:firstLineChars="200" w:firstLine="560"/>
              <w:rPr>
                <w:rFonts w:ascii="仿宋_GB2312" w:eastAsia="仿宋_GB2312"/>
              </w:rPr>
            </w:pPr>
            <w:r w:rsidRPr="00B166E6">
              <w:rPr>
                <w:rFonts w:ascii="仿宋_GB2312" w:eastAsia="仿宋_GB2312" w:hint="eastAsia"/>
              </w:rPr>
              <w:t>答：</w:t>
            </w:r>
            <w:r w:rsidR="00C32AFB" w:rsidRPr="00B166E6">
              <w:rPr>
                <w:rFonts w:ascii="仿宋_GB2312" w:eastAsia="仿宋_GB2312" w:hint="eastAsia"/>
              </w:rPr>
              <w:t>公司300MW光伏电站现已全容量并网。根据国家电网相关政策，目前公司300MW光伏发电项目所发电量全部上网销售，项目每年预计发电量5-6亿度。</w:t>
            </w:r>
          </w:p>
          <w:p w14:paraId="1E892D09" w14:textId="788BA195" w:rsidR="00B94CA7" w:rsidRPr="00B166E6" w:rsidRDefault="003B6957" w:rsidP="0058640B">
            <w:pPr>
              <w:spacing w:line="440" w:lineRule="exact"/>
              <w:ind w:firstLineChars="200" w:firstLine="562"/>
              <w:rPr>
                <w:rFonts w:ascii="仿宋_GB2312" w:eastAsia="仿宋_GB2312" w:hAnsi="宋体" w:cs="宋体"/>
                <w:b/>
                <w:kern w:val="0"/>
                <w:lang w:bidi="zh-CN"/>
              </w:rPr>
            </w:pPr>
            <w:r w:rsidRPr="00B166E6">
              <w:rPr>
                <w:rFonts w:ascii="仿宋_GB2312" w:eastAsia="仿宋_GB2312" w:hAnsi="宋体" w:cs="宋体" w:hint="eastAsia"/>
                <w:b/>
                <w:kern w:val="0"/>
                <w:lang w:bidi="zh-CN"/>
              </w:rPr>
              <w:t>8</w:t>
            </w:r>
            <w:r w:rsidR="004871E3" w:rsidRPr="00B166E6">
              <w:rPr>
                <w:rFonts w:ascii="仿宋_GB2312" w:eastAsia="仿宋_GB2312" w:hAnsi="宋体" w:cs="宋体" w:hint="eastAsia"/>
                <w:b/>
                <w:kern w:val="0"/>
                <w:lang w:bidi="zh-CN"/>
              </w:rPr>
              <w:t>.公司是否开展</w:t>
            </w:r>
            <w:r w:rsidR="009878E9" w:rsidRPr="00B166E6">
              <w:rPr>
                <w:rFonts w:ascii="仿宋_GB2312" w:eastAsia="仿宋_GB2312" w:hAnsi="宋体" w:cs="宋体" w:hint="eastAsia"/>
                <w:b/>
                <w:kern w:val="0"/>
                <w:lang w:bidi="zh-CN"/>
              </w:rPr>
              <w:t>期货</w:t>
            </w:r>
            <w:r w:rsidR="004871E3" w:rsidRPr="00B166E6">
              <w:rPr>
                <w:rFonts w:ascii="仿宋_GB2312" w:eastAsia="仿宋_GB2312" w:hAnsi="宋体" w:cs="宋体" w:hint="eastAsia"/>
                <w:b/>
                <w:kern w:val="0"/>
                <w:lang w:bidi="zh-CN"/>
              </w:rPr>
              <w:t>套期保值业务？</w:t>
            </w:r>
          </w:p>
          <w:p w14:paraId="069B708A" w14:textId="77777777" w:rsidR="000665D3" w:rsidRPr="00B166E6" w:rsidRDefault="0075465E" w:rsidP="0058640B">
            <w:pPr>
              <w:spacing w:line="440" w:lineRule="exact"/>
              <w:ind w:firstLineChars="200" w:firstLine="560"/>
              <w:rPr>
                <w:rFonts w:ascii="仿宋_GB2312" w:eastAsia="仿宋_GB2312"/>
                <w:lang w:bidi="zh-CN"/>
              </w:rPr>
            </w:pPr>
            <w:r w:rsidRPr="00B166E6">
              <w:rPr>
                <w:rFonts w:ascii="仿宋_GB2312" w:eastAsia="仿宋_GB2312" w:hint="eastAsia"/>
              </w:rPr>
              <w:t>答：</w:t>
            </w:r>
            <w:r w:rsidR="00C32AFB" w:rsidRPr="00B166E6">
              <w:rPr>
                <w:rFonts w:ascii="仿宋_GB2312" w:eastAsia="仿宋_GB2312" w:hint="eastAsia"/>
                <w:lang w:bidi="zh-CN"/>
              </w:rPr>
              <w:t>公司本着审慎的原则，严格按照相关制度，根据自身生产、销售情况及产品市场价格波动和</w:t>
            </w:r>
            <w:proofErr w:type="gramStart"/>
            <w:r w:rsidR="00C32AFB" w:rsidRPr="00B166E6">
              <w:rPr>
                <w:rFonts w:ascii="仿宋_GB2312" w:eastAsia="仿宋_GB2312" w:hint="eastAsia"/>
                <w:lang w:bidi="zh-CN"/>
              </w:rPr>
              <w:t>期货基差变化</w:t>
            </w:r>
            <w:proofErr w:type="gramEnd"/>
            <w:r w:rsidR="00C32AFB" w:rsidRPr="00B166E6">
              <w:rPr>
                <w:rFonts w:ascii="仿宋_GB2312" w:eastAsia="仿宋_GB2312" w:hint="eastAsia"/>
                <w:lang w:bidi="zh-CN"/>
              </w:rPr>
              <w:t>，适时开展套期保值业务，</w:t>
            </w:r>
            <w:r w:rsidR="000665D3" w:rsidRPr="00B166E6">
              <w:rPr>
                <w:rFonts w:ascii="仿宋_GB2312" w:eastAsia="仿宋_GB2312" w:hint="eastAsia"/>
                <w:lang w:bidi="zh-CN"/>
              </w:rPr>
              <w:t>以降低价格波动对公司生产经营的影响。</w:t>
            </w:r>
          </w:p>
          <w:p w14:paraId="51BA8D50" w14:textId="77777777" w:rsidR="003B6957" w:rsidRPr="00B166E6" w:rsidRDefault="003B6957" w:rsidP="0058640B">
            <w:pPr>
              <w:spacing w:line="440" w:lineRule="exact"/>
              <w:ind w:firstLineChars="200" w:firstLine="562"/>
              <w:rPr>
                <w:rFonts w:ascii="仿宋_GB2312" w:eastAsia="仿宋_GB2312"/>
                <w:b/>
              </w:rPr>
            </w:pPr>
            <w:r w:rsidRPr="00B166E6">
              <w:rPr>
                <w:rFonts w:ascii="仿宋_GB2312" w:eastAsia="仿宋_GB2312" w:hint="eastAsia"/>
                <w:b/>
              </w:rPr>
              <w:t>9.公司有大股东增</w:t>
            </w:r>
            <w:proofErr w:type="gramStart"/>
            <w:r w:rsidRPr="00B166E6">
              <w:rPr>
                <w:rFonts w:ascii="仿宋_GB2312" w:eastAsia="仿宋_GB2312" w:hint="eastAsia"/>
                <w:b/>
              </w:rPr>
              <w:t>持或者</w:t>
            </w:r>
            <w:proofErr w:type="gramEnd"/>
            <w:r w:rsidRPr="00B166E6">
              <w:rPr>
                <w:rFonts w:ascii="仿宋_GB2312" w:eastAsia="仿宋_GB2312" w:hint="eastAsia"/>
                <w:b/>
              </w:rPr>
              <w:t>回购股票的计划吗？</w:t>
            </w:r>
          </w:p>
          <w:p w14:paraId="20681D15" w14:textId="7CCC1944" w:rsidR="00210119" w:rsidRPr="00B166E6" w:rsidRDefault="003B6957" w:rsidP="0058640B">
            <w:pPr>
              <w:spacing w:line="440" w:lineRule="exact"/>
              <w:ind w:firstLineChars="200" w:firstLine="560"/>
              <w:rPr>
                <w:rFonts w:ascii="仿宋_GB2312" w:eastAsia="仿宋_GB2312"/>
              </w:rPr>
            </w:pPr>
            <w:r w:rsidRPr="00B166E6">
              <w:rPr>
                <w:rFonts w:ascii="仿宋_GB2312" w:eastAsia="仿宋_GB2312" w:hint="eastAsia"/>
              </w:rPr>
              <w:t>答：目前公司尚未收到控股</w:t>
            </w:r>
            <w:proofErr w:type="gramStart"/>
            <w:r w:rsidRPr="00B166E6">
              <w:rPr>
                <w:rFonts w:ascii="仿宋_GB2312" w:eastAsia="仿宋_GB2312" w:hint="eastAsia"/>
              </w:rPr>
              <w:t>股东陕煤集团</w:t>
            </w:r>
            <w:proofErr w:type="gramEnd"/>
            <w:r w:rsidRPr="00B166E6">
              <w:rPr>
                <w:rFonts w:ascii="仿宋_GB2312" w:eastAsia="仿宋_GB2312" w:hint="eastAsia"/>
              </w:rPr>
              <w:t>关于增持股份的具体计划或通知，公司目前也暂无回购计划，未来如有增持或回购相关计划将按规定及时履行信息披露义务。</w:t>
            </w:r>
          </w:p>
        </w:tc>
      </w:tr>
      <w:tr w:rsidR="00B166E6" w:rsidRPr="00B166E6" w14:paraId="7CE2973B" w14:textId="77777777" w:rsidTr="00355DDE">
        <w:trPr>
          <w:trHeight w:val="432"/>
          <w:jc w:val="center"/>
        </w:trPr>
        <w:tc>
          <w:tcPr>
            <w:tcW w:w="2282" w:type="dxa"/>
            <w:vAlign w:val="center"/>
          </w:tcPr>
          <w:p w14:paraId="3BCEBBE1" w14:textId="77777777" w:rsidR="0083576C" w:rsidRPr="00B166E6" w:rsidRDefault="00F606A4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lastRenderedPageBreak/>
              <w:t>附件清单（如有）</w:t>
            </w:r>
          </w:p>
        </w:tc>
        <w:tc>
          <w:tcPr>
            <w:tcW w:w="6927" w:type="dxa"/>
            <w:gridSpan w:val="2"/>
            <w:vAlign w:val="center"/>
          </w:tcPr>
          <w:p w14:paraId="050A72CB" w14:textId="77777777" w:rsidR="0083576C" w:rsidRPr="00B166E6" w:rsidRDefault="00F606A4">
            <w:pPr>
              <w:autoSpaceDE w:val="0"/>
              <w:autoSpaceDN w:val="0"/>
              <w:spacing w:before="4" w:line="580" w:lineRule="exact"/>
              <w:jc w:val="left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无</w:t>
            </w:r>
          </w:p>
        </w:tc>
      </w:tr>
      <w:tr w:rsidR="00B166E6" w:rsidRPr="00B166E6" w14:paraId="708AE780" w14:textId="77777777" w:rsidTr="00355DDE">
        <w:trPr>
          <w:trHeight w:val="595"/>
          <w:jc w:val="center"/>
        </w:trPr>
        <w:tc>
          <w:tcPr>
            <w:tcW w:w="2282" w:type="dxa"/>
            <w:vAlign w:val="center"/>
          </w:tcPr>
          <w:p w14:paraId="1BD0A933" w14:textId="77777777" w:rsidR="0083576C" w:rsidRPr="00B166E6" w:rsidRDefault="00F606A4">
            <w:pPr>
              <w:autoSpaceDE w:val="0"/>
              <w:autoSpaceDN w:val="0"/>
              <w:spacing w:before="4" w:line="580" w:lineRule="exact"/>
              <w:jc w:val="center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日期</w:t>
            </w:r>
          </w:p>
        </w:tc>
        <w:tc>
          <w:tcPr>
            <w:tcW w:w="6927" w:type="dxa"/>
            <w:gridSpan w:val="2"/>
            <w:vAlign w:val="center"/>
          </w:tcPr>
          <w:p w14:paraId="2EF7B942" w14:textId="44A808C4" w:rsidR="0083576C" w:rsidRPr="00B166E6" w:rsidRDefault="00F606A4" w:rsidP="00FC51A7">
            <w:pPr>
              <w:autoSpaceDE w:val="0"/>
              <w:autoSpaceDN w:val="0"/>
              <w:spacing w:before="4" w:line="580" w:lineRule="exact"/>
              <w:jc w:val="left"/>
              <w:rPr>
                <w:rFonts w:ascii="仿宋_GB2312" w:eastAsia="仿宋_GB2312" w:hAnsi="宋体" w:cs="宋体"/>
                <w:kern w:val="0"/>
                <w:lang w:val="zh-CN" w:bidi="zh-CN"/>
              </w:rPr>
            </w:pPr>
            <w:r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2</w:t>
            </w:r>
            <w:r w:rsidRPr="00B166E6">
              <w:rPr>
                <w:rFonts w:ascii="仿宋_GB2312" w:eastAsia="仿宋_GB2312" w:hAnsi="宋体" w:cs="宋体"/>
                <w:kern w:val="0"/>
                <w:lang w:val="zh-CN" w:bidi="zh-CN"/>
              </w:rPr>
              <w:t>02</w:t>
            </w:r>
            <w:r w:rsidR="00FC51A7"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5</w:t>
            </w:r>
            <w:r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年</w:t>
            </w:r>
            <w:r w:rsidR="00FC51A7"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3</w:t>
            </w:r>
            <w:r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月</w:t>
            </w:r>
            <w:r w:rsidR="00FC51A7"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12</w:t>
            </w:r>
            <w:r w:rsidRPr="00B166E6">
              <w:rPr>
                <w:rFonts w:ascii="仿宋_GB2312" w:eastAsia="仿宋_GB2312" w:hAnsi="宋体" w:cs="宋体" w:hint="eastAsia"/>
                <w:kern w:val="0"/>
                <w:lang w:val="zh-CN" w:bidi="zh-CN"/>
              </w:rPr>
              <w:t>日</w:t>
            </w:r>
          </w:p>
        </w:tc>
      </w:tr>
    </w:tbl>
    <w:p w14:paraId="1BE00121" w14:textId="77777777" w:rsidR="0083576C" w:rsidRDefault="00F606A4">
      <w:pPr>
        <w:autoSpaceDE w:val="0"/>
        <w:autoSpaceDN w:val="0"/>
        <w:spacing w:line="580" w:lineRule="exact"/>
        <w:ind w:firstLineChars="200" w:firstLine="560"/>
        <w:rPr>
          <w:rFonts w:ascii="仿宋_GB2312" w:eastAsia="仿宋_GB2312" w:hAnsi="宋体" w:cs="宋体"/>
          <w:kern w:val="0"/>
          <w:lang w:bidi="zh-CN"/>
        </w:rPr>
      </w:pPr>
      <w:r w:rsidRPr="00B166E6">
        <w:rPr>
          <w:rFonts w:ascii="黑体" w:eastAsia="黑体" w:hAnsi="黑体" w:cs="宋体"/>
          <w:kern w:val="0"/>
          <w:lang w:val="zh-CN" w:bidi="zh-CN"/>
        </w:rPr>
        <w:t>风险提示：</w:t>
      </w:r>
      <w:r w:rsidRPr="00B166E6">
        <w:rPr>
          <w:rFonts w:ascii="仿宋_GB2312" w:eastAsia="仿宋_GB2312" w:hAnsi="宋体" w:cs="宋体" w:hint="eastAsia"/>
          <w:kern w:val="0"/>
          <w:lang w:val="zh-CN" w:bidi="zh-CN"/>
        </w:rPr>
        <w:t>以上如涉及对行业的预测、公司发展战略规划等相关内容，不能视作公司或公司管理层对行业、公司发展的承诺和保证，敬请广大投资者注意投资</w:t>
      </w:r>
      <w:r>
        <w:rPr>
          <w:rFonts w:ascii="仿宋_GB2312" w:eastAsia="仿宋_GB2312" w:hAnsi="宋体" w:cs="宋体" w:hint="eastAsia"/>
          <w:kern w:val="0"/>
          <w:lang w:val="zh-CN" w:bidi="zh-CN"/>
        </w:rPr>
        <w:t>风险。</w:t>
      </w:r>
    </w:p>
    <w:sectPr w:rsidR="0083576C">
      <w:footerReference w:type="even" r:id="rId8"/>
      <w:footerReference w:type="default" r:id="rId9"/>
      <w:pgSz w:w="11906" w:h="16838"/>
      <w:pgMar w:top="2098" w:right="1418" w:bottom="1588" w:left="1588" w:header="851" w:footer="992" w:gutter="0"/>
      <w:pgNumType w:fmt="numberInDash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3AD55" w14:textId="77777777" w:rsidR="0066042F" w:rsidRDefault="0066042F">
      <w:r>
        <w:separator/>
      </w:r>
    </w:p>
  </w:endnote>
  <w:endnote w:type="continuationSeparator" w:id="0">
    <w:p w14:paraId="78CB3D69" w14:textId="77777777" w:rsidR="0066042F" w:rsidRDefault="0066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044372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6DC50A7C" w14:textId="518C68E8" w:rsidR="0083576C" w:rsidRPr="00726F77" w:rsidRDefault="00F606A4" w:rsidP="00726F77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33C55" w:rsidRPr="00433C5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33C5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258449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AF6C9D7" w14:textId="12A17615" w:rsidR="0083576C" w:rsidRPr="00726F77" w:rsidRDefault="00F606A4" w:rsidP="00726F77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33C55" w:rsidRPr="00433C5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33C5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CE289" w14:textId="77777777" w:rsidR="0066042F" w:rsidRDefault="0066042F">
      <w:r>
        <w:separator/>
      </w:r>
    </w:p>
  </w:footnote>
  <w:footnote w:type="continuationSeparator" w:id="0">
    <w:p w14:paraId="3F7C06A5" w14:textId="77777777" w:rsidR="0066042F" w:rsidRDefault="00660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40"/>
  <w:drawingGridVerticalSpacing w:val="3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TQyZjQyYjcyOTliYmI1MTBmY2UwN2ViYTVkNmUifQ=="/>
  </w:docVars>
  <w:rsids>
    <w:rsidRoot w:val="001147C4"/>
    <w:rsid w:val="00003922"/>
    <w:rsid w:val="000211A3"/>
    <w:rsid w:val="00025E27"/>
    <w:rsid w:val="000269AE"/>
    <w:rsid w:val="0004162F"/>
    <w:rsid w:val="000440F7"/>
    <w:rsid w:val="000466EA"/>
    <w:rsid w:val="00047860"/>
    <w:rsid w:val="0005278C"/>
    <w:rsid w:val="00061F83"/>
    <w:rsid w:val="000665D3"/>
    <w:rsid w:val="0008089E"/>
    <w:rsid w:val="00084C7C"/>
    <w:rsid w:val="00086830"/>
    <w:rsid w:val="00092020"/>
    <w:rsid w:val="0009760A"/>
    <w:rsid w:val="000A2EBD"/>
    <w:rsid w:val="000A511C"/>
    <w:rsid w:val="000C35BC"/>
    <w:rsid w:val="000D710E"/>
    <w:rsid w:val="000E65B0"/>
    <w:rsid w:val="000F31E7"/>
    <w:rsid w:val="00103704"/>
    <w:rsid w:val="00106554"/>
    <w:rsid w:val="00111758"/>
    <w:rsid w:val="00113797"/>
    <w:rsid w:val="001147C4"/>
    <w:rsid w:val="00120901"/>
    <w:rsid w:val="00135A8C"/>
    <w:rsid w:val="00136B82"/>
    <w:rsid w:val="00137313"/>
    <w:rsid w:val="00140080"/>
    <w:rsid w:val="00146385"/>
    <w:rsid w:val="00147ABA"/>
    <w:rsid w:val="00156109"/>
    <w:rsid w:val="001628B6"/>
    <w:rsid w:val="00164EA4"/>
    <w:rsid w:val="001670B7"/>
    <w:rsid w:val="001724EE"/>
    <w:rsid w:val="00174959"/>
    <w:rsid w:val="00176DE0"/>
    <w:rsid w:val="00181D8B"/>
    <w:rsid w:val="00194B61"/>
    <w:rsid w:val="0019503B"/>
    <w:rsid w:val="001C2C70"/>
    <w:rsid w:val="001C2E77"/>
    <w:rsid w:val="001C39E7"/>
    <w:rsid w:val="001C3D8B"/>
    <w:rsid w:val="001E2657"/>
    <w:rsid w:val="001E607A"/>
    <w:rsid w:val="002051E4"/>
    <w:rsid w:val="00210119"/>
    <w:rsid w:val="00215920"/>
    <w:rsid w:val="0021713E"/>
    <w:rsid w:val="00217AC3"/>
    <w:rsid w:val="00220337"/>
    <w:rsid w:val="00227AC9"/>
    <w:rsid w:val="00231756"/>
    <w:rsid w:val="00234613"/>
    <w:rsid w:val="00236D71"/>
    <w:rsid w:val="002456C1"/>
    <w:rsid w:val="00250550"/>
    <w:rsid w:val="00252D38"/>
    <w:rsid w:val="002655B8"/>
    <w:rsid w:val="00266CF6"/>
    <w:rsid w:val="00271A80"/>
    <w:rsid w:val="00272B8C"/>
    <w:rsid w:val="00275933"/>
    <w:rsid w:val="00293845"/>
    <w:rsid w:val="002A0CAF"/>
    <w:rsid w:val="002C5404"/>
    <w:rsid w:val="002C5CF4"/>
    <w:rsid w:val="002C64C7"/>
    <w:rsid w:val="002E08AD"/>
    <w:rsid w:val="002F1C7C"/>
    <w:rsid w:val="002F48BB"/>
    <w:rsid w:val="002F62AE"/>
    <w:rsid w:val="003003A8"/>
    <w:rsid w:val="00301A75"/>
    <w:rsid w:val="00313773"/>
    <w:rsid w:val="00325B14"/>
    <w:rsid w:val="00334976"/>
    <w:rsid w:val="00345A4A"/>
    <w:rsid w:val="00345E5A"/>
    <w:rsid w:val="00353345"/>
    <w:rsid w:val="00355DDE"/>
    <w:rsid w:val="003561EE"/>
    <w:rsid w:val="00362050"/>
    <w:rsid w:val="0037288B"/>
    <w:rsid w:val="00374043"/>
    <w:rsid w:val="00374E9F"/>
    <w:rsid w:val="0037797D"/>
    <w:rsid w:val="00383548"/>
    <w:rsid w:val="0038463D"/>
    <w:rsid w:val="003A08C7"/>
    <w:rsid w:val="003A0CBC"/>
    <w:rsid w:val="003A1123"/>
    <w:rsid w:val="003A4A1D"/>
    <w:rsid w:val="003A66F4"/>
    <w:rsid w:val="003B200B"/>
    <w:rsid w:val="003B5F72"/>
    <w:rsid w:val="003B6957"/>
    <w:rsid w:val="003C0B5D"/>
    <w:rsid w:val="003C4940"/>
    <w:rsid w:val="003C6D9D"/>
    <w:rsid w:val="003D1D22"/>
    <w:rsid w:val="003E1D47"/>
    <w:rsid w:val="003E615A"/>
    <w:rsid w:val="003E7191"/>
    <w:rsid w:val="003F4EAB"/>
    <w:rsid w:val="003F7E23"/>
    <w:rsid w:val="00400168"/>
    <w:rsid w:val="00402FF2"/>
    <w:rsid w:val="0040351B"/>
    <w:rsid w:val="00404149"/>
    <w:rsid w:val="0041794A"/>
    <w:rsid w:val="004217AB"/>
    <w:rsid w:val="00423810"/>
    <w:rsid w:val="00430ED3"/>
    <w:rsid w:val="00431911"/>
    <w:rsid w:val="00433C55"/>
    <w:rsid w:val="00435878"/>
    <w:rsid w:val="004359A7"/>
    <w:rsid w:val="00435E8F"/>
    <w:rsid w:val="004403AE"/>
    <w:rsid w:val="00441AFA"/>
    <w:rsid w:val="00443B7A"/>
    <w:rsid w:val="00444FE3"/>
    <w:rsid w:val="004541D7"/>
    <w:rsid w:val="0046119B"/>
    <w:rsid w:val="00474D89"/>
    <w:rsid w:val="00483C27"/>
    <w:rsid w:val="00486BD3"/>
    <w:rsid w:val="004871E3"/>
    <w:rsid w:val="004904D4"/>
    <w:rsid w:val="00495D5F"/>
    <w:rsid w:val="004A141D"/>
    <w:rsid w:val="004A30FF"/>
    <w:rsid w:val="004A45C3"/>
    <w:rsid w:val="004A5A1C"/>
    <w:rsid w:val="004B37B7"/>
    <w:rsid w:val="004B51E6"/>
    <w:rsid w:val="004C6BE3"/>
    <w:rsid w:val="004D5E09"/>
    <w:rsid w:val="004D62F2"/>
    <w:rsid w:val="004D6E48"/>
    <w:rsid w:val="004E5A9F"/>
    <w:rsid w:val="004E5F20"/>
    <w:rsid w:val="004E6ACE"/>
    <w:rsid w:val="004E7607"/>
    <w:rsid w:val="004F2A26"/>
    <w:rsid w:val="00514F47"/>
    <w:rsid w:val="00523459"/>
    <w:rsid w:val="00534A41"/>
    <w:rsid w:val="005414C8"/>
    <w:rsid w:val="005504F6"/>
    <w:rsid w:val="005671A6"/>
    <w:rsid w:val="0057108A"/>
    <w:rsid w:val="00572411"/>
    <w:rsid w:val="00573446"/>
    <w:rsid w:val="005817F2"/>
    <w:rsid w:val="0058479F"/>
    <w:rsid w:val="0058640B"/>
    <w:rsid w:val="005A00F7"/>
    <w:rsid w:val="005A2204"/>
    <w:rsid w:val="005B3F99"/>
    <w:rsid w:val="005B57AA"/>
    <w:rsid w:val="005E417E"/>
    <w:rsid w:val="005F16F0"/>
    <w:rsid w:val="006155C3"/>
    <w:rsid w:val="0062534E"/>
    <w:rsid w:val="00651C5D"/>
    <w:rsid w:val="0066042F"/>
    <w:rsid w:val="00670154"/>
    <w:rsid w:val="006842A6"/>
    <w:rsid w:val="00686520"/>
    <w:rsid w:val="00694EFE"/>
    <w:rsid w:val="006A24B5"/>
    <w:rsid w:val="006B670C"/>
    <w:rsid w:val="006D626F"/>
    <w:rsid w:val="006D66C9"/>
    <w:rsid w:val="006E1B34"/>
    <w:rsid w:val="006E3C0C"/>
    <w:rsid w:val="006F1F39"/>
    <w:rsid w:val="006F5FCE"/>
    <w:rsid w:val="006F7094"/>
    <w:rsid w:val="00702982"/>
    <w:rsid w:val="00706A0A"/>
    <w:rsid w:val="007126FA"/>
    <w:rsid w:val="00715E30"/>
    <w:rsid w:val="0072370F"/>
    <w:rsid w:val="00726F77"/>
    <w:rsid w:val="00727C93"/>
    <w:rsid w:val="00733235"/>
    <w:rsid w:val="007409E8"/>
    <w:rsid w:val="00743F7F"/>
    <w:rsid w:val="0075465E"/>
    <w:rsid w:val="007610D3"/>
    <w:rsid w:val="00762B89"/>
    <w:rsid w:val="00762D57"/>
    <w:rsid w:val="00764E64"/>
    <w:rsid w:val="00773E6D"/>
    <w:rsid w:val="00775C1A"/>
    <w:rsid w:val="00776251"/>
    <w:rsid w:val="00783C3B"/>
    <w:rsid w:val="007868FD"/>
    <w:rsid w:val="00791263"/>
    <w:rsid w:val="00794416"/>
    <w:rsid w:val="007A2610"/>
    <w:rsid w:val="007A505C"/>
    <w:rsid w:val="007A767B"/>
    <w:rsid w:val="007B06B7"/>
    <w:rsid w:val="007B11BA"/>
    <w:rsid w:val="007B263D"/>
    <w:rsid w:val="007B5682"/>
    <w:rsid w:val="007B6078"/>
    <w:rsid w:val="007C0D56"/>
    <w:rsid w:val="007C1F8E"/>
    <w:rsid w:val="007C5D72"/>
    <w:rsid w:val="007E022E"/>
    <w:rsid w:val="007E2231"/>
    <w:rsid w:val="007E55C5"/>
    <w:rsid w:val="008079BE"/>
    <w:rsid w:val="0081107E"/>
    <w:rsid w:val="00812F06"/>
    <w:rsid w:val="00814D19"/>
    <w:rsid w:val="008306C5"/>
    <w:rsid w:val="0083576C"/>
    <w:rsid w:val="00847378"/>
    <w:rsid w:val="0086111D"/>
    <w:rsid w:val="00861B4E"/>
    <w:rsid w:val="008733F9"/>
    <w:rsid w:val="0089045F"/>
    <w:rsid w:val="008A260F"/>
    <w:rsid w:val="008B4009"/>
    <w:rsid w:val="008B7805"/>
    <w:rsid w:val="008C1F67"/>
    <w:rsid w:val="008C385F"/>
    <w:rsid w:val="008C4F3D"/>
    <w:rsid w:val="008E626C"/>
    <w:rsid w:val="008F6DA0"/>
    <w:rsid w:val="0090646F"/>
    <w:rsid w:val="00914C62"/>
    <w:rsid w:val="0091797B"/>
    <w:rsid w:val="009179E8"/>
    <w:rsid w:val="00933E9D"/>
    <w:rsid w:val="00934ED0"/>
    <w:rsid w:val="00947020"/>
    <w:rsid w:val="00952344"/>
    <w:rsid w:val="0095713E"/>
    <w:rsid w:val="00970F24"/>
    <w:rsid w:val="00986149"/>
    <w:rsid w:val="009878E9"/>
    <w:rsid w:val="009900C4"/>
    <w:rsid w:val="00990618"/>
    <w:rsid w:val="0099227D"/>
    <w:rsid w:val="00995A96"/>
    <w:rsid w:val="009A618D"/>
    <w:rsid w:val="009A7367"/>
    <w:rsid w:val="009B23BF"/>
    <w:rsid w:val="009B34E4"/>
    <w:rsid w:val="009D41F2"/>
    <w:rsid w:val="009F0C20"/>
    <w:rsid w:val="009F6A25"/>
    <w:rsid w:val="009F72D3"/>
    <w:rsid w:val="00A00276"/>
    <w:rsid w:val="00A01BAD"/>
    <w:rsid w:val="00A0385E"/>
    <w:rsid w:val="00A05325"/>
    <w:rsid w:val="00A1511B"/>
    <w:rsid w:val="00A21835"/>
    <w:rsid w:val="00A31147"/>
    <w:rsid w:val="00A34FD6"/>
    <w:rsid w:val="00A42201"/>
    <w:rsid w:val="00A44E8C"/>
    <w:rsid w:val="00A45761"/>
    <w:rsid w:val="00A51603"/>
    <w:rsid w:val="00A524F8"/>
    <w:rsid w:val="00A61F4F"/>
    <w:rsid w:val="00A622EF"/>
    <w:rsid w:val="00A676CA"/>
    <w:rsid w:val="00A719A3"/>
    <w:rsid w:val="00A771B1"/>
    <w:rsid w:val="00A86595"/>
    <w:rsid w:val="00AA2D10"/>
    <w:rsid w:val="00AA57B2"/>
    <w:rsid w:val="00AA5AA4"/>
    <w:rsid w:val="00AB3405"/>
    <w:rsid w:val="00AB4EAA"/>
    <w:rsid w:val="00AB50AD"/>
    <w:rsid w:val="00AB56EC"/>
    <w:rsid w:val="00AD1FD9"/>
    <w:rsid w:val="00AD59B2"/>
    <w:rsid w:val="00AE35B6"/>
    <w:rsid w:val="00AE4B2D"/>
    <w:rsid w:val="00AE543B"/>
    <w:rsid w:val="00B04FD4"/>
    <w:rsid w:val="00B166E6"/>
    <w:rsid w:val="00B16BFD"/>
    <w:rsid w:val="00B21220"/>
    <w:rsid w:val="00B215A7"/>
    <w:rsid w:val="00B21B77"/>
    <w:rsid w:val="00B22C90"/>
    <w:rsid w:val="00B2518D"/>
    <w:rsid w:val="00B420C8"/>
    <w:rsid w:val="00B54988"/>
    <w:rsid w:val="00B60D15"/>
    <w:rsid w:val="00B6159E"/>
    <w:rsid w:val="00B67816"/>
    <w:rsid w:val="00B72E1A"/>
    <w:rsid w:val="00B75465"/>
    <w:rsid w:val="00B87163"/>
    <w:rsid w:val="00B92A48"/>
    <w:rsid w:val="00B94CA7"/>
    <w:rsid w:val="00B97AC7"/>
    <w:rsid w:val="00BA3362"/>
    <w:rsid w:val="00BA58BD"/>
    <w:rsid w:val="00BB748C"/>
    <w:rsid w:val="00BC029A"/>
    <w:rsid w:val="00BC0FEE"/>
    <w:rsid w:val="00BC3A2C"/>
    <w:rsid w:val="00BD2447"/>
    <w:rsid w:val="00BD4AE3"/>
    <w:rsid w:val="00C02D06"/>
    <w:rsid w:val="00C15302"/>
    <w:rsid w:val="00C172B9"/>
    <w:rsid w:val="00C20492"/>
    <w:rsid w:val="00C31ACB"/>
    <w:rsid w:val="00C32AFB"/>
    <w:rsid w:val="00C368BA"/>
    <w:rsid w:val="00C36D67"/>
    <w:rsid w:val="00C664EB"/>
    <w:rsid w:val="00C77DDC"/>
    <w:rsid w:val="00C85285"/>
    <w:rsid w:val="00C85E94"/>
    <w:rsid w:val="00C97152"/>
    <w:rsid w:val="00CB3DE2"/>
    <w:rsid w:val="00CB4F05"/>
    <w:rsid w:val="00CC51E1"/>
    <w:rsid w:val="00CC5F17"/>
    <w:rsid w:val="00CC67BE"/>
    <w:rsid w:val="00CD1471"/>
    <w:rsid w:val="00CE3229"/>
    <w:rsid w:val="00CF27F4"/>
    <w:rsid w:val="00CF28A3"/>
    <w:rsid w:val="00D07BE5"/>
    <w:rsid w:val="00D13883"/>
    <w:rsid w:val="00D228BA"/>
    <w:rsid w:val="00D26384"/>
    <w:rsid w:val="00D30E54"/>
    <w:rsid w:val="00D32645"/>
    <w:rsid w:val="00D33DA6"/>
    <w:rsid w:val="00D40C84"/>
    <w:rsid w:val="00D46A7A"/>
    <w:rsid w:val="00D51477"/>
    <w:rsid w:val="00D52A75"/>
    <w:rsid w:val="00D6689F"/>
    <w:rsid w:val="00D74400"/>
    <w:rsid w:val="00D81885"/>
    <w:rsid w:val="00D972B1"/>
    <w:rsid w:val="00DA702C"/>
    <w:rsid w:val="00DB024A"/>
    <w:rsid w:val="00DB4E69"/>
    <w:rsid w:val="00DB6FAB"/>
    <w:rsid w:val="00DC0F67"/>
    <w:rsid w:val="00DC201B"/>
    <w:rsid w:val="00DC5BEC"/>
    <w:rsid w:val="00DD31FE"/>
    <w:rsid w:val="00DF6486"/>
    <w:rsid w:val="00DF7CD8"/>
    <w:rsid w:val="00E00616"/>
    <w:rsid w:val="00E0456E"/>
    <w:rsid w:val="00E15438"/>
    <w:rsid w:val="00E16406"/>
    <w:rsid w:val="00E25DE0"/>
    <w:rsid w:val="00E3085F"/>
    <w:rsid w:val="00E331FD"/>
    <w:rsid w:val="00E36B80"/>
    <w:rsid w:val="00E617BC"/>
    <w:rsid w:val="00E6555C"/>
    <w:rsid w:val="00E80F99"/>
    <w:rsid w:val="00E82D2C"/>
    <w:rsid w:val="00E841F7"/>
    <w:rsid w:val="00E85DF3"/>
    <w:rsid w:val="00EA6C11"/>
    <w:rsid w:val="00EB545B"/>
    <w:rsid w:val="00EC52C6"/>
    <w:rsid w:val="00EC5534"/>
    <w:rsid w:val="00EC6212"/>
    <w:rsid w:val="00ED65C7"/>
    <w:rsid w:val="00ED6DD1"/>
    <w:rsid w:val="00ED7B00"/>
    <w:rsid w:val="00EE5EB3"/>
    <w:rsid w:val="00EF2977"/>
    <w:rsid w:val="00EF39EE"/>
    <w:rsid w:val="00EF73B3"/>
    <w:rsid w:val="00F03637"/>
    <w:rsid w:val="00F071EC"/>
    <w:rsid w:val="00F17547"/>
    <w:rsid w:val="00F2160D"/>
    <w:rsid w:val="00F22103"/>
    <w:rsid w:val="00F23045"/>
    <w:rsid w:val="00F36059"/>
    <w:rsid w:val="00F606A4"/>
    <w:rsid w:val="00F63C65"/>
    <w:rsid w:val="00F70A41"/>
    <w:rsid w:val="00F76ECF"/>
    <w:rsid w:val="00F82472"/>
    <w:rsid w:val="00F94434"/>
    <w:rsid w:val="00F94D3F"/>
    <w:rsid w:val="00F96A54"/>
    <w:rsid w:val="00FB181B"/>
    <w:rsid w:val="00FB5491"/>
    <w:rsid w:val="00FC51A7"/>
    <w:rsid w:val="00FC5AA3"/>
    <w:rsid w:val="00FC6FD4"/>
    <w:rsid w:val="00FC7260"/>
    <w:rsid w:val="00FE2B44"/>
    <w:rsid w:val="00FE3480"/>
    <w:rsid w:val="00FE3AFF"/>
    <w:rsid w:val="00FE6940"/>
    <w:rsid w:val="00FE72EE"/>
    <w:rsid w:val="00FF5DAE"/>
    <w:rsid w:val="00FF6BA9"/>
    <w:rsid w:val="5EB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E1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/>
    <w:lsdException w:name="footer" w:semiHidden="0" w:unhideWhenUsed="0"/>
    <w:lsdException w:name="caption" w:uiPriority="35" w:qFormat="1"/>
    <w:lsdException w:name="annotation reference" w:semiHidden="0" w:uiPriority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sz w:val="24"/>
      <w:szCs w:val="24"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pPr>
      <w:ind w:left="280"/>
      <w:jc w:val="left"/>
    </w:pPr>
    <w:rPr>
      <w:smallCaps/>
      <w:sz w:val="20"/>
      <w:szCs w:val="20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rPr>
      <w:b/>
      <w:bCs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rPr>
      <w:color w:val="0000FF"/>
      <w:u w:val="single"/>
    </w:rPr>
  </w:style>
  <w:style w:type="character" w:styleId="ac">
    <w:name w:val="annotation reference"/>
    <w:basedOn w:val="a0"/>
    <w:unhideWhenUsed/>
    <w:rPr>
      <w:sz w:val="21"/>
      <w:szCs w:val="21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Pr>
      <w:rFonts w:ascii="Tahoma" w:hAnsi="Tahoma"/>
      <w:sz w:val="2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8"/>
      <w:szCs w:val="28"/>
    </w:rPr>
  </w:style>
  <w:style w:type="character" w:customStyle="1" w:styleId="Char0">
    <w:name w:val="批注文字 Char"/>
    <w:basedOn w:val="a0"/>
    <w:link w:val="a4"/>
    <w:rPr>
      <w:rFonts w:ascii="Times New Roman" w:eastAsia="宋体" w:hAnsi="Times New Roman" w:cs="Times New Roman"/>
      <w:sz w:val="28"/>
      <w:szCs w:val="28"/>
    </w:rPr>
  </w:style>
  <w:style w:type="character" w:customStyle="1" w:styleId="Char4">
    <w:name w:val="批注主题 Char"/>
    <w:basedOn w:val="Char0"/>
    <w:link w:val="a8"/>
    <w:uiPriority w:val="99"/>
    <w:semiHidden/>
    <w:rPr>
      <w:rFonts w:ascii="Times New Roman" w:eastAsia="宋体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/>
    <w:lsdException w:name="footer" w:semiHidden="0" w:unhideWhenUsed="0"/>
    <w:lsdException w:name="caption" w:uiPriority="35" w:qFormat="1"/>
    <w:lsdException w:name="annotation reference" w:semiHidden="0" w:uiPriority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sz w:val="24"/>
      <w:szCs w:val="24"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pPr>
      <w:ind w:left="280"/>
      <w:jc w:val="left"/>
    </w:pPr>
    <w:rPr>
      <w:smallCaps/>
      <w:sz w:val="20"/>
      <w:szCs w:val="20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rPr>
      <w:b/>
      <w:bCs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rPr>
      <w:color w:val="0000FF"/>
      <w:u w:val="single"/>
    </w:rPr>
  </w:style>
  <w:style w:type="character" w:styleId="ac">
    <w:name w:val="annotation reference"/>
    <w:basedOn w:val="a0"/>
    <w:unhideWhenUsed/>
    <w:rPr>
      <w:sz w:val="21"/>
      <w:szCs w:val="21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Pr>
      <w:rFonts w:ascii="Tahoma" w:hAnsi="Tahoma"/>
      <w:sz w:val="2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8"/>
      <w:szCs w:val="28"/>
    </w:rPr>
  </w:style>
  <w:style w:type="character" w:customStyle="1" w:styleId="Char0">
    <w:name w:val="批注文字 Char"/>
    <w:basedOn w:val="a0"/>
    <w:link w:val="a4"/>
    <w:rPr>
      <w:rFonts w:ascii="Times New Roman" w:eastAsia="宋体" w:hAnsi="Times New Roman" w:cs="Times New Roman"/>
      <w:sz w:val="28"/>
      <w:szCs w:val="28"/>
    </w:rPr>
  </w:style>
  <w:style w:type="character" w:customStyle="1" w:styleId="Char4">
    <w:name w:val="批注主题 Char"/>
    <w:basedOn w:val="Char0"/>
    <w:link w:val="a8"/>
    <w:uiPriority w:val="99"/>
    <w:semiHidden/>
    <w:rPr>
      <w:rFonts w:ascii="Times New Roman" w:eastAsia="宋体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A55E0-FC71-4616-8621-A0DCC129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王艳霞</cp:lastModifiedBy>
  <cp:revision>93</cp:revision>
  <cp:lastPrinted>2023-11-06T07:34:00Z</cp:lastPrinted>
  <dcterms:created xsi:type="dcterms:W3CDTF">2022-11-02T08:15:00Z</dcterms:created>
  <dcterms:modified xsi:type="dcterms:W3CDTF">2025-03-13T08:23:00Z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E04F21CF8ACF40169ED424236CA2C6DE</vt:lpwstr>
  </property>
</Properties>
</file>