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rPr>
      </w:pPr>
      <w:r>
        <w:rPr>
          <w:rFonts w:hint="eastAsia" w:ascii="仿宋_GB2312" w:hAnsi="Times New Roman" w:eastAsia="仿宋_GB2312" w:cs="Times New Roman"/>
          <w:color w:val="000000"/>
          <w:spacing w:val="12"/>
          <w:sz w:val="28"/>
        </w:rPr>
        <w:t>〔20</w:t>
      </w:r>
      <w:r>
        <w:rPr>
          <w:rFonts w:hint="eastAsia" w:ascii="仿宋_GB2312" w:hAnsi="Times New Roman" w:eastAsia="仿宋_GB2312" w:cs="Times New Roman"/>
          <w:color w:val="000000"/>
          <w:spacing w:val="12"/>
          <w:sz w:val="28"/>
          <w:lang w:val="en-US" w:eastAsia="zh-CN"/>
        </w:rPr>
        <w:t>2</w:t>
      </w:r>
      <w:r>
        <w:rPr>
          <w:rFonts w:hint="default" w:ascii="仿宋_GB2312" w:eastAsia="仿宋_GB2312" w:cs="Times New Roman"/>
          <w:color w:val="000000"/>
          <w:spacing w:val="12"/>
          <w:sz w:val="28"/>
          <w:lang w:val="en-US" w:eastAsia="zh-CN"/>
        </w:rPr>
        <w:t>5</w:t>
      </w:r>
      <w:r>
        <w:rPr>
          <w:rFonts w:hint="eastAsia" w:ascii="仿宋_GB2312" w:hAnsi="Times New Roman" w:eastAsia="仿宋_GB2312" w:cs="Times New Roman"/>
          <w:color w:val="000000"/>
          <w:spacing w:val="12"/>
          <w:sz w:val="28"/>
        </w:rPr>
        <w:t>〕</w:t>
      </w:r>
      <w:r>
        <w:rPr>
          <w:rFonts w:hint="default" w:ascii="仿宋_GB2312" w:eastAsia="仿宋_GB2312" w:cs="Times New Roman"/>
          <w:color w:val="000000"/>
          <w:spacing w:val="12"/>
          <w:sz w:val="28"/>
          <w:lang w:val="en-US"/>
        </w:rPr>
        <w:t>22</w:t>
      </w:r>
      <w:r>
        <w:rPr>
          <w:rFonts w:hint="eastAsia" w:ascii="仿宋_GB2312" w:hAnsi="Times New Roman" w:eastAsia="仿宋_GB2312" w:cs="Times New Roman"/>
          <w:color w:val="000000"/>
          <w:spacing w:val="12"/>
          <w:sz w:val="28"/>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MwvtZLWAAAA&#10;CAEAAA8AAAAAAAAAAQAgAAAAOAAAAGRycy9kb3ducmV2LnhtbFBLAQIUABQAAAAIAIdO4kAPjv5j&#10;/QEAAPUDAAAOAAAAAAAAAAEAIAAAADsBAABkcnMvZTJvRG9jLnhtbFBLAQIUAAoAAAAAAIdO4kAA&#10;AAAAAAAAAAAAAAAEAAAAAAAAAAAAEAAAABYAAABkcnMvUEsBAhQACgAAAAAAh07iQAAAAAAAAAAA&#10;AAAAAAYAAAAAAAAAAAAQAAAAZAMAAF9yZWxzL1BLBQYAAAAABgAGAFkBAACqBQAAAAA=&#10;">
                <v:fill on="f" focussize="0,0"/>
                <v:stroke weight="1pt" color="#FF0000" joinstyle="round"/>
                <v:imagedata o:title=""/>
                <o:lock v:ext="edit" aspectratio="f"/>
              </v:line>
            </w:pict>
          </mc:Fallback>
        </mc:AlternateContent>
      </w:r>
    </w:p>
    <w:p>
      <w:pPr>
        <w:jc w:val="center"/>
        <w:rPr>
          <w:rFonts w:hint="eastAsia"/>
          <w:sz w:val="28"/>
          <w:szCs w:val="28"/>
        </w:rPr>
      </w:pPr>
    </w:p>
    <w:p>
      <w:pPr>
        <w:pStyle w:val="5"/>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eastAsia" w:ascii="方正小标宋简体" w:hAnsi="方正小标宋简体" w:eastAsia="方正小标宋简体"/>
          <w:kern w:val="0"/>
          <w:sz w:val="44"/>
          <w:lang w:eastAsia="zh-CN"/>
        </w:rPr>
      </w:pPr>
      <w:bookmarkStart w:id="0" w:name="quanwen"/>
      <w:r>
        <w:rPr>
          <w:rFonts w:hint="eastAsia" w:ascii="方正小标宋简体" w:hAnsi="方正小标宋简体" w:eastAsia="方正小标宋简体"/>
          <w:kern w:val="0"/>
          <w:sz w:val="44"/>
        </w:rPr>
        <w:t>关</w:t>
      </w:r>
      <w:r>
        <w:rPr>
          <w:rFonts w:hint="eastAsia" w:ascii="方正小标宋简体" w:hAnsi="方正小标宋简体" w:eastAsia="方正小标宋简体"/>
          <w:b w:val="0"/>
          <w:bCs w:val="0"/>
          <w:kern w:val="0"/>
          <w:sz w:val="44"/>
        </w:rPr>
        <w:t>于</w:t>
      </w:r>
      <w:r>
        <w:rPr>
          <w:rFonts w:hint="eastAsia" w:ascii="方正小标宋简体" w:hAnsi="方正小标宋简体" w:eastAsia="方正小标宋简体"/>
          <w:kern w:val="0"/>
          <w:sz w:val="44"/>
        </w:rPr>
        <w:t>对</w:t>
      </w:r>
      <w:r>
        <w:rPr>
          <w:rFonts w:hint="eastAsia" w:ascii="方正小标宋简体" w:hAnsi="方正小标宋简体" w:eastAsia="方正小标宋简体"/>
          <w:kern w:val="0"/>
          <w:sz w:val="44"/>
          <w:lang w:eastAsia="zh-CN"/>
        </w:rPr>
        <w:t>岭南生态文旅股份有限公司</w:t>
      </w:r>
    </w:p>
    <w:p>
      <w:pPr>
        <w:pStyle w:val="5"/>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default" w:ascii="方正小标宋简体" w:hAnsi="方正小标宋简体" w:eastAsia="方正小标宋简体"/>
          <w:kern w:val="0"/>
          <w:sz w:val="44"/>
        </w:rPr>
      </w:pPr>
      <w:r>
        <w:rPr>
          <w:rFonts w:hint="eastAsia" w:ascii="方正小标宋简体" w:hAnsi="方正小标宋简体" w:eastAsia="方正小标宋简体"/>
          <w:kern w:val="0"/>
          <w:sz w:val="44"/>
        </w:rPr>
        <w:t>采取</w:t>
      </w:r>
      <w:r>
        <w:rPr>
          <w:rFonts w:hint="eastAsia" w:ascii="方正小标宋简体" w:hAnsi="方正小标宋简体" w:eastAsia="方正小标宋简体"/>
          <w:kern w:val="0"/>
          <w:sz w:val="44"/>
          <w:lang w:eastAsia="zh-CN"/>
        </w:rPr>
        <w:t>责令改正</w:t>
      </w:r>
      <w:r>
        <w:rPr>
          <w:rFonts w:hint="eastAsia" w:ascii="方正小标宋简体" w:hAnsi="方正小标宋简体" w:eastAsia="方正小标宋简体"/>
          <w:kern w:val="0"/>
          <w:sz w:val="44"/>
        </w:rPr>
        <w:t>措施的决定</w:t>
      </w:r>
    </w:p>
    <w:p>
      <w:pPr>
        <w:overflowPunct w:val="0"/>
        <w:adjustRightInd w:val="0"/>
        <w:snapToGrid w:val="0"/>
        <w:spacing w:afterLines="0" w:line="240" w:lineRule="auto"/>
        <w:rPr>
          <w:rFonts w:hint="eastAsia" w:ascii="方正小标宋简体" w:hAnsi="方正小标宋简体" w:eastAsia="方正小标宋简体" w:cs="方正小标宋简体"/>
          <w:spacing w:val="8"/>
          <w:kern w:val="0"/>
          <w:sz w:val="32"/>
          <w:szCs w:val="32"/>
        </w:rPr>
      </w:pPr>
    </w:p>
    <w:p>
      <w:pPr>
        <w:widowControl w:val="0"/>
        <w:overflowPunct w:val="0"/>
        <w:adjustRightInd w:val="0"/>
        <w:snapToGrid w:val="0"/>
        <w:spacing w:beforeLines="0" w:afterLines="0" w:line="336" w:lineRule="auto"/>
        <w:rPr>
          <w:rFonts w:hint="eastAsia" w:ascii="仿宋_GB2312" w:hAnsi="仿宋_GB2312" w:eastAsia="仿宋_GB2312" w:cs="仿宋_GB2312"/>
          <w:spacing w:val="0"/>
          <w:kern w:val="0"/>
          <w:sz w:val="32"/>
          <w:lang w:val="en-US" w:eastAsia="zh-CN"/>
        </w:rPr>
      </w:pPr>
      <w:r>
        <w:rPr>
          <w:rFonts w:hint="eastAsia" w:ascii="仿宋_GB2312" w:hAnsi="仿宋_GB2312" w:eastAsia="仿宋_GB2312" w:cs="仿宋_GB2312"/>
          <w:spacing w:val="0"/>
          <w:kern w:val="0"/>
          <w:sz w:val="32"/>
          <w:lang w:val="en-US" w:eastAsia="zh-CN"/>
        </w:rPr>
        <w:t>岭南生态文旅股份有限公司：</w:t>
      </w:r>
    </w:p>
    <w:p>
      <w:pPr>
        <w:widowControl w:val="0"/>
        <w:wordWrap/>
        <w:overflowPunct w:val="0"/>
        <w:adjustRightInd/>
        <w:snapToGrid w:val="0"/>
        <w:spacing w:before="0" w:beforeLines="0" w:after="0" w:afterLines="0" w:line="336" w:lineRule="auto"/>
        <w:ind w:left="0" w:leftChars="0" w:right="0" w:firstLine="640" w:firstLineChars="0"/>
        <w:jc w:val="both"/>
        <w:textAlignment w:val="auto"/>
        <w:outlineLvl w:val="9"/>
        <w:rPr>
          <w:rFonts w:hint="eastAsia" w:ascii="仿宋_GB2312" w:hAnsi="仿宋_GB2312" w:eastAsia="仿宋_GB2312" w:cs="Times New Roman"/>
          <w:kern w:val="0"/>
          <w:sz w:val="32"/>
          <w:szCs w:val="20"/>
          <w:lang w:val="en-US" w:eastAsia="zh-CN"/>
        </w:rPr>
      </w:pPr>
      <w:r>
        <w:rPr>
          <w:rFonts w:hint="eastAsia" w:ascii="仿宋_GB2312" w:hAnsi="仿宋_GB2312" w:eastAsia="仿宋_GB2312" w:cs="Times New Roman"/>
          <w:kern w:val="0"/>
          <w:sz w:val="32"/>
          <w:szCs w:val="20"/>
          <w:lang w:val="en-US" w:eastAsia="zh-CN"/>
        </w:rPr>
        <w:t>经查，我局发现你公司存在以下违规行为：</w:t>
      </w:r>
    </w:p>
    <w:p>
      <w:pPr>
        <w:pStyle w:val="2"/>
        <w:widowControl w:val="0"/>
        <w:wordWrap/>
        <w:overflowPunct/>
        <w:adjustRightInd/>
        <w:snapToGrid w:val="0"/>
        <w:spacing w:before="0" w:beforeLines="0" w:after="0" w:afterLines="0" w:line="336" w:lineRule="auto"/>
        <w:ind w:left="0" w:leftChars="0" w:right="0" w:firstLine="640" w:firstLineChars="200"/>
        <w:jc w:val="both"/>
        <w:textAlignment w:val="baseline"/>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你公司</w:t>
      </w:r>
      <w:r>
        <w:rPr>
          <w:rFonts w:hint="eastAsia" w:ascii="仿宋_GB2312" w:hAnsi="仿宋_GB2312" w:eastAsia="仿宋_GB2312" w:cs="仿宋_GB2312"/>
          <w:b w:val="0"/>
          <w:bCs w:val="0"/>
          <w:kern w:val="2"/>
          <w:sz w:val="32"/>
          <w:szCs w:val="32"/>
          <w:highlight w:val="none"/>
          <w:lang w:val="en-US" w:eastAsia="zh-CN"/>
        </w:rPr>
        <w:t>董事会</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b w:val="0"/>
          <w:bCs w:val="0"/>
          <w:kern w:val="2"/>
          <w:sz w:val="32"/>
          <w:szCs w:val="32"/>
          <w:highlight w:val="none"/>
          <w:lang w:val="en-US" w:eastAsia="zh-CN"/>
        </w:rPr>
        <w:t>2023年10月17日审议同意“使用不超过人民币2.6亿元的公开发行可转换公司债券部分闲置募集资金暂时补充流动资金，使用期限自董事会审议通过之日起不超过12个月”。2024年10月16日，你公司公告称，前期</w:t>
      </w:r>
      <w:r>
        <w:rPr>
          <w:rFonts w:hint="eastAsia" w:ascii="仿宋_GB2312" w:hAnsi="仿宋_GB2312" w:eastAsia="仿宋_GB2312" w:cs="仿宋_GB2312"/>
          <w:kern w:val="0"/>
          <w:sz w:val="32"/>
          <w:szCs w:val="32"/>
          <w:lang w:eastAsia="zh-CN"/>
        </w:rPr>
        <w:t>补充流动资金</w:t>
      </w:r>
      <w:r>
        <w:rPr>
          <w:rFonts w:hint="eastAsia" w:ascii="仿宋_GB2312" w:hAnsi="仿宋_GB2312" w:eastAsia="仿宋_GB2312" w:cs="仿宋_GB2312"/>
          <w:b w:val="0"/>
          <w:bCs w:val="0"/>
          <w:kern w:val="2"/>
          <w:sz w:val="32"/>
          <w:szCs w:val="32"/>
          <w:highlight w:val="none"/>
          <w:lang w:val="en-US" w:eastAsia="zh-CN"/>
        </w:rPr>
        <w:t>的可转债闲置募集资金余额1.56亿元已到期，公司因流动性紧张，无法按期归还至募集资金账户</w:t>
      </w:r>
      <w:r>
        <w:rPr>
          <w:rFonts w:hint="eastAsia" w:ascii="仿宋_GB2312" w:eastAsia="仿宋_GB2312" w:cs="Times New Roman"/>
          <w:i w:val="0"/>
          <w:caps w:val="0"/>
          <w:spacing w:val="0"/>
          <w:kern w:val="2"/>
          <w:sz w:val="32"/>
          <w:szCs w:val="32"/>
          <w:highlight w:val="none"/>
          <w:shd w:val="clear"/>
          <w:lang w:val="en-US" w:eastAsia="zh-CN" w:bidi="ar"/>
        </w:rPr>
        <w:t>。</w:t>
      </w:r>
      <w:r>
        <w:rPr>
          <w:rFonts w:hint="eastAsia" w:ascii="仿宋_GB2312" w:hAnsi="Times New Roman" w:eastAsia="仿宋_GB2312" w:cs="Times New Roman"/>
          <w:color w:val="000000"/>
          <w:spacing w:val="10"/>
          <w:sz w:val="32"/>
          <w:szCs w:val="32"/>
          <w:lang w:val="en-US" w:eastAsia="zh-CN"/>
        </w:rPr>
        <w:t>前期，</w:t>
      </w:r>
      <w:r>
        <w:rPr>
          <w:rFonts w:hint="eastAsia" w:ascii="仿宋_GB2312" w:hAnsi="Times New Roman" w:eastAsia="仿宋_GB2312" w:cs="Times New Roman"/>
          <w:color w:val="000000"/>
          <w:spacing w:val="10"/>
          <w:sz w:val="32"/>
          <w:szCs w:val="32"/>
          <w:lang w:eastAsia="zh-CN"/>
        </w:rPr>
        <w:t>我局已</w:t>
      </w:r>
      <w:r>
        <w:rPr>
          <w:rFonts w:hint="eastAsia" w:ascii="仿宋_GB2312" w:hAnsi="仿宋_GB2312" w:eastAsia="仿宋_GB2312" w:cs="仿宋_GB2312"/>
          <w:b w:val="0"/>
          <w:bCs w:val="0"/>
          <w:kern w:val="2"/>
          <w:sz w:val="32"/>
          <w:szCs w:val="32"/>
          <w:highlight w:val="none"/>
          <w:lang w:val="en-US" w:eastAsia="zh-CN"/>
        </w:rPr>
        <w:t>督促你公司</w:t>
      </w:r>
      <w:r>
        <w:rPr>
          <w:rFonts w:hint="eastAsia" w:ascii="仿宋_GB2312" w:hAnsi="仿宋_GB2312" w:eastAsia="仿宋_GB2312" w:cs="仿宋_GB2312"/>
          <w:kern w:val="0"/>
          <w:sz w:val="32"/>
          <w:szCs w:val="32"/>
          <w:lang w:eastAsia="zh-CN"/>
        </w:rPr>
        <w:t>积极筹措资金，尽快归还</w:t>
      </w:r>
      <w:r>
        <w:rPr>
          <w:rFonts w:hint="eastAsia" w:ascii="仿宋_GB2312" w:hAnsi="仿宋_GB2312" w:eastAsia="仿宋_GB2312" w:cs="仿宋_GB2312"/>
          <w:kern w:val="0"/>
          <w:sz w:val="32"/>
          <w:szCs w:val="32"/>
          <w:lang w:val="en-US" w:eastAsia="zh-CN"/>
        </w:rPr>
        <w:t>此前</w:t>
      </w:r>
      <w:r>
        <w:rPr>
          <w:rFonts w:hint="eastAsia" w:ascii="仿宋_GB2312" w:hAnsi="仿宋_GB2312" w:eastAsia="仿宋_GB2312" w:cs="仿宋_GB2312"/>
          <w:b w:val="0"/>
          <w:bCs w:val="0"/>
          <w:kern w:val="2"/>
          <w:sz w:val="32"/>
          <w:szCs w:val="32"/>
          <w:highlight w:val="none"/>
          <w:lang w:val="en-US" w:eastAsia="zh-CN"/>
        </w:rPr>
        <w:t>暂时</w:t>
      </w:r>
      <w:r>
        <w:rPr>
          <w:rFonts w:hint="eastAsia" w:ascii="仿宋_GB2312" w:hAnsi="仿宋_GB2312" w:eastAsia="仿宋_GB2312" w:cs="仿宋_GB2312"/>
          <w:kern w:val="0"/>
          <w:sz w:val="32"/>
          <w:szCs w:val="32"/>
          <w:lang w:eastAsia="zh-CN"/>
        </w:rPr>
        <w:t>补充流动资金</w:t>
      </w:r>
      <w:r>
        <w:rPr>
          <w:rFonts w:hint="eastAsia" w:ascii="仿宋_GB2312" w:hAnsi="仿宋_GB2312" w:eastAsia="仿宋_GB2312" w:cs="仿宋_GB2312"/>
          <w:b w:val="0"/>
          <w:bCs w:val="0"/>
          <w:kern w:val="2"/>
          <w:sz w:val="32"/>
          <w:szCs w:val="32"/>
          <w:highlight w:val="none"/>
          <w:lang w:val="en-US" w:eastAsia="zh-CN"/>
        </w:rPr>
        <w:t>的闲置募集资金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2025年1月24日，你公司已归还0.46亿元暂时补充流动资金的闲置募集资金，</w:t>
      </w:r>
      <w:r>
        <w:rPr>
          <w:rFonts w:hint="eastAsia" w:ascii="仿宋_GB2312" w:hAnsi="仿宋_GB2312" w:eastAsia="仿宋_GB2312" w:cs="仿宋_GB2312"/>
          <w:kern w:val="0"/>
          <w:sz w:val="32"/>
          <w:szCs w:val="32"/>
          <w:lang w:eastAsia="zh-CN"/>
        </w:rPr>
        <w:t>但</w:t>
      </w:r>
      <w:r>
        <w:rPr>
          <w:rFonts w:hint="eastAsia" w:ascii="仿宋_GB2312" w:eastAsia="仿宋_GB2312" w:cs="Times New Roman"/>
          <w:i w:val="0"/>
          <w:caps w:val="0"/>
          <w:spacing w:val="0"/>
          <w:kern w:val="2"/>
          <w:sz w:val="32"/>
          <w:szCs w:val="32"/>
          <w:highlight w:val="none"/>
          <w:shd w:val="clear"/>
          <w:lang w:val="en-US" w:eastAsia="zh-CN" w:bidi="ar"/>
        </w:rPr>
        <w:t>仍未全额归还</w:t>
      </w:r>
      <w:r>
        <w:rPr>
          <w:rFonts w:hint="eastAsia" w:ascii="仿宋_GB2312" w:hAnsi="仿宋_GB2312" w:eastAsia="仿宋_GB2312" w:cs="仿宋_GB2312"/>
          <w:b w:val="0"/>
          <w:bCs w:val="0"/>
          <w:kern w:val="2"/>
          <w:sz w:val="32"/>
          <w:szCs w:val="32"/>
          <w:highlight w:val="none"/>
          <w:lang w:val="en-US" w:eastAsia="zh-CN"/>
        </w:rPr>
        <w:t>暂时</w:t>
      </w:r>
      <w:r>
        <w:rPr>
          <w:rFonts w:hint="eastAsia" w:ascii="仿宋_GB2312" w:hAnsi="仿宋_GB2312" w:eastAsia="仿宋_GB2312" w:cs="仿宋_GB2312"/>
          <w:kern w:val="0"/>
          <w:sz w:val="32"/>
          <w:szCs w:val="32"/>
          <w:lang w:eastAsia="zh-CN"/>
        </w:rPr>
        <w:t>补充流动资金</w:t>
      </w:r>
      <w:r>
        <w:rPr>
          <w:rFonts w:hint="eastAsia" w:ascii="仿宋_GB2312" w:hAnsi="仿宋_GB2312" w:eastAsia="仿宋_GB2312" w:cs="仿宋_GB2312"/>
          <w:b w:val="0"/>
          <w:bCs w:val="0"/>
          <w:kern w:val="2"/>
          <w:sz w:val="32"/>
          <w:szCs w:val="32"/>
          <w:highlight w:val="none"/>
          <w:lang w:val="en-US" w:eastAsia="zh-CN"/>
        </w:rPr>
        <w:t>的闲置募集资金。</w:t>
      </w:r>
    </w:p>
    <w:p>
      <w:pPr>
        <w:widowControl w:val="0"/>
        <w:wordWrap/>
        <w:overflowPunct w:val="0"/>
        <w:adjustRightInd/>
        <w:snapToGrid w:val="0"/>
        <w:spacing w:before="0" w:beforeLines="0" w:after="0" w:afterLines="0" w:line="336" w:lineRule="auto"/>
        <w:ind w:left="0" w:leftChars="0" w:right="0" w:firstLine="640" w:firstLineChars="0"/>
        <w:jc w:val="both"/>
        <w:textAlignment w:val="auto"/>
        <w:outlineLvl w:val="9"/>
        <w:rPr>
          <w:rFonts w:hint="default"/>
          <w:spacing w:val="6"/>
          <w:kern w:val="0"/>
          <w:lang w:val="en-US" w:eastAsia="zh-CN"/>
        </w:rPr>
      </w:pPr>
      <w:r>
        <w:rPr>
          <w:rFonts w:hint="eastAsia" w:ascii="仿宋_GB2312" w:hAnsi="仿宋_GB2312" w:eastAsia="仿宋_GB2312" w:cs="仿宋_GB2312"/>
          <w:kern w:val="0"/>
          <w:sz w:val="32"/>
          <w:szCs w:val="32"/>
          <w:lang w:val="en-US" w:eastAsia="zh-CN"/>
        </w:rPr>
        <w:t>你公司上述行为，违反了</w:t>
      </w:r>
      <w:r>
        <w:rPr>
          <w:rFonts w:hint="eastAsia" w:ascii="仿宋_GB2312" w:hAnsi="仿宋_GB2312" w:eastAsia="仿宋_GB2312" w:cs="仿宋_GB2312"/>
          <w:b w:val="0"/>
          <w:bCs w:val="0"/>
          <w:kern w:val="2"/>
          <w:sz w:val="32"/>
          <w:szCs w:val="32"/>
          <w:highlight w:val="none"/>
          <w:lang w:val="en-US" w:eastAsia="zh-CN"/>
        </w:rPr>
        <w:t>《上市公司监管指引第2号——上市公司募集资金管理和使用的监管要求》（证监会公告</w:t>
      </w:r>
      <w:r>
        <w:rPr>
          <w:rFonts w:hint="eastAsia" w:ascii="仿宋_GB2312" w:hAnsi="Times New Roman" w:eastAsia="仿宋_GB2312" w:cs="Times New Roman"/>
          <w:color w:val="000000"/>
          <w:spacing w:val="12"/>
          <w:sz w:val="28"/>
        </w:rPr>
        <w:t>〔20</w:t>
      </w:r>
      <w:r>
        <w:rPr>
          <w:rFonts w:hint="eastAsia" w:ascii="仿宋_GB2312" w:hAnsi="Times New Roman" w:eastAsia="仿宋_GB2312" w:cs="Times New Roman"/>
          <w:color w:val="000000"/>
          <w:spacing w:val="12"/>
          <w:sz w:val="28"/>
          <w:lang w:val="en-US" w:eastAsia="zh-CN"/>
        </w:rPr>
        <w:t>22</w:t>
      </w:r>
      <w:r>
        <w:rPr>
          <w:rFonts w:hint="eastAsia" w:ascii="仿宋_GB2312" w:hAnsi="Times New Roman" w:eastAsia="仿宋_GB2312" w:cs="Times New Roman"/>
          <w:color w:val="000000"/>
          <w:spacing w:val="12"/>
          <w:sz w:val="28"/>
        </w:rPr>
        <w:t>〕</w:t>
      </w:r>
      <w:r>
        <w:rPr>
          <w:rFonts w:hint="eastAsia" w:ascii="仿宋_GB2312" w:hAnsi="Times New Roman" w:eastAsia="仿宋_GB2312" w:cs="Times New Roman"/>
          <w:color w:val="000000"/>
          <w:spacing w:val="12"/>
          <w:sz w:val="28"/>
          <w:lang w:val="en-US" w:eastAsia="zh-CN"/>
        </w:rPr>
        <w:t>15号</w:t>
      </w:r>
      <w:r>
        <w:rPr>
          <w:rFonts w:hint="eastAsia" w:ascii="仿宋_GB2312" w:hAnsi="仿宋_GB2312" w:eastAsia="仿宋_GB2312" w:cs="仿宋_GB2312"/>
          <w:b w:val="0"/>
          <w:bCs w:val="0"/>
          <w:kern w:val="2"/>
          <w:sz w:val="32"/>
          <w:szCs w:val="32"/>
          <w:highlight w:val="none"/>
          <w:lang w:val="en-US" w:eastAsia="zh-CN"/>
        </w:rPr>
        <w:t>）第九条“单次补充流动资金最长不得超过十二个月”的规定。</w:t>
      </w:r>
      <w:r>
        <w:rPr>
          <w:rFonts w:hint="eastAsia" w:ascii="仿宋_GB2312" w:hAnsi="仿宋_GB2312" w:eastAsia="仿宋_GB2312" w:cs="Times New Roman"/>
          <w:kern w:val="0"/>
          <w:sz w:val="32"/>
          <w:szCs w:val="20"/>
          <w:lang w:val="en-US" w:eastAsia="zh-CN"/>
        </w:rPr>
        <w:t>根据</w:t>
      </w:r>
      <w:r>
        <w:rPr>
          <w:rFonts w:hint="eastAsia" w:ascii="仿宋_GB2312" w:hAnsi="仿宋_GB2312" w:eastAsia="仿宋_GB2312" w:cs="Times New Roman"/>
          <w:color w:val="000000"/>
          <w:kern w:val="0"/>
          <w:sz w:val="32"/>
          <w:szCs w:val="24"/>
          <w:highlight w:val="none"/>
          <w:shd w:val="clear"/>
          <w:lang w:val="en-US" w:eastAsia="zh-CN" w:bidi="ar-SA"/>
        </w:rPr>
        <w:t>《中华人民共和国证券法》第一百七十条第二款</w:t>
      </w:r>
      <w:r>
        <w:rPr>
          <w:rFonts w:hint="eastAsia" w:ascii="仿宋_GB2312" w:hAnsi="仿宋_GB2312" w:eastAsia="仿宋_GB2312" w:cs="Times New Roman"/>
          <w:kern w:val="0"/>
          <w:sz w:val="32"/>
          <w:szCs w:val="20"/>
          <w:lang w:val="en-US" w:eastAsia="zh-CN"/>
        </w:rPr>
        <w:t>规定，我局决定对你公司采取责令改正的监管措施。你公司应高度重视上述问题，采取有效措施</w:t>
      </w:r>
      <w:r>
        <w:rPr>
          <w:rFonts w:hint="eastAsia" w:ascii="仿宋_GB2312" w:hAnsi="仿宋_GB2312" w:eastAsia="仿宋_GB2312" w:cs="仿宋_GB2312"/>
          <w:kern w:val="0"/>
          <w:sz w:val="32"/>
          <w:szCs w:val="32"/>
          <w:lang w:val="en-US" w:eastAsia="zh-CN"/>
        </w:rPr>
        <w:t>将此前</w:t>
      </w:r>
      <w:r>
        <w:rPr>
          <w:rFonts w:hint="eastAsia" w:ascii="仿宋_GB2312" w:hAnsi="仿宋_GB2312" w:eastAsia="仿宋_GB2312" w:cs="仿宋_GB2312"/>
          <w:kern w:val="0"/>
          <w:sz w:val="32"/>
          <w:szCs w:val="32"/>
          <w:lang w:eastAsia="zh-CN"/>
        </w:rPr>
        <w:t>补充流动资金的募集资金及时全额归还，确保募集资金使用符合规定，</w:t>
      </w:r>
      <w:r>
        <w:rPr>
          <w:rFonts w:hint="eastAsia" w:ascii="仿宋_GB2312" w:hAnsi="仿宋_GB2312" w:eastAsia="仿宋_GB2312" w:cs="仿宋_GB2312"/>
          <w:b w:val="0"/>
          <w:bCs w:val="0"/>
          <w:kern w:val="2"/>
          <w:sz w:val="32"/>
          <w:szCs w:val="32"/>
          <w:highlight w:val="none"/>
          <w:lang w:val="en-US" w:eastAsia="zh-CN" w:bidi="ar-SA"/>
        </w:rPr>
        <w:t>并在收到本决定书之日起</w:t>
      </w:r>
      <w:r>
        <w:rPr>
          <w:rFonts w:hint="default" w:ascii="仿宋_GB2312" w:hAnsi="仿宋_GB2312" w:eastAsia="仿宋_GB2312" w:cs="仿宋_GB2312"/>
          <w:b w:val="0"/>
          <w:bCs w:val="0"/>
          <w:kern w:val="2"/>
          <w:sz w:val="32"/>
          <w:szCs w:val="32"/>
          <w:highlight w:val="none"/>
          <w:lang w:val="en-US" w:eastAsia="zh-CN" w:bidi="ar-SA"/>
        </w:rPr>
        <w:t>30</w:t>
      </w:r>
      <w:r>
        <w:rPr>
          <w:rFonts w:hint="eastAsia" w:ascii="仿宋_GB2312" w:hAnsi="仿宋_GB2312" w:eastAsia="仿宋_GB2312" w:cs="仿宋_GB2312"/>
          <w:b w:val="0"/>
          <w:bCs w:val="0"/>
          <w:kern w:val="2"/>
          <w:sz w:val="32"/>
          <w:szCs w:val="32"/>
          <w:highlight w:val="none"/>
          <w:lang w:val="en-US" w:eastAsia="zh-CN" w:bidi="ar-SA"/>
        </w:rPr>
        <w:t>日内向我局报送整改方案</w:t>
      </w:r>
      <w:r>
        <w:rPr>
          <w:rFonts w:hint="eastAsia" w:ascii="仿宋_GB2312" w:hAnsi="仿宋_GB2312" w:eastAsia="仿宋_GB2312" w:cs="仿宋_GB2312"/>
          <w:sz w:val="32"/>
          <w:szCs w:val="32"/>
          <w:lang w:val="en-US" w:eastAsia="zh-CN"/>
        </w:rPr>
        <w:t>。</w:t>
      </w:r>
    </w:p>
    <w:p>
      <w:pPr>
        <w:widowControl w:val="0"/>
        <w:wordWrap/>
        <w:overflowPunct w:val="0"/>
        <w:adjustRightInd w:val="0"/>
        <w:snapToGrid w:val="0"/>
        <w:spacing w:before="0" w:beforeLines="0" w:after="0" w:afterLines="0" w:line="336" w:lineRule="auto"/>
        <w:ind w:left="0" w:leftChars="0" w:right="0" w:firstLine="64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pacing w:val="0"/>
          <w:kern w:val="0"/>
          <w:sz w:val="32"/>
        </w:rPr>
        <w:t>如果对本监督管理措施不服，可以在收到本决定书之日起60日内向中国证券监督管理委员会提出行政复议申请</w:t>
      </w:r>
      <w:r>
        <w:rPr>
          <w:rFonts w:hint="eastAsia" w:ascii="仿宋_GB2312" w:hAnsi="仿宋_GB2312" w:eastAsia="仿宋_GB2312" w:cs="仿宋_GB2312"/>
          <w:color w:val="000000"/>
          <w:spacing w:val="0"/>
          <w:kern w:val="0"/>
          <w:sz w:val="32"/>
          <w:lang w:val="en-US" w:eastAsia="zh-CN"/>
        </w:rPr>
        <w:t>，</w:t>
      </w:r>
      <w:r>
        <w:rPr>
          <w:rFonts w:hint="eastAsia" w:ascii="仿宋_GB2312" w:hAnsi="仿宋_GB2312" w:eastAsia="仿宋_GB2312" w:cs="仿宋_GB2312"/>
          <w:color w:val="000000"/>
          <w:spacing w:val="0"/>
          <w:kern w:val="0"/>
          <w:sz w:val="32"/>
        </w:rPr>
        <w:t>也可以在收到本决定书之日起6个月内向有管辖权的人民法院提起诉讼。复议与诉讼期间，上述监督管理措施不停止执行。</w:t>
      </w:r>
    </w:p>
    <w:p>
      <w:pPr>
        <w:pStyle w:val="9"/>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widowControl/>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3</w:t>
      </w:r>
      <w:r>
        <w:rPr>
          <w:rFonts w:hint="eastAsia" w:ascii="仿宋_GB2312" w:hAnsi="Times New Roman" w:eastAsia="仿宋_GB2312" w:cs="Times New Roman"/>
          <w:color w:val="000000"/>
          <w:spacing w:val="10"/>
          <w:sz w:val="32"/>
          <w:szCs w:val="32"/>
        </w:rPr>
        <w:t>月</w:t>
      </w:r>
      <w:bookmarkStart w:id="1" w:name="_GoBack"/>
      <w:bookmarkEnd w:id="1"/>
      <w:r>
        <w:rPr>
          <w:rFonts w:hint="default" w:ascii="仿宋_GB2312" w:hAnsi="Times New Roman" w:eastAsia="仿宋_GB2312" w:cs="Times New Roman"/>
          <w:color w:val="000000"/>
          <w:spacing w:val="10"/>
          <w:sz w:val="32"/>
          <w:szCs w:val="32"/>
          <w:lang w:val="en-US"/>
        </w:rPr>
        <w:t>12</w:t>
      </w:r>
      <w:r>
        <w:rPr>
          <w:rFonts w:hint="eastAsia" w:ascii="仿宋_GB2312" w:hAnsi="Times New Roman" w:eastAsia="仿宋_GB2312" w:cs="Times New Roman"/>
          <w:color w:val="000000"/>
          <w:spacing w:val="10"/>
          <w:sz w:val="32"/>
          <w:szCs w:val="32"/>
        </w:rPr>
        <w:t>日</w:t>
      </w:r>
    </w:p>
    <w:p>
      <w:pPr>
        <w:snapToGrid w:val="0"/>
        <w:spacing w:line="300" w:lineRule="auto"/>
        <w:ind w:right="26"/>
        <w:jc w:val="left"/>
        <w:rPr>
          <w:rFonts w:hint="eastAsia" w:ascii="黑体" w:eastAsia="黑体"/>
          <w:spacing w:val="8"/>
          <w:sz w:val="32"/>
          <w:szCs w:val="32"/>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eastAsia="长城仿宋"/>
          <w:sz w:val="28"/>
        </w:rPr>
      </w:pPr>
      <w:r>
        <w:rPr>
          <w:rFonts w:hint="eastAsia" w:ascii="仿宋_GB2312" w:eastAsia="仿宋_GB2312"/>
          <w:spacing w:val="8"/>
          <w:sz w:val="28"/>
        </w:rPr>
        <w:t>抄送：</w:t>
      </w:r>
      <w:r>
        <w:rPr>
          <w:rFonts w:hint="eastAsia" w:ascii="仿宋_GB2312" w:hAnsi="Times New Roman" w:eastAsia="仿宋_GB2312"/>
          <w:spacing w:val="11"/>
          <w:sz w:val="28"/>
          <w:szCs w:val="20"/>
          <w:highlight w:val="none"/>
        </w:rPr>
        <w:t>证监会上市司、法治司；深圳证券交易所</w:t>
      </w:r>
      <w:r>
        <w:rPr>
          <w:rFonts w:hint="eastAsia" w:ascii="仿宋_GB2312" w:eastAsia="仿宋_GB2312"/>
          <w:spacing w:val="8"/>
          <w:sz w:val="28"/>
          <w:lang w:eastAsia="zh-CN"/>
        </w:rPr>
        <w:t>。</w:t>
      </w:r>
    </w:p>
    <w:p>
      <w:pPr>
        <w:pBdr>
          <w:top w:val="single" w:color="auto" w:sz="4" w:space="6"/>
        </w:pBdr>
        <w:adjustRightInd w:val="0"/>
        <w:snapToGrid w:val="0"/>
        <w:spacing w:after="109" w:afterLines="35"/>
        <w:ind w:firstLine="318"/>
        <w:jc w:val="left"/>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default" w:ascii="仿宋_GB2312" w:eastAsia="仿宋_GB2312"/>
          <w:spacing w:val="8"/>
          <w:sz w:val="28"/>
          <w:lang w:val="en-US"/>
        </w:rPr>
        <w:t xml:space="preserve"> </w:t>
      </w:r>
      <w:r>
        <w:rPr>
          <w:rFonts w:hint="eastAsia" w:ascii="仿宋_GB2312" w:eastAsia="仿宋_GB2312"/>
          <w:spacing w:val="8"/>
          <w:sz w:val="28"/>
        </w:rPr>
        <w:t xml:space="preserve">     </w:t>
      </w:r>
      <w:r>
        <w:rPr>
          <w:rFonts w:hint="default" w:ascii="仿宋_GB2312" w:eastAsia="仿宋_GB2312"/>
          <w:spacing w:val="8"/>
          <w:sz w:val="28"/>
          <w:lang w:val="en"/>
        </w:rPr>
        <w:t xml:space="preserve">    </w:t>
      </w:r>
      <w:r>
        <w:rPr>
          <w:rFonts w:hint="eastAsia" w:ascii="仿宋_GB2312" w:eastAsia="仿宋_GB2312"/>
          <w:spacing w:val="8"/>
          <w:sz w:val="28"/>
        </w:rPr>
        <w:t xml:space="preserve"> </w:t>
      </w:r>
      <w:r>
        <w:rPr>
          <w:rFonts w:hint="eastAsia" w:ascii="仿宋_GB2312" w:eastAsia="仿宋_GB2312"/>
          <w:spacing w:val="8"/>
          <w:sz w:val="28"/>
          <w:lang w:val="en-US" w:eastAsia="zh-CN"/>
        </w:rPr>
        <w:t xml:space="preserve">  </w:t>
      </w:r>
      <w:r>
        <w:rPr>
          <w:rFonts w:hint="eastAsia" w:ascii="仿宋_GB2312" w:eastAsia="仿宋_GB2312"/>
          <w:spacing w:val="8"/>
          <w:sz w:val="28"/>
          <w:lang w:eastAsia="zh-CN"/>
        </w:rPr>
        <w:t>20</w:t>
      </w:r>
      <w:r>
        <w:rPr>
          <w:rFonts w:hint="eastAsia" w:ascii="仿宋_GB2312" w:eastAsia="仿宋_GB2312"/>
          <w:spacing w:val="8"/>
          <w:sz w:val="28"/>
          <w:lang w:val="en-US" w:eastAsia="zh-CN"/>
        </w:rPr>
        <w:t>25</w:t>
      </w:r>
      <w:r>
        <w:rPr>
          <w:rFonts w:hint="eastAsia" w:ascii="仿宋_GB2312" w:eastAsia="仿宋_GB2312"/>
          <w:spacing w:val="8"/>
          <w:sz w:val="28"/>
        </w:rPr>
        <w:t>年</w:t>
      </w:r>
      <w:r>
        <w:rPr>
          <w:rFonts w:hint="default" w:ascii="仿宋_GB2312" w:eastAsia="仿宋_GB2312"/>
          <w:spacing w:val="8"/>
          <w:sz w:val="28"/>
          <w:lang w:val="en-US" w:eastAsia="zh-CN"/>
        </w:rPr>
        <w:t>3</w:t>
      </w:r>
      <w:r>
        <w:rPr>
          <w:rFonts w:hint="eastAsia" w:ascii="仿宋_GB2312" w:eastAsia="仿宋_GB2312"/>
          <w:spacing w:val="8"/>
          <w:sz w:val="28"/>
        </w:rPr>
        <w:t>月</w:t>
      </w:r>
      <w:r>
        <w:rPr>
          <w:rFonts w:hint="default" w:ascii="仿宋_GB2312" w:eastAsia="仿宋_GB2312"/>
          <w:spacing w:val="8"/>
          <w:sz w:val="28"/>
          <w:lang w:val="en-US"/>
        </w:rPr>
        <w:t>12</w:t>
      </w:r>
      <w:r>
        <w:rPr>
          <w:rFonts w:hint="eastAsia" w:ascii="仿宋_GB2312" w:eastAsia="仿宋_GB2312"/>
          <w:spacing w:val="8"/>
          <w:sz w:val="28"/>
        </w:rPr>
        <w:t>日印发</w:t>
      </w:r>
    </w:p>
    <w:p>
      <w:pPr>
        <w:keepNext w:val="0"/>
        <w:keepLines w:val="0"/>
        <w:pageBreakBefore w:val="0"/>
        <w:pBdr>
          <w:top w:val="single" w:color="auto" w:sz="8" w:space="7"/>
        </w:pBdr>
        <w:kinsoku/>
        <w:wordWrap/>
        <w:overflowPunct/>
        <w:topLinePunct w:val="0"/>
        <w:autoSpaceDE/>
        <w:autoSpaceDN/>
        <w:bidi w:val="0"/>
        <w:adjustRightInd w:val="0"/>
        <w:snapToGrid w:val="0"/>
        <w:spacing w:beforeLines="0" w:after="0" w:afterLines="0" w:line="240" w:lineRule="auto"/>
        <w:ind w:firstLine="0"/>
        <w:jc w:val="left"/>
        <w:textAlignment w:val="auto"/>
        <w:rPr>
          <w:rFonts w:hint="eastAsia" w:ascii="仿宋_GB2312" w:eastAsia="仿宋_GB2312"/>
          <w:spacing w:val="8"/>
          <w:sz w:val="2"/>
          <w:szCs w:val="2"/>
          <w:vertAlign w:val="baseline"/>
        </w:rPr>
      </w:pPr>
    </w:p>
    <w:bookmarkEnd w:id="0"/>
    <w:p>
      <w:pPr>
        <w:snapToGrid w:val="0"/>
        <w:rPr>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长城仿宋">
    <w:altName w:val="宋体"/>
    <w:panose1 w:val="0201060900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26AE"/>
    <w:rsid w:val="2ED2FEFC"/>
    <w:rsid w:val="337F7D5E"/>
    <w:rsid w:val="3EDF4182"/>
    <w:rsid w:val="55BBA551"/>
    <w:rsid w:val="5F532BB5"/>
    <w:rsid w:val="6BDDC98A"/>
    <w:rsid w:val="73EFAB28"/>
    <w:rsid w:val="74FC6AD5"/>
    <w:rsid w:val="76BCF46D"/>
    <w:rsid w:val="77F7224C"/>
    <w:rsid w:val="77FAD807"/>
    <w:rsid w:val="7ABFAFBF"/>
    <w:rsid w:val="7FB751D6"/>
    <w:rsid w:val="7FBD1D05"/>
    <w:rsid w:val="7FFF26AE"/>
    <w:rsid w:val="BCCDC4F0"/>
    <w:rsid w:val="BF271C12"/>
    <w:rsid w:val="D57D8DE9"/>
    <w:rsid w:val="D5CFDCA3"/>
    <w:rsid w:val="DBFD54A3"/>
    <w:rsid w:val="DC5B956B"/>
    <w:rsid w:val="E6DBEA1D"/>
    <w:rsid w:val="EF37E6A5"/>
    <w:rsid w:val="EFDF6AB2"/>
    <w:rsid w:val="F6F73A89"/>
    <w:rsid w:val="FBEE2226"/>
    <w:rsid w:val="FD7EBCC1"/>
    <w:rsid w:val="FF3F3133"/>
    <w:rsid w:val="FFF7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0"/>
    <w:basedOn w:val="1"/>
    <w:qFormat/>
    <w:uiPriority w:val="0"/>
    <w:pPr>
      <w:widowControl/>
    </w:pPr>
    <w:rPr>
      <w:rFonts w:hint="eastAsia"/>
    </w:rPr>
  </w:style>
  <w:style w:type="paragraph" w:customStyle="1" w:styleId="10">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2025-01-20T19:49:00Z</dcterms:created>
  <dc:creator>李沛霖</dc:creator>
  <cp:lastModifiedBy>李沛霖</cp:lastModifiedBy>
  <cp:lastPrinted>2025-02-23T01:05:00Z</cp:lastPrinted>
  <dcterms:modified xsi:type="dcterms:W3CDTF">2025-03-14T17:46:48Z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BCF0924AA8BAB78F08FBD36792521A51</vt:lpwstr>
  </property>
</Properties>
</file>