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62841">
      <w:pPr>
        <w:spacing w:before="202" w:line="219" w:lineRule="auto"/>
        <w:ind w:left="121"/>
        <w:rPr>
          <w:rFonts w:ascii="宋体" w:hAnsi="宋体" w:eastAsia="宋体" w:cs="宋体"/>
          <w:sz w:val="24"/>
          <w:szCs w:val="24"/>
          <w:lang w:eastAsia="zh-CN"/>
        </w:rPr>
      </w:pPr>
      <w:r>
        <w:rPr>
          <w:rFonts w:ascii="宋体" w:hAnsi="宋体" w:eastAsia="宋体" w:cs="宋体"/>
          <w:sz w:val="24"/>
          <w:szCs w:val="24"/>
          <w:lang w:eastAsia="zh-CN"/>
        </w:rPr>
        <w:t xml:space="preserve">证券代码：600256                              </w:t>
      </w:r>
      <w:r>
        <w:rPr>
          <w:rFonts w:ascii="宋体" w:hAnsi="宋体" w:eastAsia="宋体" w:cs="宋体"/>
          <w:spacing w:val="-1"/>
          <w:sz w:val="24"/>
          <w:szCs w:val="24"/>
          <w:lang w:eastAsia="zh-CN"/>
        </w:rPr>
        <w:t xml:space="preserve"> 证券简称：广汇能源</w:t>
      </w:r>
    </w:p>
    <w:p w14:paraId="02A3314A">
      <w:pPr>
        <w:spacing w:line="246" w:lineRule="auto"/>
        <w:rPr>
          <w:lang w:eastAsia="zh-CN"/>
        </w:rPr>
      </w:pPr>
    </w:p>
    <w:p w14:paraId="49A6981C">
      <w:pPr>
        <w:spacing w:line="246" w:lineRule="auto"/>
        <w:rPr>
          <w:lang w:eastAsia="zh-CN"/>
        </w:rPr>
      </w:pPr>
    </w:p>
    <w:p w14:paraId="2950237F">
      <w:pPr>
        <w:spacing w:before="117"/>
        <w:jc w:val="center"/>
        <w:outlineLvl w:val="0"/>
        <w:rPr>
          <w:rFonts w:ascii="黑体" w:hAnsi="黑体" w:eastAsia="黑体" w:cs="黑体"/>
          <w:spacing w:val="1"/>
          <w:sz w:val="36"/>
          <w:szCs w:val="36"/>
          <w:lang w:eastAsia="zh-CN"/>
        </w:rPr>
      </w:pPr>
      <w:r>
        <w:rPr>
          <w:rFonts w:ascii="黑体" w:hAnsi="黑体" w:eastAsia="黑体" w:cs="黑体"/>
          <w:b/>
          <w:bCs/>
          <w:spacing w:val="-4"/>
          <w:sz w:val="36"/>
          <w:szCs w:val="36"/>
          <w:lang w:eastAsia="zh-CN"/>
        </w:rPr>
        <w:t>广汇能源股份有限公司</w:t>
      </w:r>
    </w:p>
    <w:p w14:paraId="172634CE">
      <w:pPr>
        <w:spacing w:before="117"/>
        <w:jc w:val="center"/>
        <w:outlineLvl w:val="0"/>
        <w:rPr>
          <w:rFonts w:ascii="黑体" w:hAnsi="黑体" w:eastAsia="黑体" w:cs="黑体"/>
          <w:sz w:val="36"/>
          <w:szCs w:val="36"/>
          <w:lang w:eastAsia="zh-CN"/>
        </w:rPr>
      </w:pPr>
      <w:r>
        <w:rPr>
          <w:rFonts w:ascii="黑体" w:hAnsi="黑体" w:eastAsia="黑体" w:cs="黑体"/>
          <w:b/>
          <w:bCs/>
          <w:spacing w:val="-4"/>
          <w:sz w:val="36"/>
          <w:szCs w:val="36"/>
          <w:lang w:eastAsia="zh-CN"/>
        </w:rPr>
        <w:t>投资者关系活动记录表</w:t>
      </w:r>
    </w:p>
    <w:p w14:paraId="2FC48A05">
      <w:pPr>
        <w:spacing w:before="235"/>
        <w:rPr>
          <w:lang w:eastAsia="zh-CN"/>
        </w:rPr>
      </w:pPr>
    </w:p>
    <w:tbl>
      <w:tblPr>
        <w:tblStyle w:val="6"/>
        <w:tblW w:w="85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1"/>
        <w:gridCol w:w="2359"/>
        <w:gridCol w:w="4244"/>
      </w:tblGrid>
      <w:tr w14:paraId="60066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21" w:type="dxa"/>
          </w:tcPr>
          <w:p w14:paraId="21EFAAB9">
            <w:pPr>
              <w:spacing w:line="306" w:lineRule="auto"/>
              <w:rPr>
                <w:lang w:eastAsia="zh-CN"/>
              </w:rPr>
            </w:pPr>
          </w:p>
          <w:p w14:paraId="02754AEF">
            <w:pPr>
              <w:spacing w:line="306" w:lineRule="auto"/>
              <w:rPr>
                <w:lang w:eastAsia="zh-CN"/>
              </w:rPr>
            </w:pPr>
          </w:p>
          <w:p w14:paraId="68C8707D">
            <w:pPr>
              <w:pStyle w:val="7"/>
              <w:spacing w:before="78" w:line="371" w:lineRule="auto"/>
              <w:ind w:left="538" w:right="301" w:hanging="121"/>
              <w:rPr>
                <w:sz w:val="24"/>
                <w:szCs w:val="24"/>
              </w:rPr>
            </w:pPr>
            <w:r>
              <w:rPr>
                <w:b/>
                <w:bCs/>
                <w:spacing w:val="-5"/>
                <w:sz w:val="24"/>
                <w:szCs w:val="24"/>
              </w:rPr>
              <w:t>投资者关系</w:t>
            </w:r>
            <w:r>
              <w:rPr>
                <w:spacing w:val="3"/>
                <w:sz w:val="24"/>
                <w:szCs w:val="24"/>
              </w:rPr>
              <w:t xml:space="preserve"> </w:t>
            </w:r>
            <w:r>
              <w:rPr>
                <w:b/>
                <w:bCs/>
                <w:spacing w:val="-6"/>
                <w:sz w:val="24"/>
                <w:szCs w:val="24"/>
              </w:rPr>
              <w:t>活动类别</w:t>
            </w:r>
          </w:p>
        </w:tc>
        <w:tc>
          <w:tcPr>
            <w:tcW w:w="2359" w:type="dxa"/>
            <w:tcBorders>
              <w:right w:val="nil"/>
            </w:tcBorders>
          </w:tcPr>
          <w:p w14:paraId="6C90580E">
            <w:pPr>
              <w:pStyle w:val="7"/>
              <w:spacing w:before="194" w:line="207" w:lineRule="auto"/>
              <w:ind w:left="124"/>
              <w:rPr>
                <w:sz w:val="22"/>
                <w:szCs w:val="22"/>
                <w:lang w:eastAsia="zh-CN"/>
              </w:rPr>
            </w:pPr>
            <w:r>
              <w:rPr>
                <w:rFonts w:ascii="Segoe UI Symbol" w:hAnsi="Segoe UI Symbol" w:eastAsia="Segoe UI Symbol" w:cs="Segoe UI Symbol"/>
                <w:spacing w:val="-3"/>
                <w:sz w:val="22"/>
                <w:szCs w:val="22"/>
                <w:lang w:eastAsia="zh-CN"/>
              </w:rPr>
              <w:t>□</w:t>
            </w:r>
            <w:r>
              <w:rPr>
                <w:spacing w:val="-3"/>
                <w:sz w:val="22"/>
                <w:szCs w:val="22"/>
                <w:lang w:eastAsia="zh-CN"/>
              </w:rPr>
              <w:t>特定对象调研</w:t>
            </w:r>
          </w:p>
          <w:p w14:paraId="788F1076">
            <w:pPr>
              <w:pStyle w:val="7"/>
              <w:spacing w:before="214" w:line="207" w:lineRule="auto"/>
              <w:ind w:left="124"/>
              <w:rPr>
                <w:sz w:val="22"/>
                <w:szCs w:val="22"/>
                <w:lang w:eastAsia="zh-CN"/>
              </w:rPr>
            </w:pPr>
            <w:r>
              <w:rPr>
                <w:rFonts w:ascii="Segoe UI Symbol" w:hAnsi="Segoe UI Symbol" w:eastAsia="Segoe UI Symbol" w:cs="Segoe UI Symbol"/>
                <w:spacing w:val="-4"/>
                <w:sz w:val="22"/>
                <w:szCs w:val="22"/>
                <w:lang w:eastAsia="zh-CN"/>
              </w:rPr>
              <w:t>□</w:t>
            </w:r>
            <w:r>
              <w:rPr>
                <w:spacing w:val="-4"/>
                <w:sz w:val="22"/>
                <w:szCs w:val="22"/>
                <w:lang w:eastAsia="zh-CN"/>
              </w:rPr>
              <w:t>媒体采访</w:t>
            </w:r>
          </w:p>
          <w:p w14:paraId="237776FB">
            <w:pPr>
              <w:pStyle w:val="7"/>
              <w:spacing w:before="215" w:line="207" w:lineRule="auto"/>
              <w:ind w:left="124"/>
              <w:rPr>
                <w:sz w:val="22"/>
                <w:szCs w:val="22"/>
                <w:lang w:eastAsia="zh-CN"/>
              </w:rPr>
            </w:pPr>
            <w:r>
              <w:rPr>
                <w:rFonts w:ascii="Segoe UI Symbol" w:hAnsi="Segoe UI Symbol" w:eastAsia="Segoe UI Symbol" w:cs="Segoe UI Symbol"/>
                <w:spacing w:val="-4"/>
                <w:sz w:val="22"/>
                <w:szCs w:val="22"/>
                <w:lang w:eastAsia="zh-CN"/>
              </w:rPr>
              <w:t>□</w:t>
            </w:r>
            <w:r>
              <w:rPr>
                <w:spacing w:val="-4"/>
                <w:sz w:val="22"/>
                <w:szCs w:val="22"/>
                <w:lang w:eastAsia="zh-CN"/>
              </w:rPr>
              <w:t>新闻发布会</w:t>
            </w:r>
          </w:p>
          <w:p w14:paraId="391C3541">
            <w:pPr>
              <w:pStyle w:val="7"/>
              <w:spacing w:before="214" w:line="191" w:lineRule="auto"/>
              <w:ind w:left="125"/>
              <w:rPr>
                <w:sz w:val="22"/>
                <w:szCs w:val="22"/>
                <w:lang w:eastAsia="zh-CN"/>
              </w:rPr>
            </w:pPr>
            <w:r>
              <w:rPr>
                <w:rFonts w:hint="eastAsia" w:ascii="Segoe UI Symbol" w:hAnsi="Segoe UI Symbol" w:cs="Segoe UI Symbol"/>
                <w:spacing w:val="-4"/>
                <w:sz w:val="22"/>
                <w:szCs w:val="22"/>
                <w:lang w:eastAsia="zh-CN"/>
              </w:rPr>
              <w:t>☑</w:t>
            </w:r>
            <w:r>
              <w:rPr>
                <w:spacing w:val="-10"/>
                <w:sz w:val="22"/>
                <w:szCs w:val="22"/>
                <w:lang w:eastAsia="zh-CN"/>
              </w:rPr>
              <w:t>现场参观</w:t>
            </w:r>
          </w:p>
        </w:tc>
        <w:tc>
          <w:tcPr>
            <w:tcW w:w="4244" w:type="dxa"/>
            <w:tcBorders>
              <w:left w:val="nil"/>
            </w:tcBorders>
          </w:tcPr>
          <w:p w14:paraId="0A33CFB0">
            <w:pPr>
              <w:pStyle w:val="7"/>
              <w:spacing w:before="193" w:line="207" w:lineRule="auto"/>
              <w:ind w:left="603"/>
              <w:rPr>
                <w:sz w:val="22"/>
                <w:szCs w:val="22"/>
                <w:lang w:eastAsia="zh-CN"/>
              </w:rPr>
            </w:pPr>
            <w:r>
              <w:rPr>
                <w:rFonts w:ascii="Segoe UI Symbol" w:hAnsi="Segoe UI Symbol" w:eastAsia="Segoe UI Symbol" w:cs="Segoe UI Symbol"/>
                <w:spacing w:val="-4"/>
                <w:sz w:val="22"/>
                <w:szCs w:val="22"/>
                <w:lang w:eastAsia="zh-CN"/>
              </w:rPr>
              <w:t>□</w:t>
            </w:r>
            <w:r>
              <w:rPr>
                <w:spacing w:val="-4"/>
                <w:sz w:val="22"/>
                <w:szCs w:val="22"/>
                <w:lang w:eastAsia="zh-CN"/>
              </w:rPr>
              <w:t>分析师会议</w:t>
            </w:r>
          </w:p>
          <w:p w14:paraId="00B35AF3">
            <w:pPr>
              <w:pStyle w:val="7"/>
              <w:spacing w:before="215" w:line="207" w:lineRule="auto"/>
              <w:ind w:left="603"/>
              <w:rPr>
                <w:sz w:val="22"/>
                <w:szCs w:val="22"/>
                <w:lang w:eastAsia="zh-CN"/>
              </w:rPr>
            </w:pPr>
            <w:r>
              <w:rPr>
                <w:rFonts w:ascii="Segoe UI Symbol" w:hAnsi="Segoe UI Symbol" w:eastAsia="Segoe UI Symbol" w:cs="Segoe UI Symbol"/>
                <w:spacing w:val="-4"/>
                <w:sz w:val="22"/>
                <w:szCs w:val="22"/>
                <w:lang w:eastAsia="zh-CN"/>
              </w:rPr>
              <w:t>□</w:t>
            </w:r>
            <w:r>
              <w:rPr>
                <w:spacing w:val="-4"/>
                <w:sz w:val="22"/>
                <w:szCs w:val="22"/>
                <w:lang w:eastAsia="zh-CN"/>
              </w:rPr>
              <w:t>业绩说明会</w:t>
            </w:r>
          </w:p>
          <w:p w14:paraId="55B9E7A3">
            <w:pPr>
              <w:pStyle w:val="7"/>
              <w:spacing w:before="215" w:line="207" w:lineRule="auto"/>
              <w:ind w:left="124" w:firstLine="424" w:firstLineChars="200"/>
              <w:rPr>
                <w:rFonts w:ascii="Segoe UI Symbol" w:hAnsi="Segoe UI Symbol" w:eastAsia="Segoe UI Symbol" w:cs="Segoe UI Symbol"/>
                <w:spacing w:val="-4"/>
                <w:sz w:val="22"/>
                <w:szCs w:val="22"/>
                <w:lang w:eastAsia="zh-CN"/>
              </w:rPr>
            </w:pPr>
            <w:r>
              <w:rPr>
                <w:rFonts w:ascii="Segoe UI Symbol" w:hAnsi="Segoe UI Symbol" w:eastAsia="Segoe UI Symbol" w:cs="Segoe UI Symbol"/>
                <w:spacing w:val="-4"/>
                <w:sz w:val="22"/>
                <w:szCs w:val="22"/>
                <w:lang w:eastAsia="zh-CN"/>
              </w:rPr>
              <w:t>□路演活动</w:t>
            </w:r>
          </w:p>
          <w:p w14:paraId="7BB4BEBE">
            <w:pPr>
              <w:pStyle w:val="7"/>
              <w:spacing w:before="215" w:line="207" w:lineRule="auto"/>
              <w:ind w:left="124"/>
              <w:rPr>
                <w:sz w:val="22"/>
                <w:szCs w:val="22"/>
              </w:rPr>
            </w:pPr>
            <w:r>
              <w:rPr>
                <w:rFonts w:ascii="Segoe UI Symbol" w:hAnsi="Segoe UI Symbol" w:eastAsia="Segoe UI Symbol" w:cs="Segoe UI Symbol"/>
                <w:spacing w:val="-4"/>
                <w:sz w:val="22"/>
                <w:szCs w:val="22"/>
                <w:lang w:eastAsia="zh-CN"/>
              </w:rPr>
              <w:t xml:space="preserve"> </w:t>
            </w:r>
            <w:r>
              <w:rPr>
                <w:rFonts w:hint="eastAsia" w:ascii="Segoe UI Symbol" w:hAnsi="Segoe UI Symbol" w:eastAsia="Segoe UI Symbol" w:cs="Segoe UI Symbol"/>
                <w:spacing w:val="-4"/>
                <w:sz w:val="22"/>
                <w:szCs w:val="22"/>
                <w:lang w:eastAsia="zh-CN"/>
              </w:rPr>
              <w:t xml:space="preserve">       □</w:t>
            </w:r>
            <w:r>
              <w:rPr>
                <w:rFonts w:ascii="Segoe UI Symbol" w:hAnsi="Segoe UI Symbol" w:eastAsia="Segoe UI Symbol" w:cs="Segoe UI Symbol"/>
                <w:spacing w:val="-4"/>
                <w:sz w:val="22"/>
                <w:szCs w:val="22"/>
                <w:lang w:eastAsia="zh-CN"/>
              </w:rPr>
              <w:t>其他</w:t>
            </w:r>
          </w:p>
        </w:tc>
      </w:tr>
      <w:tr w14:paraId="332BB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21" w:type="dxa"/>
          </w:tcPr>
          <w:p w14:paraId="71BC4ED7">
            <w:pPr>
              <w:pStyle w:val="7"/>
              <w:spacing w:before="251" w:line="330" w:lineRule="auto"/>
              <w:ind w:left="365" w:right="229" w:hanging="117"/>
              <w:rPr>
                <w:sz w:val="24"/>
                <w:szCs w:val="24"/>
                <w:lang w:eastAsia="zh-CN"/>
              </w:rPr>
            </w:pPr>
            <w:r>
              <w:rPr>
                <w:b/>
                <w:bCs/>
                <w:spacing w:val="-4"/>
                <w:sz w:val="24"/>
                <w:szCs w:val="24"/>
                <w:lang w:eastAsia="zh-CN"/>
              </w:rPr>
              <w:t>参与单位名称</w:t>
            </w:r>
            <w:r>
              <w:rPr>
                <w:spacing w:val="1"/>
                <w:sz w:val="24"/>
                <w:szCs w:val="24"/>
                <w:lang w:eastAsia="zh-CN"/>
              </w:rPr>
              <w:t xml:space="preserve"> </w:t>
            </w:r>
            <w:r>
              <w:rPr>
                <w:b/>
                <w:bCs/>
                <w:spacing w:val="-4"/>
                <w:sz w:val="24"/>
                <w:szCs w:val="24"/>
                <w:lang w:eastAsia="zh-CN"/>
              </w:rPr>
              <w:t>及人员姓名</w:t>
            </w:r>
          </w:p>
        </w:tc>
        <w:tc>
          <w:tcPr>
            <w:tcW w:w="6603" w:type="dxa"/>
            <w:gridSpan w:val="2"/>
          </w:tcPr>
          <w:p w14:paraId="6029804B">
            <w:pPr>
              <w:pStyle w:val="7"/>
              <w:spacing w:before="267" w:line="353" w:lineRule="auto"/>
              <w:ind w:left="5" w:firstLine="4"/>
              <w:rPr>
                <w:sz w:val="22"/>
                <w:szCs w:val="22"/>
                <w:lang w:eastAsia="zh-CN"/>
              </w:rPr>
            </w:pPr>
            <w:r>
              <w:rPr>
                <w:rFonts w:hint="eastAsia"/>
                <w:spacing w:val="-1"/>
                <w:sz w:val="22"/>
                <w:szCs w:val="22"/>
                <w:lang w:eastAsia="zh-CN"/>
              </w:rPr>
              <w:t>南方基金</w:t>
            </w:r>
            <w:r>
              <w:rPr>
                <w:spacing w:val="-1"/>
                <w:sz w:val="22"/>
                <w:szCs w:val="22"/>
                <w:lang w:eastAsia="zh-CN"/>
              </w:rPr>
              <w:t>、</w:t>
            </w:r>
            <w:r>
              <w:rPr>
                <w:rFonts w:hint="eastAsia"/>
                <w:spacing w:val="-1"/>
                <w:sz w:val="22"/>
                <w:szCs w:val="22"/>
                <w:lang w:eastAsia="zh-CN"/>
              </w:rPr>
              <w:t>国信证券、</w:t>
            </w:r>
            <w:r>
              <w:rPr>
                <w:rFonts w:hint="eastAsia"/>
                <w:spacing w:val="-1"/>
                <w:sz w:val="22"/>
                <w:szCs w:val="22"/>
                <w:lang w:val="en-US" w:eastAsia="zh-CN"/>
              </w:rPr>
              <w:t>银华基金、</w:t>
            </w:r>
            <w:r>
              <w:rPr>
                <w:rFonts w:hint="eastAsia"/>
                <w:spacing w:val="-1"/>
                <w:sz w:val="22"/>
                <w:szCs w:val="22"/>
                <w:lang w:eastAsia="zh-CN"/>
              </w:rPr>
              <w:t>华创证券</w:t>
            </w:r>
            <w:r>
              <w:rPr>
                <w:spacing w:val="-1"/>
                <w:sz w:val="22"/>
                <w:szCs w:val="22"/>
                <w:lang w:eastAsia="zh-CN"/>
              </w:rPr>
              <w:t>、</w:t>
            </w:r>
            <w:r>
              <w:rPr>
                <w:rFonts w:hint="eastAsia"/>
                <w:spacing w:val="-1"/>
                <w:sz w:val="22"/>
                <w:szCs w:val="22"/>
                <w:lang w:eastAsia="zh-CN"/>
              </w:rPr>
              <w:t>东财证券</w:t>
            </w:r>
            <w:r>
              <w:rPr>
                <w:spacing w:val="-1"/>
                <w:sz w:val="22"/>
                <w:szCs w:val="22"/>
                <w:lang w:eastAsia="zh-CN"/>
              </w:rPr>
              <w:t>、</w:t>
            </w:r>
            <w:r>
              <w:rPr>
                <w:rFonts w:hint="eastAsia"/>
                <w:spacing w:val="-1"/>
                <w:sz w:val="22"/>
                <w:szCs w:val="22"/>
                <w:lang w:eastAsia="zh-CN"/>
              </w:rPr>
              <w:t>煜德投资</w:t>
            </w:r>
            <w:r>
              <w:rPr>
                <w:spacing w:val="-1"/>
                <w:sz w:val="22"/>
                <w:szCs w:val="22"/>
                <w:lang w:eastAsia="zh-CN"/>
              </w:rPr>
              <w:t>、</w:t>
            </w:r>
            <w:r>
              <w:rPr>
                <w:rFonts w:hint="eastAsia"/>
                <w:spacing w:val="-1"/>
                <w:sz w:val="22"/>
                <w:szCs w:val="22"/>
                <w:lang w:val="en-US" w:eastAsia="zh-CN"/>
              </w:rPr>
              <w:t>国金证券、</w:t>
            </w:r>
            <w:r>
              <w:rPr>
                <w:rFonts w:hint="eastAsia"/>
                <w:spacing w:val="-1"/>
                <w:sz w:val="22"/>
                <w:szCs w:val="22"/>
                <w:lang w:eastAsia="zh-CN"/>
              </w:rPr>
              <w:t>华源证券</w:t>
            </w:r>
            <w:r>
              <w:rPr>
                <w:rFonts w:hint="eastAsia"/>
                <w:spacing w:val="-1"/>
                <w:sz w:val="22"/>
                <w:szCs w:val="22"/>
                <w:lang w:val="en-US" w:eastAsia="zh-CN"/>
              </w:rPr>
              <w:t>30</w:t>
            </w:r>
            <w:r>
              <w:rPr>
                <w:spacing w:val="-1"/>
                <w:sz w:val="22"/>
                <w:szCs w:val="22"/>
                <w:lang w:eastAsia="zh-CN"/>
              </w:rPr>
              <w:t>名机构投资者</w:t>
            </w:r>
            <w:r>
              <w:rPr>
                <w:rFonts w:hint="eastAsia"/>
                <w:spacing w:val="-1"/>
                <w:sz w:val="22"/>
                <w:szCs w:val="22"/>
                <w:lang w:eastAsia="zh-CN"/>
              </w:rPr>
              <w:t>（</w:t>
            </w:r>
            <w:r>
              <w:rPr>
                <w:rFonts w:hint="eastAsia"/>
                <w:spacing w:val="-1"/>
                <w:sz w:val="22"/>
                <w:szCs w:val="22"/>
                <w:lang w:val="en-US" w:eastAsia="zh-CN"/>
              </w:rPr>
              <w:t>排名不分先后</w:t>
            </w:r>
            <w:r>
              <w:rPr>
                <w:rFonts w:hint="eastAsia"/>
                <w:spacing w:val="-1"/>
                <w:sz w:val="22"/>
                <w:szCs w:val="22"/>
                <w:lang w:eastAsia="zh-CN"/>
              </w:rPr>
              <w:t>）</w:t>
            </w:r>
          </w:p>
        </w:tc>
      </w:tr>
      <w:tr w14:paraId="5C65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21" w:type="dxa"/>
          </w:tcPr>
          <w:p w14:paraId="2F074259">
            <w:pPr>
              <w:pStyle w:val="7"/>
              <w:spacing w:before="220" w:line="222" w:lineRule="auto"/>
              <w:ind w:left="787"/>
              <w:rPr>
                <w:sz w:val="24"/>
                <w:szCs w:val="24"/>
              </w:rPr>
            </w:pPr>
            <w:r>
              <w:rPr>
                <w:b/>
                <w:bCs/>
                <w:spacing w:val="-13"/>
                <w:sz w:val="24"/>
                <w:szCs w:val="24"/>
              </w:rPr>
              <w:t>时间</w:t>
            </w:r>
          </w:p>
        </w:tc>
        <w:tc>
          <w:tcPr>
            <w:tcW w:w="6603" w:type="dxa"/>
            <w:gridSpan w:val="2"/>
          </w:tcPr>
          <w:p w14:paraId="4489253A">
            <w:pPr>
              <w:pStyle w:val="7"/>
              <w:spacing w:before="237" w:line="220" w:lineRule="auto"/>
              <w:ind w:left="9"/>
              <w:rPr>
                <w:sz w:val="22"/>
                <w:szCs w:val="22"/>
                <w:lang w:eastAsia="zh-CN"/>
              </w:rPr>
            </w:pPr>
            <w:r>
              <w:rPr>
                <w:spacing w:val="-2"/>
                <w:sz w:val="22"/>
                <w:szCs w:val="22"/>
              </w:rPr>
              <w:t>202</w:t>
            </w:r>
            <w:r>
              <w:rPr>
                <w:rFonts w:hint="eastAsia"/>
                <w:spacing w:val="-2"/>
                <w:sz w:val="22"/>
                <w:szCs w:val="22"/>
                <w:lang w:eastAsia="zh-CN"/>
              </w:rPr>
              <w:t>5</w:t>
            </w:r>
            <w:r>
              <w:rPr>
                <w:spacing w:val="-2"/>
                <w:sz w:val="22"/>
                <w:szCs w:val="22"/>
              </w:rPr>
              <w:t>年0</w:t>
            </w:r>
            <w:r>
              <w:rPr>
                <w:rFonts w:hint="eastAsia"/>
                <w:spacing w:val="-2"/>
                <w:sz w:val="22"/>
                <w:szCs w:val="22"/>
                <w:lang w:eastAsia="zh-CN"/>
              </w:rPr>
              <w:t>3</w:t>
            </w:r>
            <w:r>
              <w:rPr>
                <w:spacing w:val="-2"/>
                <w:sz w:val="22"/>
                <w:szCs w:val="22"/>
              </w:rPr>
              <w:t>月</w:t>
            </w:r>
            <w:r>
              <w:rPr>
                <w:rFonts w:hint="eastAsia"/>
                <w:spacing w:val="-2"/>
                <w:sz w:val="22"/>
                <w:szCs w:val="22"/>
                <w:lang w:eastAsia="zh-CN"/>
              </w:rPr>
              <w:t>06</w:t>
            </w:r>
            <w:r>
              <w:rPr>
                <w:spacing w:val="-2"/>
                <w:sz w:val="22"/>
                <w:szCs w:val="22"/>
              </w:rPr>
              <w:t>日</w:t>
            </w:r>
            <w:r>
              <w:rPr>
                <w:rFonts w:hint="eastAsia"/>
                <w:spacing w:val="-2"/>
                <w:sz w:val="22"/>
                <w:szCs w:val="22"/>
                <w:lang w:eastAsia="zh-CN"/>
              </w:rPr>
              <w:t>-3月1</w:t>
            </w:r>
            <w:r>
              <w:rPr>
                <w:rFonts w:hint="eastAsia"/>
                <w:spacing w:val="-2"/>
                <w:sz w:val="22"/>
                <w:szCs w:val="22"/>
                <w:lang w:val="en-US" w:eastAsia="zh-CN"/>
              </w:rPr>
              <w:t>1</w:t>
            </w:r>
            <w:r>
              <w:rPr>
                <w:rFonts w:hint="eastAsia"/>
                <w:spacing w:val="-2"/>
                <w:sz w:val="22"/>
                <w:szCs w:val="22"/>
                <w:lang w:eastAsia="zh-CN"/>
              </w:rPr>
              <w:t>日</w:t>
            </w:r>
          </w:p>
        </w:tc>
      </w:tr>
      <w:tr w14:paraId="0A4FE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21" w:type="dxa"/>
          </w:tcPr>
          <w:p w14:paraId="4E55D8A3">
            <w:pPr>
              <w:pStyle w:val="7"/>
              <w:spacing w:before="223" w:line="224" w:lineRule="auto"/>
              <w:ind w:left="776"/>
              <w:rPr>
                <w:sz w:val="24"/>
                <w:szCs w:val="24"/>
              </w:rPr>
            </w:pPr>
            <w:r>
              <w:rPr>
                <w:b/>
                <w:bCs/>
                <w:spacing w:val="-7"/>
                <w:sz w:val="24"/>
                <w:szCs w:val="24"/>
              </w:rPr>
              <w:t>地点</w:t>
            </w:r>
          </w:p>
        </w:tc>
        <w:tc>
          <w:tcPr>
            <w:tcW w:w="6603" w:type="dxa"/>
            <w:gridSpan w:val="2"/>
          </w:tcPr>
          <w:p w14:paraId="4E64C114">
            <w:pPr>
              <w:pStyle w:val="7"/>
              <w:spacing w:before="239" w:line="220" w:lineRule="auto"/>
              <w:ind w:left="7"/>
              <w:rPr>
                <w:sz w:val="22"/>
                <w:szCs w:val="22"/>
                <w:lang w:eastAsia="zh-CN"/>
              </w:rPr>
            </w:pPr>
            <w:r>
              <w:rPr>
                <w:spacing w:val="-1"/>
                <w:sz w:val="22"/>
                <w:szCs w:val="22"/>
                <w:lang w:eastAsia="zh-CN"/>
              </w:rPr>
              <w:t>新疆维吾尔自治区乌鲁木齐市新华北路165号中天广场</w:t>
            </w:r>
          </w:p>
        </w:tc>
      </w:tr>
      <w:tr w14:paraId="1529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21" w:type="dxa"/>
          </w:tcPr>
          <w:p w14:paraId="36DB0FEA">
            <w:pPr>
              <w:pStyle w:val="7"/>
              <w:spacing w:before="193" w:line="306" w:lineRule="auto"/>
              <w:ind w:left="536" w:right="181" w:hanging="240"/>
              <w:rPr>
                <w:sz w:val="24"/>
                <w:szCs w:val="24"/>
                <w:lang w:eastAsia="zh-CN"/>
              </w:rPr>
            </w:pPr>
            <w:r>
              <w:rPr>
                <w:b/>
                <w:bCs/>
                <w:spacing w:val="-4"/>
                <w:sz w:val="24"/>
                <w:szCs w:val="24"/>
                <w:lang w:eastAsia="zh-CN"/>
              </w:rPr>
              <w:t>上市公司接待</w:t>
            </w:r>
            <w:r>
              <w:rPr>
                <w:spacing w:val="1"/>
                <w:sz w:val="24"/>
                <w:szCs w:val="24"/>
                <w:lang w:eastAsia="zh-CN"/>
              </w:rPr>
              <w:t xml:space="preserve"> </w:t>
            </w:r>
            <w:r>
              <w:rPr>
                <w:b/>
                <w:bCs/>
                <w:spacing w:val="-5"/>
                <w:sz w:val="24"/>
                <w:szCs w:val="24"/>
                <w:lang w:eastAsia="zh-CN"/>
              </w:rPr>
              <w:t>人员姓名</w:t>
            </w:r>
          </w:p>
        </w:tc>
        <w:tc>
          <w:tcPr>
            <w:tcW w:w="6603" w:type="dxa"/>
            <w:gridSpan w:val="2"/>
          </w:tcPr>
          <w:p w14:paraId="0CFE5C5A">
            <w:pPr>
              <w:pStyle w:val="7"/>
              <w:spacing w:before="212" w:line="326" w:lineRule="auto"/>
              <w:ind w:left="6" w:right="2965"/>
              <w:rPr>
                <w:sz w:val="22"/>
                <w:szCs w:val="22"/>
                <w:lang w:eastAsia="zh-CN"/>
              </w:rPr>
            </w:pPr>
            <w:r>
              <w:rPr>
                <w:spacing w:val="-1"/>
                <w:sz w:val="22"/>
                <w:szCs w:val="22"/>
                <w:lang w:eastAsia="zh-CN"/>
              </w:rPr>
              <w:t>广汇能源董事会秘书、副总经理 阳贤</w:t>
            </w:r>
            <w:r>
              <w:rPr>
                <w:spacing w:val="7"/>
                <w:sz w:val="22"/>
                <w:szCs w:val="22"/>
                <w:lang w:eastAsia="zh-CN"/>
              </w:rPr>
              <w:t xml:space="preserve"> </w:t>
            </w:r>
            <w:r>
              <w:rPr>
                <w:spacing w:val="-2"/>
                <w:sz w:val="22"/>
                <w:szCs w:val="22"/>
                <w:lang w:eastAsia="zh-CN"/>
              </w:rPr>
              <w:t>证券部相关人员</w:t>
            </w:r>
          </w:p>
        </w:tc>
      </w:tr>
      <w:tr w14:paraId="6F2E1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8" w:hRule="atLeast"/>
        </w:trPr>
        <w:tc>
          <w:tcPr>
            <w:tcW w:w="1921" w:type="dxa"/>
          </w:tcPr>
          <w:p w14:paraId="793C2B70">
            <w:pPr>
              <w:spacing w:line="267" w:lineRule="auto"/>
              <w:rPr>
                <w:lang w:eastAsia="zh-CN"/>
              </w:rPr>
            </w:pPr>
          </w:p>
          <w:p w14:paraId="145B54C9">
            <w:pPr>
              <w:spacing w:line="267" w:lineRule="auto"/>
              <w:rPr>
                <w:lang w:eastAsia="zh-CN"/>
              </w:rPr>
            </w:pPr>
          </w:p>
          <w:p w14:paraId="0ED0687B">
            <w:pPr>
              <w:spacing w:line="268" w:lineRule="auto"/>
              <w:rPr>
                <w:lang w:eastAsia="zh-CN"/>
              </w:rPr>
            </w:pPr>
          </w:p>
          <w:p w14:paraId="6C44F8C5">
            <w:pPr>
              <w:spacing w:line="268" w:lineRule="auto"/>
              <w:rPr>
                <w:lang w:eastAsia="zh-CN"/>
              </w:rPr>
            </w:pPr>
          </w:p>
          <w:p w14:paraId="2D087F59">
            <w:pPr>
              <w:spacing w:line="268" w:lineRule="auto"/>
              <w:rPr>
                <w:lang w:eastAsia="zh-CN"/>
              </w:rPr>
            </w:pPr>
          </w:p>
          <w:p w14:paraId="3A0A54D2">
            <w:pPr>
              <w:spacing w:line="268" w:lineRule="auto"/>
              <w:rPr>
                <w:lang w:eastAsia="zh-CN"/>
              </w:rPr>
            </w:pPr>
          </w:p>
          <w:p w14:paraId="3964CDD0">
            <w:pPr>
              <w:pStyle w:val="7"/>
              <w:spacing w:before="78" w:line="371" w:lineRule="auto"/>
              <w:ind w:left="247" w:right="108" w:hanging="119"/>
              <w:rPr>
                <w:sz w:val="24"/>
                <w:szCs w:val="24"/>
                <w:lang w:eastAsia="zh-CN"/>
              </w:rPr>
            </w:pPr>
            <w:r>
              <w:rPr>
                <w:b/>
                <w:bCs/>
                <w:spacing w:val="-4"/>
                <w:sz w:val="24"/>
                <w:szCs w:val="24"/>
                <w:lang w:eastAsia="zh-CN"/>
              </w:rPr>
              <w:t>投资者关系活动</w:t>
            </w:r>
            <w:r>
              <w:rPr>
                <w:spacing w:val="2"/>
                <w:sz w:val="24"/>
                <w:szCs w:val="24"/>
                <w:lang w:eastAsia="zh-CN"/>
              </w:rPr>
              <w:t xml:space="preserve"> </w:t>
            </w:r>
            <w:r>
              <w:rPr>
                <w:b/>
                <w:bCs/>
                <w:spacing w:val="-4"/>
                <w:sz w:val="24"/>
                <w:szCs w:val="24"/>
                <w:lang w:eastAsia="zh-CN"/>
              </w:rPr>
              <w:t>主要内容介绍</w:t>
            </w:r>
          </w:p>
        </w:tc>
        <w:tc>
          <w:tcPr>
            <w:tcW w:w="6603" w:type="dxa"/>
            <w:gridSpan w:val="2"/>
          </w:tcPr>
          <w:p w14:paraId="6A7D951D">
            <w:pPr>
              <w:pStyle w:val="7"/>
              <w:widowControl w:val="0"/>
              <w:spacing w:line="460" w:lineRule="exact"/>
              <w:ind w:firstLine="18"/>
              <w:jc w:val="both"/>
              <w:rPr>
                <w:rFonts w:asciiTheme="minorEastAsia" w:hAnsiTheme="minorEastAsia" w:eastAsiaTheme="minorEastAsia"/>
                <w:b/>
                <w:bCs/>
                <w:lang w:eastAsia="zh-CN"/>
              </w:rPr>
            </w:pPr>
            <w:r>
              <w:rPr>
                <w:rFonts w:hint="eastAsia" w:asciiTheme="minorEastAsia" w:hAnsiTheme="minorEastAsia" w:eastAsiaTheme="minorEastAsia"/>
                <w:b/>
                <w:bCs/>
                <w:lang w:eastAsia="zh-CN"/>
              </w:rPr>
              <w:t>1.煤炭价格下行，公司去年四季度及今年一季度的产销量及赢利情况是否受到影响？</w:t>
            </w:r>
          </w:p>
          <w:p w14:paraId="6AC7B2D4">
            <w:pPr>
              <w:widowControl w:val="0"/>
              <w:spacing w:line="460" w:lineRule="exact"/>
              <w:jc w:val="both"/>
              <w:rPr>
                <w:rFonts w:hint="eastAsia"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回复：（一）产销量情况。</w:t>
            </w:r>
            <w:r>
              <w:rPr>
                <w:rFonts w:hint="eastAsia" w:asciiTheme="minorEastAsia" w:hAnsiTheme="minorEastAsia" w:eastAsiaTheme="minorEastAsia"/>
                <w:sz w:val="22"/>
                <w:szCs w:val="22"/>
                <w:lang w:eastAsia="zh-CN"/>
              </w:rPr>
              <w:t>2024年四季度，公司煤炭优质产能逐步释放，煤炭业务表现强劲，四季度销量累计超过1800万吨（注：此数据为运营数据，下同），同环比均大幅提升。</w:t>
            </w:r>
            <w:r>
              <w:rPr>
                <w:rFonts w:asciiTheme="minorEastAsia" w:hAnsiTheme="minorEastAsia" w:eastAsiaTheme="minorEastAsia"/>
                <w:sz w:val="22"/>
                <w:szCs w:val="22"/>
                <w:lang w:eastAsia="zh-CN"/>
              </w:rPr>
              <w:t>2025</w:t>
            </w:r>
            <w:r>
              <w:rPr>
                <w:rFonts w:hint="eastAsia" w:asciiTheme="minorEastAsia" w:hAnsiTheme="minorEastAsia" w:eastAsiaTheme="minorEastAsia"/>
                <w:sz w:val="22"/>
                <w:szCs w:val="22"/>
                <w:lang w:eastAsia="zh-CN"/>
              </w:rPr>
              <w:t>年</w:t>
            </w:r>
            <w:r>
              <w:rPr>
                <w:rFonts w:asciiTheme="minorEastAsia" w:hAnsiTheme="minorEastAsia" w:eastAsiaTheme="minorEastAsia"/>
                <w:sz w:val="22"/>
                <w:szCs w:val="22"/>
                <w:lang w:eastAsia="zh-CN"/>
              </w:rPr>
              <w:t>1</w:t>
            </w:r>
            <w:r>
              <w:rPr>
                <w:rFonts w:hint="eastAsia" w:asciiTheme="minorEastAsia" w:hAnsiTheme="minorEastAsia" w:eastAsiaTheme="minorEastAsia"/>
                <w:sz w:val="22"/>
                <w:szCs w:val="22"/>
                <w:lang w:eastAsia="zh-CN"/>
              </w:rPr>
              <w:t>月，公司实现煤炭销量</w:t>
            </w:r>
            <w:r>
              <w:rPr>
                <w:rFonts w:asciiTheme="minorEastAsia" w:hAnsiTheme="minorEastAsia" w:eastAsiaTheme="minorEastAsia"/>
                <w:sz w:val="22"/>
                <w:szCs w:val="22"/>
                <w:lang w:eastAsia="zh-CN"/>
              </w:rPr>
              <w:t>607.21</w:t>
            </w:r>
            <w:r>
              <w:rPr>
                <w:rFonts w:hint="eastAsia" w:asciiTheme="minorEastAsia" w:hAnsiTheme="minorEastAsia" w:eastAsiaTheme="minorEastAsia"/>
                <w:sz w:val="22"/>
                <w:szCs w:val="22"/>
                <w:lang w:eastAsia="zh-CN"/>
              </w:rPr>
              <w:t>万吨</w:t>
            </w:r>
            <w:r>
              <w:rPr>
                <w:rFonts w:asciiTheme="minorEastAsia" w:hAnsiTheme="minorEastAsia" w:eastAsiaTheme="minorEastAsia"/>
                <w:sz w:val="22"/>
                <w:szCs w:val="22"/>
                <w:lang w:eastAsia="zh-CN"/>
              </w:rPr>
              <w:t xml:space="preserve"> </w:t>
            </w:r>
            <w:r>
              <w:rPr>
                <w:rFonts w:hint="eastAsia" w:asciiTheme="minorEastAsia" w:hAnsiTheme="minorEastAsia" w:eastAsiaTheme="minorEastAsia"/>
                <w:sz w:val="22"/>
                <w:szCs w:val="22"/>
                <w:lang w:eastAsia="zh-CN"/>
              </w:rPr>
              <w:t>，</w:t>
            </w:r>
            <w:r>
              <w:rPr>
                <w:rFonts w:asciiTheme="minorEastAsia" w:hAnsiTheme="minorEastAsia" w:eastAsiaTheme="minorEastAsia"/>
                <w:sz w:val="22"/>
                <w:szCs w:val="22"/>
                <w:lang w:eastAsia="zh-CN"/>
              </w:rPr>
              <w:t>2</w:t>
            </w:r>
            <w:r>
              <w:rPr>
                <w:rFonts w:hint="eastAsia" w:asciiTheme="minorEastAsia" w:hAnsiTheme="minorEastAsia" w:eastAsiaTheme="minorEastAsia"/>
                <w:sz w:val="22"/>
                <w:szCs w:val="22"/>
                <w:lang w:eastAsia="zh-CN"/>
              </w:rPr>
              <w:t>月开工天数少，且受同期气温偏暖及春节后下游复工复产不及预期等因素影响，煤炭产销量有所减少，具体详见即将发布的公司月度报告。</w:t>
            </w:r>
          </w:p>
          <w:p w14:paraId="0DD6178E">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（二）价格及盈利情况。</w:t>
            </w:r>
            <w:r>
              <w:rPr>
                <w:rFonts w:hint="eastAsia" w:asciiTheme="minorEastAsia" w:hAnsiTheme="minorEastAsia" w:eastAsiaTheme="minorEastAsia"/>
                <w:sz w:val="22"/>
                <w:szCs w:val="22"/>
                <w:lang w:eastAsia="zh-CN"/>
              </w:rPr>
              <w:t>2024年四季度，尽管环渤海地区煤炭价格受气温和进口煤冲击影响持续下行，但公司煤炭外销主要区域为西北及西南地区，供暖季刚需对价格起到支撑作用，吨煤盈利情况整体持稳。2025年前两月，由于煤炭市场下游需求疲软，公司煤炭价格小幅下调。</w:t>
            </w:r>
          </w:p>
          <w:p w14:paraId="72F91C20">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（三）在当前煤炭市场疲软情况下公司如何应对。</w:t>
            </w:r>
            <w:r>
              <w:rPr>
                <w:rFonts w:hint="eastAsia" w:asciiTheme="minorEastAsia" w:hAnsiTheme="minorEastAsia" w:eastAsiaTheme="minorEastAsia"/>
                <w:sz w:val="22"/>
                <w:szCs w:val="22"/>
                <w:lang w:eastAsia="zh-CN"/>
              </w:rPr>
              <w:t>随着下游企业复工复产进程加快以及煤炭进口节奏有所放缓，目前煤炭价格已逐步筑底企稳。当前，公司同步积极采取多项措施应对市场变化：一方面，加大内部挖潜降本，降低煤炭生产成本；另一方面，积极争取国铁优惠政策，降低运输成本。在此基础上，公司积极拓展销售渠道，加大市场开拓力度，形成有效对接。目前，公司煤炭产销量已逐步企稳回升。</w:t>
            </w:r>
          </w:p>
          <w:p w14:paraId="64FE852E">
            <w:pPr>
              <w:widowControl w:val="0"/>
              <w:spacing w:line="460" w:lineRule="exact"/>
              <w:jc w:val="both"/>
              <w:rPr>
                <w:rFonts w:asciiTheme="minorEastAsia" w:hAnsiTheme="minorEastAsia" w:eastAsiaTheme="minorEastAsia"/>
                <w:sz w:val="22"/>
                <w:szCs w:val="22"/>
                <w:lang w:eastAsia="zh-CN"/>
              </w:rPr>
            </w:pPr>
          </w:p>
          <w:p w14:paraId="5F8C3D6F">
            <w:pPr>
              <w:widowControl w:val="0"/>
              <w:spacing w:line="460" w:lineRule="exact"/>
              <w:jc w:val="both"/>
              <w:rPr>
                <w:rFonts w:asciiTheme="minorEastAsia" w:hAnsiTheme="minorEastAsia" w:eastAsiaTheme="minorEastAsia"/>
                <w:b/>
                <w:bCs/>
                <w:sz w:val="22"/>
                <w:szCs w:val="22"/>
                <w:lang w:eastAsia="zh-CN"/>
              </w:rPr>
            </w:pPr>
            <w:r>
              <w:rPr>
                <w:rFonts w:hint="eastAsia" w:asciiTheme="minorEastAsia" w:hAnsiTheme="minorEastAsia" w:eastAsiaTheme="minorEastAsia"/>
                <w:b/>
                <w:bCs/>
                <w:sz w:val="22"/>
                <w:szCs w:val="22"/>
                <w:lang w:eastAsia="zh-CN"/>
              </w:rPr>
              <w:t>2.公司煤炭业务的整体情况、战略定位及规划是怎样的？</w:t>
            </w:r>
          </w:p>
          <w:p w14:paraId="26D85CB9">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回复：</w:t>
            </w:r>
            <w:r>
              <w:rPr>
                <w:rFonts w:hint="eastAsia" w:asciiTheme="minorEastAsia" w:hAnsiTheme="minorEastAsia" w:eastAsiaTheme="minorEastAsia"/>
                <w:sz w:val="22"/>
                <w:szCs w:val="22"/>
                <w:lang w:eastAsia="zh-CN"/>
              </w:rPr>
              <w:t>面对严峻复杂的国际能源形势和较大的国内能源保供压力，预计很长一段期间内，煤炭仍然是我国自主可控、具有自然优势的能源资源。新疆凭借丰富的资源优势，被定位为“国家煤炭供应保障基地”和“大型煤电煤化工基地”，纳入“十四五”能源通道规划，重点支持“疆煤外运”通道建设和煤炭优质产能释放。在此背景下，公司将依托自身在煤炭开发利用方面拥有的资源、品质、渠道和区位优势，持续推进煤炭优质产能释放。</w:t>
            </w:r>
          </w:p>
          <w:p w14:paraId="7A74D6A3">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（一）煤炭整体与项目建设。</w:t>
            </w:r>
            <w:r>
              <w:rPr>
                <w:rFonts w:hint="eastAsia" w:asciiTheme="minorEastAsia" w:hAnsiTheme="minorEastAsia" w:eastAsiaTheme="minorEastAsia"/>
                <w:sz w:val="22"/>
                <w:szCs w:val="22"/>
                <w:lang w:eastAsia="zh-CN"/>
              </w:rPr>
              <w:t>广汇能源拥有白石湖煤矿、马朗煤矿和东部矿区三大矿区，煤炭资源总量达65.97亿吨。白石湖煤矿，加快更换大型化、自动化、智能化生产设备，助力生产效率的提升和生产成本的降低，保障煤炭稳定供应。马朗煤矿，已获得国家发改委项目核准批复及国家生态环境部环境影响报告书批复，同时提前谋划采煤工作面布置，合理安排配采，确保原煤质量。东部矿区，全力推进东二矿纳入自治区“十四五规划”手续办理工作，加快取得项目核准批复，形成煤炭新产能的释放。随着三大矿区优质产能的有序释放，公司服务保障国家能源安全的能力将显著提升。</w:t>
            </w:r>
          </w:p>
          <w:p w14:paraId="411433C1">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（二）外运能力提升。</w:t>
            </w:r>
            <w:r>
              <w:rPr>
                <w:rFonts w:hint="eastAsia" w:asciiTheme="minorEastAsia" w:hAnsiTheme="minorEastAsia" w:eastAsiaTheme="minorEastAsia"/>
                <w:sz w:val="22"/>
                <w:szCs w:val="22"/>
                <w:lang w:eastAsia="zh-CN"/>
              </w:rPr>
              <w:t>广汇能源通过自建的淖柳公路和红淖铁路，形成了“公铁联运”的物流优势，有效保障了公司煤炭外输的运力需求。2024年，为进一步提升煤炭外运能力，公司对淖柳公路开展了改扩建工程，建设完成后淖柳公路运力将从2000万吨/年提升至4000万吨/年。此外，公司还通过优化运输网络，进一步拓展煤炭销售范围，公司煤炭外运能力显著提升。</w:t>
            </w:r>
          </w:p>
          <w:p w14:paraId="1F5BAC14">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（三）市场机遇与政策支持。</w:t>
            </w:r>
            <w:r>
              <w:rPr>
                <w:rFonts w:hint="eastAsia" w:asciiTheme="minorEastAsia" w:hAnsiTheme="minorEastAsia" w:eastAsiaTheme="minorEastAsia"/>
                <w:sz w:val="22"/>
                <w:szCs w:val="22"/>
                <w:lang w:eastAsia="zh-CN"/>
              </w:rPr>
              <w:t>新疆作为国家能源资源战略保障基地，肩负着保障国家能源安全的重大使命，是我国重要的能源接替区和战略能源储备区。2024年，新疆原煤产量达到5.41亿吨，同比增长17.5%，增速在全国主要产煤省区中位居首位；“疆煤外运”量达到1.4亿吨，同比增长26.1%。广汇能源深度融入国家及地方政策，通过产能释放、物流通道建设、清洁高效利用、新能源探索以及产业集群协同发展等多方面的创新举措，为新疆打造国家能源资源战略保障基地提供了强大助力，为新疆经济发展注入了强劲动力，也为国家能源安全筑牢了坚实根基。</w:t>
            </w:r>
          </w:p>
          <w:p w14:paraId="14B7DA7E">
            <w:pPr>
              <w:widowControl w:val="0"/>
              <w:spacing w:line="460" w:lineRule="exact"/>
              <w:jc w:val="both"/>
              <w:rPr>
                <w:rFonts w:asciiTheme="minorEastAsia" w:hAnsiTheme="minorEastAsia" w:eastAsiaTheme="minorEastAsia"/>
                <w:sz w:val="22"/>
                <w:szCs w:val="22"/>
                <w:lang w:eastAsia="zh-CN"/>
              </w:rPr>
            </w:pPr>
          </w:p>
          <w:p w14:paraId="152ACA0A">
            <w:pPr>
              <w:widowControl w:val="0"/>
              <w:spacing w:line="460" w:lineRule="exact"/>
              <w:jc w:val="both"/>
              <w:rPr>
                <w:rFonts w:asciiTheme="minorEastAsia" w:hAnsiTheme="minorEastAsia" w:eastAsiaTheme="minorEastAsia"/>
                <w:b/>
                <w:bCs/>
                <w:sz w:val="22"/>
                <w:szCs w:val="22"/>
                <w:lang w:eastAsia="zh-CN"/>
              </w:rPr>
            </w:pPr>
            <w:r>
              <w:rPr>
                <w:rFonts w:hint="eastAsia" w:asciiTheme="minorEastAsia" w:hAnsiTheme="minorEastAsia" w:eastAsiaTheme="minorEastAsia"/>
                <w:b/>
                <w:bCs/>
                <w:sz w:val="22"/>
                <w:szCs w:val="22"/>
                <w:lang w:eastAsia="zh-CN"/>
              </w:rPr>
              <w:t>3.马朗煤矿热值情况？</w:t>
            </w:r>
          </w:p>
          <w:p w14:paraId="6697F12D">
            <w:pPr>
              <w:widowControl w:val="0"/>
              <w:spacing w:line="460" w:lineRule="exact"/>
              <w:jc w:val="both"/>
              <w:rPr>
                <w:rFonts w:asciiTheme="minorEastAsia" w:hAnsiTheme="minorEastAsia" w:eastAsiaTheme="minorEastAsia"/>
                <w:sz w:val="22"/>
                <w:szCs w:val="22"/>
                <w:lang w:eastAsia="zh-CN"/>
              </w:rPr>
            </w:pPr>
            <w:r>
              <w:rPr>
                <w:rFonts w:asciiTheme="minorEastAsia" w:hAnsiTheme="minorEastAsia" w:eastAsiaTheme="minorEastAsia"/>
                <w:b/>
                <w:bCs/>
                <w:sz w:val="22"/>
                <w:szCs w:val="22"/>
                <w:lang w:eastAsia="zh-CN"/>
              </w:rPr>
              <w:t>回复：</w:t>
            </w:r>
            <w:r>
              <w:rPr>
                <w:rFonts w:asciiTheme="minorEastAsia" w:hAnsiTheme="minorEastAsia" w:eastAsiaTheme="minorEastAsia"/>
                <w:sz w:val="22"/>
                <w:szCs w:val="22"/>
                <w:lang w:eastAsia="zh-CN"/>
              </w:rPr>
              <w:t>马朗煤矿开采初期原煤热值为4600-4700大卡，随着开采深度的增加，水分和腐殖酸含量都在持续降低，目前原煤热值已达到4900-5000大卡</w:t>
            </w:r>
            <w:r>
              <w:rPr>
                <w:rFonts w:hint="eastAsia" w:asciiTheme="minorEastAsia" w:hAnsiTheme="minorEastAsia" w:eastAsiaTheme="minorEastAsia"/>
                <w:sz w:val="22"/>
                <w:szCs w:val="22"/>
                <w:lang w:eastAsia="zh-CN"/>
              </w:rPr>
              <w:t>，经抑尘后商品煤热值以4800大卡为主</w:t>
            </w:r>
            <w:r>
              <w:rPr>
                <w:rFonts w:asciiTheme="minorEastAsia" w:hAnsiTheme="minorEastAsia" w:eastAsiaTheme="minorEastAsia"/>
                <w:sz w:val="22"/>
                <w:szCs w:val="22"/>
                <w:lang w:eastAsia="zh-CN"/>
              </w:rPr>
              <w:t>。后期，原煤水分和腐殖酸含量有望进一步降低，煤炭热值或将稳步提升。</w:t>
            </w:r>
          </w:p>
          <w:p w14:paraId="1767789F">
            <w:pPr>
              <w:widowControl w:val="0"/>
              <w:spacing w:line="460" w:lineRule="exact"/>
              <w:jc w:val="both"/>
              <w:rPr>
                <w:rFonts w:asciiTheme="minorEastAsia" w:hAnsiTheme="minorEastAsia" w:eastAsiaTheme="minorEastAsia"/>
                <w:sz w:val="22"/>
                <w:szCs w:val="22"/>
                <w:lang w:eastAsia="zh-CN"/>
              </w:rPr>
            </w:pPr>
          </w:p>
          <w:p w14:paraId="6DA0E65C">
            <w:pPr>
              <w:widowControl w:val="0"/>
              <w:spacing w:line="460" w:lineRule="exact"/>
              <w:jc w:val="both"/>
              <w:rPr>
                <w:rFonts w:asciiTheme="minorEastAsia" w:hAnsiTheme="minorEastAsia" w:eastAsiaTheme="minorEastAsia"/>
                <w:b/>
                <w:bCs/>
                <w:sz w:val="22"/>
                <w:szCs w:val="22"/>
                <w:lang w:eastAsia="zh-CN"/>
              </w:rPr>
            </w:pPr>
            <w:r>
              <w:rPr>
                <w:rFonts w:hint="eastAsia" w:asciiTheme="minorEastAsia" w:hAnsiTheme="minorEastAsia" w:eastAsiaTheme="minorEastAsia"/>
                <w:b/>
                <w:bCs/>
                <w:sz w:val="22"/>
                <w:szCs w:val="22"/>
                <w:lang w:eastAsia="zh-CN"/>
              </w:rPr>
              <w:t>4.公司斋桑油田项目的开发进展如何？</w:t>
            </w:r>
          </w:p>
          <w:p w14:paraId="1E7963F9">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回复：</w:t>
            </w:r>
            <w:r>
              <w:rPr>
                <w:rFonts w:hint="eastAsia" w:asciiTheme="minorEastAsia" w:hAnsiTheme="minorEastAsia" w:eastAsiaTheme="minorEastAsia"/>
                <w:sz w:val="22"/>
                <w:szCs w:val="22"/>
                <w:lang w:eastAsia="zh-CN"/>
              </w:rPr>
              <w:t>当前，广汇能源正持续加快推进斋桑油田的增储上产工作。一方面，公司积极推进浅层稠油气溶胶开发试验，探索高效的开发技术，以提升资源利用率和生产效率。另一方面，公司同步开展深层稀油的增储扩边工作，通过拓展深部含油范围，进一步落实优质储量规模，为产能建设奠定坚实基础。此外，公司也在加快推进原油进口手续办理及相关地面设施建设工作，配合勘探开发进展尽快实现原油进口加工。</w:t>
            </w:r>
          </w:p>
          <w:p w14:paraId="54B44C25">
            <w:pPr>
              <w:widowControl w:val="0"/>
              <w:spacing w:line="460" w:lineRule="exact"/>
              <w:jc w:val="both"/>
              <w:rPr>
                <w:rFonts w:asciiTheme="minorEastAsia" w:hAnsiTheme="minorEastAsia" w:eastAsiaTheme="minorEastAsia"/>
                <w:sz w:val="22"/>
                <w:szCs w:val="22"/>
                <w:lang w:eastAsia="zh-CN"/>
              </w:rPr>
            </w:pPr>
          </w:p>
          <w:p w14:paraId="0A39CFF3">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5.今年疆煤外运的整体情况如何?后续煤炭产能释放迅速，运力方面是否能够有所保障？</w:t>
            </w:r>
            <w:r>
              <w:rPr>
                <w:rFonts w:asciiTheme="minorEastAsia" w:hAnsiTheme="minorEastAsia" w:eastAsiaTheme="minorEastAsia"/>
                <w:b/>
                <w:bCs/>
                <w:sz w:val="22"/>
                <w:szCs w:val="22"/>
                <w:lang w:eastAsia="zh-CN"/>
              </w:rPr>
              <w:cr/>
            </w:r>
            <w:r>
              <w:rPr>
                <w:rFonts w:hint="eastAsia" w:asciiTheme="minorEastAsia" w:hAnsiTheme="minorEastAsia" w:eastAsiaTheme="minorEastAsia"/>
                <w:b/>
                <w:bCs/>
                <w:sz w:val="22"/>
                <w:szCs w:val="22"/>
                <w:lang w:eastAsia="zh-CN"/>
              </w:rPr>
              <w:t>回复：</w:t>
            </w:r>
            <w:r>
              <w:rPr>
                <w:rFonts w:hint="eastAsia" w:asciiTheme="minorEastAsia" w:hAnsiTheme="minorEastAsia" w:eastAsiaTheme="minorEastAsia"/>
                <w:sz w:val="22"/>
                <w:szCs w:val="22"/>
                <w:lang w:eastAsia="zh-CN"/>
              </w:rPr>
              <w:t>根据乌铁局数据，2025年1月，疆煤外运量851.9万吨，同比增长18.6%。随着广汇能源煤炭优质产能持续释放，煤炭外运量也将持续提升，公司拥有自建的铁路和公路双重出疆通道，为煤炭销售提供了坚实的物流保障。年内，公司自建的淖柳公路将完成从2000万吨/年至4000万吨/年的扩增工程，进一步提升了公路运输能力。同时，淖柳公路到河西走廊地区的公转铁辐射能力也将逐步提升，叠加广汇物流红淖铁路运力及物流基地周转能力提升的各项措施的落地，将极大地满足公司的煤炭外销的运力需求。此外，公司持续推进客户自提业务，充分调动社会资源，发挥客户自提的积极性，多措并举保障煤炭运输。</w:t>
            </w:r>
          </w:p>
          <w:p w14:paraId="6CDEF827">
            <w:pPr>
              <w:widowControl w:val="0"/>
              <w:spacing w:line="460" w:lineRule="exact"/>
              <w:jc w:val="both"/>
              <w:rPr>
                <w:rFonts w:asciiTheme="minorEastAsia" w:hAnsiTheme="minorEastAsia" w:eastAsiaTheme="minorEastAsia"/>
                <w:sz w:val="22"/>
                <w:szCs w:val="22"/>
                <w:lang w:eastAsia="zh-CN"/>
              </w:rPr>
            </w:pPr>
          </w:p>
          <w:p w14:paraId="1FA567E9">
            <w:pPr>
              <w:widowControl w:val="0"/>
              <w:spacing w:line="460" w:lineRule="exact"/>
              <w:jc w:val="both"/>
              <w:rPr>
                <w:rFonts w:asciiTheme="minorEastAsia" w:hAnsiTheme="minorEastAsia" w:eastAsiaTheme="minorEastAsia"/>
                <w:b/>
                <w:bCs/>
                <w:sz w:val="22"/>
                <w:szCs w:val="22"/>
                <w:lang w:eastAsia="zh-CN"/>
              </w:rPr>
            </w:pPr>
            <w:r>
              <w:rPr>
                <w:rFonts w:asciiTheme="minorEastAsia" w:hAnsiTheme="minorEastAsia" w:eastAsiaTheme="minorEastAsia"/>
                <w:b/>
                <w:bCs/>
                <w:sz w:val="22"/>
                <w:szCs w:val="22"/>
                <w:lang w:eastAsia="zh-CN"/>
              </w:rPr>
              <w:t>6.</w:t>
            </w:r>
            <w:r>
              <w:rPr>
                <w:rFonts w:hint="eastAsia" w:asciiTheme="minorEastAsia" w:hAnsiTheme="minorEastAsia" w:eastAsiaTheme="minorEastAsia"/>
                <w:b/>
                <w:bCs/>
                <w:sz w:val="22"/>
                <w:szCs w:val="22"/>
                <w:lang w:eastAsia="zh-CN"/>
              </w:rPr>
              <w:t>请问公司未来还会保持现在的分红比例么？</w:t>
            </w:r>
          </w:p>
          <w:p w14:paraId="6B6CB675">
            <w:pPr>
              <w:widowControl w:val="0"/>
              <w:spacing w:line="460" w:lineRule="exact"/>
              <w:jc w:val="both"/>
              <w:rPr>
                <w:rFonts w:asciiTheme="minorEastAsia" w:hAnsiTheme="minorEastAsia" w:eastAsiaTheme="minorEastAsia"/>
                <w:b/>
                <w:bCs/>
                <w:sz w:val="22"/>
                <w:szCs w:val="22"/>
                <w:lang w:eastAsia="zh-CN"/>
              </w:rPr>
            </w:pPr>
            <w:r>
              <w:rPr>
                <w:rFonts w:hint="eastAsia" w:asciiTheme="minorEastAsia" w:hAnsiTheme="minorEastAsia" w:eastAsiaTheme="minorEastAsia"/>
                <w:b/>
                <w:bCs/>
                <w:sz w:val="22"/>
                <w:szCs w:val="22"/>
                <w:lang w:eastAsia="zh-CN"/>
              </w:rPr>
              <w:t>回复：</w:t>
            </w:r>
            <w:r>
              <w:rPr>
                <w:rFonts w:hint="eastAsia" w:asciiTheme="minorEastAsia" w:hAnsiTheme="minorEastAsia" w:eastAsiaTheme="minorEastAsia"/>
                <w:sz w:val="22"/>
                <w:szCs w:val="22"/>
                <w:lang w:eastAsia="zh-CN"/>
              </w:rPr>
              <w:t>公司始终重视投资者回报工作，历来积极采用回购、分红等方式与广大投资者共享经营成果，将在完成</w:t>
            </w:r>
            <w:r>
              <w:rPr>
                <w:rFonts w:asciiTheme="minorEastAsia" w:hAnsiTheme="minorEastAsia" w:eastAsiaTheme="minorEastAsia"/>
                <w:sz w:val="22"/>
                <w:szCs w:val="22"/>
                <w:lang w:eastAsia="zh-CN"/>
              </w:rPr>
              <w:t>2022-2024</w:t>
            </w:r>
            <w:r>
              <w:rPr>
                <w:rFonts w:hint="eastAsia" w:asciiTheme="minorEastAsia" w:hAnsiTheme="minorEastAsia" w:eastAsiaTheme="minorEastAsia"/>
                <w:sz w:val="22"/>
                <w:szCs w:val="22"/>
                <w:lang w:eastAsia="zh-CN"/>
              </w:rPr>
              <w:t>年既有分红方案的基础上，对标煤炭行业内头部上市公司分红政策，结合公司业务发展实际需求、盈利水平、政策指导及股东诉求等多方面因素综合考虑新的三年分红政策及方案，同时秉承与时俱进理念积极支持分红形式的多样化，予以合理平衡企业可持续发展和股东回报。</w:t>
            </w:r>
          </w:p>
          <w:p w14:paraId="5F98DCFC">
            <w:pPr>
              <w:widowControl w:val="0"/>
              <w:spacing w:line="460" w:lineRule="exact"/>
              <w:jc w:val="both"/>
              <w:rPr>
                <w:rFonts w:asciiTheme="minorEastAsia" w:hAnsiTheme="minorEastAsia" w:eastAsiaTheme="minorEastAsia"/>
                <w:b/>
                <w:bCs/>
                <w:sz w:val="22"/>
                <w:szCs w:val="22"/>
                <w:lang w:eastAsia="zh-CN"/>
              </w:rPr>
            </w:pPr>
          </w:p>
          <w:p w14:paraId="7E146CDA">
            <w:pPr>
              <w:widowControl w:val="0"/>
              <w:spacing w:line="460" w:lineRule="exact"/>
              <w:jc w:val="both"/>
              <w:rPr>
                <w:rFonts w:asciiTheme="minorEastAsia" w:hAnsiTheme="minorEastAsia" w:eastAsiaTheme="minorEastAsia"/>
                <w:b/>
                <w:bCs/>
                <w:sz w:val="22"/>
                <w:szCs w:val="22"/>
                <w:lang w:eastAsia="zh-CN"/>
              </w:rPr>
            </w:pPr>
            <w:r>
              <w:rPr>
                <w:rFonts w:asciiTheme="minorEastAsia" w:hAnsiTheme="minorEastAsia" w:eastAsiaTheme="minorEastAsia"/>
                <w:b/>
                <w:bCs/>
                <w:sz w:val="22"/>
                <w:szCs w:val="22"/>
                <w:lang w:eastAsia="zh-CN"/>
              </w:rPr>
              <w:t>7.</w:t>
            </w:r>
            <w:r>
              <w:rPr>
                <w:rFonts w:hint="eastAsia" w:asciiTheme="minorEastAsia" w:hAnsiTheme="minorEastAsia" w:eastAsiaTheme="minorEastAsia"/>
                <w:b/>
                <w:bCs/>
                <w:sz w:val="22"/>
                <w:szCs w:val="22"/>
                <w:lang w:eastAsia="zh-CN"/>
              </w:rPr>
              <w:t>公司未来煤化工的规划？</w:t>
            </w:r>
          </w:p>
          <w:p w14:paraId="65B239C2">
            <w:pPr>
              <w:widowControl w:val="0"/>
              <w:spacing w:line="460" w:lineRule="exact"/>
              <w:jc w:val="both"/>
              <w:rPr>
                <w:rFonts w:asciiTheme="minorEastAsia" w:hAnsiTheme="minorEastAsia" w:eastAsiaTheme="minorEastAsia"/>
                <w:b/>
                <w:bCs/>
                <w:sz w:val="22"/>
                <w:szCs w:val="22"/>
                <w:lang w:eastAsia="zh-CN"/>
              </w:rPr>
            </w:pPr>
            <w:r>
              <w:rPr>
                <w:rFonts w:hint="eastAsia" w:asciiTheme="minorEastAsia" w:hAnsiTheme="minorEastAsia" w:eastAsiaTheme="minorEastAsia"/>
                <w:b/>
                <w:bCs/>
                <w:sz w:val="22"/>
                <w:szCs w:val="22"/>
                <w:lang w:eastAsia="zh-CN"/>
              </w:rPr>
              <w:t>回复：</w:t>
            </w:r>
            <w:r>
              <w:rPr>
                <w:rFonts w:asciiTheme="minorEastAsia" w:hAnsiTheme="minorEastAsia" w:eastAsiaTheme="minorEastAsia"/>
                <w:sz w:val="22"/>
                <w:szCs w:val="22"/>
                <w:lang w:eastAsia="zh-CN"/>
              </w:rPr>
              <w:t>2025</w:t>
            </w:r>
            <w:r>
              <w:rPr>
                <w:rFonts w:hint="eastAsia" w:asciiTheme="minorEastAsia" w:hAnsiTheme="minorEastAsia" w:eastAsiaTheme="minorEastAsia"/>
                <w:sz w:val="22"/>
                <w:szCs w:val="22"/>
                <w:lang w:eastAsia="zh-CN"/>
              </w:rPr>
              <w:t>年，公司煤化工板块以稳定生产为主线，重点保障现有装置的稳定运行，确保生产效率和产品质量，满足市场需求。同时，在新疆全力打造国家能源资源战略保障基地的背景下，公司始终坚持煤炭和煤炭工产业链一体化发展，依托产品的多样化平抑煤炭市场价格大幅波动对公司利润造成的影响。一方面，积极推进煤化工产业链延链、补链、强链，产品往高端化、差异化方向发展；另一方面，公司坚持探索煤化工与新能源产业的耦合，走绿色、低碳、清洁化发展道路。在确保现有煤化工装置稳定运行的基础上，公司正稳步推进</w:t>
            </w:r>
            <w:r>
              <w:rPr>
                <w:rFonts w:asciiTheme="minorEastAsia" w:hAnsiTheme="minorEastAsia" w:eastAsiaTheme="minorEastAsia"/>
                <w:sz w:val="22"/>
                <w:szCs w:val="22"/>
                <w:lang w:eastAsia="zh-CN"/>
              </w:rPr>
              <w:t>1500</w:t>
            </w:r>
            <w:r>
              <w:rPr>
                <w:rFonts w:hint="eastAsia" w:asciiTheme="minorEastAsia" w:hAnsiTheme="minorEastAsia" w:eastAsiaTheme="minorEastAsia"/>
                <w:sz w:val="22"/>
                <w:szCs w:val="22"/>
                <w:lang w:eastAsia="zh-CN"/>
              </w:rPr>
              <w:t>万吨</w:t>
            </w:r>
            <w:r>
              <w:rPr>
                <w:rFonts w:asciiTheme="minorEastAsia" w:hAnsiTheme="minorEastAsia" w:eastAsiaTheme="minorEastAsia"/>
                <w:sz w:val="22"/>
                <w:szCs w:val="22"/>
                <w:lang w:eastAsia="zh-CN"/>
              </w:rPr>
              <w:t>/</w:t>
            </w:r>
            <w:r>
              <w:rPr>
                <w:rFonts w:hint="eastAsia" w:asciiTheme="minorEastAsia" w:hAnsiTheme="minorEastAsia" w:eastAsiaTheme="minorEastAsia"/>
                <w:sz w:val="22"/>
                <w:szCs w:val="22"/>
                <w:lang w:eastAsia="zh-CN"/>
              </w:rPr>
              <w:t>年煤炭分级分质综合利用示范项目。</w:t>
            </w:r>
          </w:p>
          <w:p w14:paraId="281FDDED">
            <w:pPr>
              <w:widowControl w:val="0"/>
              <w:spacing w:line="460" w:lineRule="exact"/>
              <w:jc w:val="both"/>
              <w:rPr>
                <w:rFonts w:asciiTheme="minorEastAsia" w:hAnsiTheme="minorEastAsia" w:eastAsiaTheme="minorEastAsia"/>
                <w:b/>
                <w:bCs/>
                <w:sz w:val="22"/>
                <w:szCs w:val="22"/>
                <w:lang w:eastAsia="zh-CN"/>
              </w:rPr>
            </w:pPr>
          </w:p>
          <w:p w14:paraId="1A9930B0">
            <w:pPr>
              <w:widowControl w:val="0"/>
              <w:spacing w:line="460" w:lineRule="exact"/>
              <w:jc w:val="both"/>
              <w:rPr>
                <w:rFonts w:asciiTheme="minorEastAsia" w:hAnsiTheme="minorEastAsia" w:eastAsiaTheme="minorEastAsia"/>
                <w:b/>
                <w:bCs/>
                <w:sz w:val="22"/>
                <w:szCs w:val="22"/>
                <w:lang w:eastAsia="zh-CN"/>
              </w:rPr>
            </w:pPr>
            <w:r>
              <w:rPr>
                <w:rFonts w:asciiTheme="minorEastAsia" w:hAnsiTheme="minorEastAsia" w:eastAsiaTheme="minorEastAsia"/>
                <w:b/>
                <w:bCs/>
                <w:sz w:val="22"/>
                <w:szCs w:val="22"/>
                <w:lang w:eastAsia="zh-CN"/>
              </w:rPr>
              <w:t>8.</w:t>
            </w:r>
            <w:r>
              <w:rPr>
                <w:rFonts w:hint="eastAsia" w:asciiTheme="minorEastAsia" w:hAnsiTheme="minorEastAsia" w:eastAsiaTheme="minorEastAsia"/>
                <w:b/>
                <w:bCs/>
                <w:sz w:val="22"/>
                <w:szCs w:val="22"/>
                <w:lang w:eastAsia="zh-CN"/>
              </w:rPr>
              <w:t>目前公司外购气的情况？</w:t>
            </w:r>
          </w:p>
          <w:p w14:paraId="539404F6">
            <w:pPr>
              <w:widowControl w:val="0"/>
              <w:spacing w:line="460" w:lineRule="exact"/>
              <w:jc w:val="both"/>
              <w:rPr>
                <w:rFonts w:asciiTheme="minorEastAsia" w:hAnsiTheme="minorEastAsia" w:eastAsiaTheme="minorEastAsia"/>
                <w:sz w:val="22"/>
                <w:szCs w:val="22"/>
                <w:lang w:eastAsia="zh-CN"/>
              </w:rPr>
            </w:pPr>
            <w:r>
              <w:rPr>
                <w:rFonts w:hint="eastAsia" w:asciiTheme="minorEastAsia" w:hAnsiTheme="minorEastAsia" w:eastAsiaTheme="minorEastAsia"/>
                <w:b/>
                <w:bCs/>
                <w:sz w:val="22"/>
                <w:szCs w:val="22"/>
                <w:lang w:eastAsia="zh-CN"/>
              </w:rPr>
              <w:t>回复：</w:t>
            </w:r>
            <w:r>
              <w:rPr>
                <w:rFonts w:hint="eastAsia" w:asciiTheme="minorEastAsia" w:hAnsiTheme="minorEastAsia" w:eastAsiaTheme="minorEastAsia"/>
                <w:sz w:val="22"/>
                <w:szCs w:val="22"/>
                <w:lang w:eastAsia="zh-CN"/>
              </w:rPr>
              <w:t>公司依托江苏南通吕四港启东</w:t>
            </w:r>
            <w:r>
              <w:rPr>
                <w:rFonts w:asciiTheme="minorEastAsia" w:hAnsiTheme="minorEastAsia" w:eastAsiaTheme="minorEastAsia"/>
                <w:sz w:val="22"/>
                <w:szCs w:val="22"/>
                <w:lang w:eastAsia="zh-CN"/>
              </w:rPr>
              <w:t>LNG</w:t>
            </w:r>
            <w:r>
              <w:rPr>
                <w:rFonts w:hint="eastAsia" w:asciiTheme="minorEastAsia" w:hAnsiTheme="minorEastAsia" w:eastAsiaTheme="minorEastAsia"/>
                <w:sz w:val="22"/>
                <w:szCs w:val="22"/>
                <w:lang w:eastAsia="zh-CN"/>
              </w:rPr>
              <w:t>接收站</w:t>
            </w:r>
            <w:r>
              <w:rPr>
                <w:rFonts w:asciiTheme="minorEastAsia" w:hAnsiTheme="minorEastAsia" w:eastAsiaTheme="minorEastAsia"/>
                <w:sz w:val="22"/>
                <w:szCs w:val="22"/>
                <w:lang w:eastAsia="zh-CN"/>
              </w:rPr>
              <w:t>,</w:t>
            </w:r>
            <w:r>
              <w:rPr>
                <w:rFonts w:hint="eastAsia" w:asciiTheme="minorEastAsia" w:hAnsiTheme="minorEastAsia" w:eastAsiaTheme="minorEastAsia"/>
                <w:sz w:val="22"/>
                <w:szCs w:val="22"/>
                <w:lang w:eastAsia="zh-CN"/>
              </w:rPr>
              <w:t>立足国内和国际两个市场，采用以利润为导向的“一气多销”销售模式，优化资源配置，增强市场竞争力。目前，国际天然气价格高于国内市场，公司外购气主要立足国际市场为主的销售策略，保障公司利润最大化。未来，公司将继续对启东</w:t>
            </w:r>
            <w:r>
              <w:rPr>
                <w:rFonts w:asciiTheme="minorEastAsia" w:hAnsiTheme="minorEastAsia" w:eastAsiaTheme="minorEastAsia"/>
                <w:sz w:val="22"/>
                <w:szCs w:val="22"/>
                <w:lang w:eastAsia="zh-CN"/>
              </w:rPr>
              <w:t>LNG</w:t>
            </w:r>
            <w:r>
              <w:rPr>
                <w:rFonts w:hint="eastAsia" w:asciiTheme="minorEastAsia" w:hAnsiTheme="minorEastAsia" w:eastAsiaTheme="minorEastAsia"/>
                <w:sz w:val="22"/>
                <w:szCs w:val="22"/>
                <w:lang w:eastAsia="zh-CN"/>
              </w:rPr>
              <w:t>接收站进行扩能改造，并进一步提升接收周转能力至</w:t>
            </w:r>
            <w:r>
              <w:rPr>
                <w:rFonts w:asciiTheme="minorEastAsia" w:hAnsiTheme="minorEastAsia" w:eastAsiaTheme="minorEastAsia"/>
                <w:sz w:val="22"/>
                <w:szCs w:val="22"/>
                <w:lang w:eastAsia="zh-CN"/>
              </w:rPr>
              <w:t>1000</w:t>
            </w:r>
            <w:r>
              <w:rPr>
                <w:rFonts w:hint="eastAsia" w:asciiTheme="minorEastAsia" w:hAnsiTheme="minorEastAsia" w:eastAsiaTheme="minorEastAsia"/>
                <w:sz w:val="22"/>
                <w:szCs w:val="22"/>
                <w:lang w:eastAsia="zh-CN"/>
              </w:rPr>
              <w:t>万吨</w:t>
            </w:r>
            <w:r>
              <w:rPr>
                <w:rFonts w:asciiTheme="minorEastAsia" w:hAnsiTheme="minorEastAsia" w:eastAsiaTheme="minorEastAsia"/>
                <w:sz w:val="22"/>
                <w:szCs w:val="22"/>
                <w:lang w:eastAsia="zh-CN"/>
              </w:rPr>
              <w:t>/</w:t>
            </w:r>
            <w:r>
              <w:rPr>
                <w:rFonts w:hint="eastAsia" w:asciiTheme="minorEastAsia" w:hAnsiTheme="minorEastAsia" w:eastAsiaTheme="minorEastAsia"/>
                <w:sz w:val="22"/>
                <w:szCs w:val="22"/>
                <w:lang w:eastAsia="zh-CN"/>
              </w:rPr>
              <w:t>年，随着国内外天然气价格趋于合理区间，公司将加大码头周转规模，优化仓储和接卸流程，提高运营效率，确保稳定的盈利能力。</w:t>
            </w:r>
          </w:p>
          <w:p w14:paraId="4292BE3B">
            <w:pPr>
              <w:widowControl w:val="0"/>
              <w:spacing w:line="460" w:lineRule="exact"/>
              <w:jc w:val="both"/>
              <w:rPr>
                <w:rFonts w:asciiTheme="minorEastAsia" w:hAnsiTheme="minorEastAsia" w:eastAsiaTheme="minorEastAsia"/>
                <w:sz w:val="22"/>
                <w:szCs w:val="22"/>
                <w:lang w:eastAsia="zh-CN"/>
              </w:rPr>
            </w:pPr>
          </w:p>
          <w:p w14:paraId="09B5B358">
            <w:pPr>
              <w:widowControl w:val="0"/>
              <w:spacing w:line="460" w:lineRule="exact"/>
              <w:jc w:val="both"/>
              <w:rPr>
                <w:rFonts w:asciiTheme="minorEastAsia" w:hAnsiTheme="minorEastAsia" w:eastAsiaTheme="minorEastAsia"/>
                <w:sz w:val="22"/>
                <w:szCs w:val="22"/>
                <w:lang w:eastAsia="zh-CN"/>
              </w:rPr>
            </w:pPr>
          </w:p>
          <w:p w14:paraId="1D80A3A8">
            <w:pPr>
              <w:widowControl w:val="0"/>
              <w:spacing w:line="460" w:lineRule="exact"/>
              <w:jc w:val="both"/>
              <w:rPr>
                <w:rFonts w:asciiTheme="minorEastAsia" w:hAnsiTheme="minorEastAsia" w:eastAsiaTheme="minorEastAsia"/>
                <w:sz w:val="22"/>
                <w:szCs w:val="22"/>
                <w:lang w:eastAsia="zh-CN"/>
              </w:rPr>
            </w:pPr>
          </w:p>
          <w:p w14:paraId="59370857">
            <w:pPr>
              <w:widowControl w:val="0"/>
              <w:spacing w:line="460" w:lineRule="exact"/>
              <w:jc w:val="both"/>
              <w:rPr>
                <w:rFonts w:asciiTheme="minorEastAsia" w:hAnsiTheme="minorEastAsia" w:eastAsiaTheme="minorEastAsia"/>
                <w:sz w:val="22"/>
                <w:szCs w:val="22"/>
                <w:lang w:eastAsia="zh-CN"/>
              </w:rPr>
            </w:pPr>
          </w:p>
          <w:p w14:paraId="74D2725A">
            <w:pPr>
              <w:widowControl w:val="0"/>
              <w:spacing w:line="460" w:lineRule="exact"/>
              <w:jc w:val="both"/>
              <w:rPr>
                <w:rFonts w:asciiTheme="minorEastAsia" w:hAnsiTheme="minorEastAsia" w:eastAsiaTheme="minorEastAsia"/>
                <w:sz w:val="22"/>
                <w:szCs w:val="22"/>
                <w:lang w:eastAsia="zh-CN"/>
              </w:rPr>
            </w:pPr>
          </w:p>
          <w:p w14:paraId="07B89603">
            <w:pPr>
              <w:widowControl w:val="0"/>
              <w:spacing w:line="460" w:lineRule="exact"/>
              <w:jc w:val="both"/>
              <w:rPr>
                <w:rFonts w:asciiTheme="minorEastAsia" w:hAnsiTheme="minorEastAsia" w:eastAsiaTheme="minorEastAsia"/>
                <w:sz w:val="22"/>
                <w:szCs w:val="22"/>
                <w:lang w:eastAsia="zh-CN"/>
              </w:rPr>
            </w:pPr>
          </w:p>
          <w:p w14:paraId="23C5FA03">
            <w:pPr>
              <w:widowControl w:val="0"/>
              <w:spacing w:line="460" w:lineRule="exact"/>
              <w:jc w:val="both"/>
              <w:rPr>
                <w:rFonts w:asciiTheme="minorEastAsia" w:hAnsiTheme="minorEastAsia" w:eastAsiaTheme="minorEastAsia"/>
                <w:sz w:val="22"/>
                <w:szCs w:val="22"/>
                <w:lang w:eastAsia="zh-CN"/>
              </w:rPr>
            </w:pPr>
          </w:p>
          <w:p w14:paraId="2CBB145F">
            <w:pPr>
              <w:widowControl w:val="0"/>
              <w:spacing w:line="460" w:lineRule="exact"/>
              <w:jc w:val="both"/>
              <w:rPr>
                <w:rFonts w:asciiTheme="minorEastAsia" w:hAnsiTheme="minorEastAsia" w:eastAsiaTheme="minorEastAsia"/>
                <w:sz w:val="22"/>
                <w:szCs w:val="22"/>
                <w:lang w:eastAsia="zh-CN"/>
              </w:rPr>
            </w:pPr>
          </w:p>
          <w:p w14:paraId="1CE57988">
            <w:pPr>
              <w:widowControl w:val="0"/>
              <w:spacing w:line="460" w:lineRule="exact"/>
              <w:jc w:val="both"/>
              <w:rPr>
                <w:rFonts w:asciiTheme="minorEastAsia" w:hAnsiTheme="minorEastAsia" w:eastAsiaTheme="minorEastAsia"/>
                <w:sz w:val="22"/>
                <w:szCs w:val="22"/>
                <w:lang w:eastAsia="zh-CN"/>
              </w:rPr>
            </w:pPr>
          </w:p>
          <w:p w14:paraId="435DD5BC">
            <w:pPr>
              <w:widowControl w:val="0"/>
              <w:spacing w:line="460" w:lineRule="exact"/>
              <w:jc w:val="both"/>
              <w:rPr>
                <w:rFonts w:asciiTheme="minorEastAsia" w:hAnsiTheme="minorEastAsia" w:eastAsiaTheme="minorEastAsia"/>
                <w:sz w:val="22"/>
                <w:szCs w:val="22"/>
                <w:lang w:eastAsia="zh-CN"/>
              </w:rPr>
            </w:pPr>
          </w:p>
          <w:p w14:paraId="26FB2DAE">
            <w:pPr>
              <w:widowControl w:val="0"/>
              <w:spacing w:line="460" w:lineRule="exact"/>
              <w:jc w:val="both"/>
              <w:rPr>
                <w:rFonts w:asciiTheme="minorEastAsia" w:hAnsiTheme="minorEastAsia" w:eastAsiaTheme="minorEastAsia"/>
                <w:sz w:val="22"/>
                <w:szCs w:val="22"/>
                <w:lang w:eastAsia="zh-CN"/>
              </w:rPr>
            </w:pPr>
          </w:p>
          <w:p w14:paraId="5B85E3C7">
            <w:pPr>
              <w:widowControl w:val="0"/>
              <w:spacing w:line="460" w:lineRule="exact"/>
              <w:jc w:val="both"/>
              <w:rPr>
                <w:rFonts w:asciiTheme="minorEastAsia" w:hAnsiTheme="minorEastAsia" w:eastAsiaTheme="minorEastAsia"/>
                <w:sz w:val="22"/>
                <w:szCs w:val="22"/>
                <w:lang w:eastAsia="zh-CN"/>
              </w:rPr>
            </w:pPr>
          </w:p>
          <w:p w14:paraId="64A4D4EC">
            <w:pPr>
              <w:widowControl w:val="0"/>
              <w:spacing w:line="460" w:lineRule="exact"/>
              <w:jc w:val="both"/>
              <w:rPr>
                <w:rFonts w:asciiTheme="minorEastAsia" w:hAnsiTheme="minorEastAsia" w:eastAsiaTheme="minorEastAsia"/>
                <w:sz w:val="22"/>
                <w:szCs w:val="22"/>
                <w:lang w:eastAsia="zh-CN"/>
              </w:rPr>
            </w:pPr>
          </w:p>
          <w:p w14:paraId="07CD5069">
            <w:pPr>
              <w:widowControl w:val="0"/>
              <w:spacing w:line="460" w:lineRule="exact"/>
              <w:jc w:val="both"/>
              <w:rPr>
                <w:rFonts w:asciiTheme="minorEastAsia" w:hAnsiTheme="minorEastAsia" w:eastAsiaTheme="minorEastAsia"/>
                <w:sz w:val="22"/>
                <w:szCs w:val="22"/>
                <w:lang w:eastAsia="zh-CN"/>
              </w:rPr>
            </w:pPr>
          </w:p>
          <w:p w14:paraId="131C9295">
            <w:pPr>
              <w:widowControl w:val="0"/>
              <w:spacing w:line="460" w:lineRule="exact"/>
              <w:jc w:val="both"/>
              <w:rPr>
                <w:rFonts w:asciiTheme="minorEastAsia" w:hAnsiTheme="minorEastAsia" w:eastAsiaTheme="minorEastAsia"/>
                <w:sz w:val="22"/>
                <w:szCs w:val="22"/>
                <w:lang w:eastAsia="zh-CN"/>
              </w:rPr>
            </w:pPr>
          </w:p>
          <w:p w14:paraId="302BE3F9">
            <w:pPr>
              <w:widowControl w:val="0"/>
              <w:spacing w:line="460" w:lineRule="exact"/>
              <w:jc w:val="both"/>
              <w:rPr>
                <w:rFonts w:asciiTheme="minorEastAsia" w:hAnsiTheme="minorEastAsia" w:eastAsiaTheme="minorEastAsia"/>
                <w:sz w:val="22"/>
                <w:szCs w:val="22"/>
                <w:lang w:eastAsia="zh-CN"/>
              </w:rPr>
            </w:pPr>
          </w:p>
          <w:p w14:paraId="05490A65">
            <w:pPr>
              <w:widowControl w:val="0"/>
              <w:spacing w:line="460" w:lineRule="exact"/>
              <w:jc w:val="both"/>
              <w:rPr>
                <w:rFonts w:asciiTheme="minorEastAsia" w:hAnsiTheme="minorEastAsia" w:eastAsiaTheme="minorEastAsia"/>
                <w:sz w:val="22"/>
                <w:szCs w:val="22"/>
                <w:lang w:eastAsia="zh-CN"/>
              </w:rPr>
            </w:pPr>
          </w:p>
          <w:p w14:paraId="212FDE75">
            <w:pPr>
              <w:widowControl w:val="0"/>
              <w:spacing w:line="460" w:lineRule="exact"/>
              <w:jc w:val="both"/>
              <w:rPr>
                <w:rFonts w:asciiTheme="minorEastAsia" w:hAnsiTheme="minorEastAsia" w:eastAsiaTheme="minorEastAsia"/>
                <w:sz w:val="22"/>
                <w:szCs w:val="22"/>
                <w:lang w:eastAsia="zh-CN"/>
              </w:rPr>
            </w:pPr>
          </w:p>
          <w:p w14:paraId="6B387003">
            <w:pPr>
              <w:widowControl w:val="0"/>
              <w:spacing w:line="460" w:lineRule="exact"/>
              <w:jc w:val="both"/>
              <w:rPr>
                <w:rFonts w:hint="eastAsia" w:asciiTheme="minorEastAsia" w:hAnsiTheme="minorEastAsia" w:eastAsiaTheme="minorEastAsia"/>
                <w:sz w:val="22"/>
                <w:szCs w:val="22"/>
                <w:lang w:eastAsia="zh-CN"/>
              </w:rPr>
            </w:pPr>
          </w:p>
        </w:tc>
      </w:tr>
      <w:tr w14:paraId="034C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921" w:type="dxa"/>
            <w:vAlign w:val="center"/>
          </w:tcPr>
          <w:p w14:paraId="09FC7CDC">
            <w:pPr>
              <w:spacing w:line="267" w:lineRule="auto"/>
              <w:jc w:val="both"/>
              <w:rPr>
                <w:lang w:eastAsia="zh-CN"/>
              </w:rPr>
            </w:pPr>
            <w:r>
              <w:rPr>
                <w:b/>
                <w:bCs/>
                <w:spacing w:val="-5"/>
              </w:rPr>
              <w:t>附件清单（如有）</w:t>
            </w:r>
          </w:p>
        </w:tc>
        <w:tc>
          <w:tcPr>
            <w:tcW w:w="6603" w:type="dxa"/>
            <w:gridSpan w:val="2"/>
            <w:vAlign w:val="center"/>
          </w:tcPr>
          <w:p w14:paraId="364EACE9">
            <w:pPr>
              <w:pStyle w:val="7"/>
              <w:widowControl w:val="0"/>
              <w:spacing w:line="460" w:lineRule="exact"/>
              <w:ind w:firstLine="18"/>
              <w:jc w:val="both"/>
              <w:rPr>
                <w:rFonts w:hint="eastAsia" w:asciiTheme="minorEastAsia" w:hAnsiTheme="minorEastAsia" w:eastAsiaTheme="minorEastAsia"/>
                <w:b/>
                <w:bCs/>
                <w:lang w:eastAsia="zh-CN"/>
              </w:rPr>
            </w:pPr>
            <w:r>
              <w:rPr>
                <w:sz w:val="21"/>
                <w:szCs w:val="21"/>
              </w:rPr>
              <w:t>无</w:t>
            </w:r>
          </w:p>
        </w:tc>
      </w:tr>
      <w:tr w14:paraId="6D9B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921" w:type="dxa"/>
            <w:vAlign w:val="center"/>
          </w:tcPr>
          <w:p w14:paraId="322C6251">
            <w:pPr>
              <w:spacing w:line="267" w:lineRule="auto"/>
              <w:jc w:val="both"/>
              <w:rPr>
                <w:lang w:eastAsia="zh-CN"/>
              </w:rPr>
            </w:pPr>
            <w:r>
              <w:rPr>
                <w:b/>
                <w:bCs/>
                <w:spacing w:val="-24"/>
              </w:rPr>
              <w:t>日期</w:t>
            </w:r>
          </w:p>
        </w:tc>
        <w:tc>
          <w:tcPr>
            <w:tcW w:w="6603" w:type="dxa"/>
            <w:gridSpan w:val="2"/>
            <w:vAlign w:val="center"/>
          </w:tcPr>
          <w:p w14:paraId="6BC487D4">
            <w:pPr>
              <w:pStyle w:val="7"/>
              <w:widowControl w:val="0"/>
              <w:spacing w:line="460" w:lineRule="exact"/>
              <w:ind w:firstLine="18"/>
              <w:jc w:val="both"/>
              <w:rPr>
                <w:rFonts w:hint="eastAsia" w:asciiTheme="minorEastAsia" w:hAnsiTheme="minorEastAsia" w:eastAsiaTheme="minorEastAsia"/>
                <w:b/>
                <w:bCs/>
                <w:lang w:eastAsia="zh-CN"/>
              </w:rPr>
            </w:pPr>
            <w:r>
              <w:rPr>
                <w:spacing w:val="-1"/>
                <w:sz w:val="21"/>
                <w:szCs w:val="21"/>
              </w:rPr>
              <w:t>202</w:t>
            </w:r>
            <w:r>
              <w:rPr>
                <w:rFonts w:hint="eastAsia"/>
                <w:spacing w:val="-1"/>
                <w:sz w:val="21"/>
                <w:szCs w:val="21"/>
                <w:lang w:eastAsia="zh-CN"/>
              </w:rPr>
              <w:t>5</w:t>
            </w:r>
            <w:r>
              <w:rPr>
                <w:spacing w:val="-1"/>
                <w:sz w:val="21"/>
                <w:szCs w:val="21"/>
              </w:rPr>
              <w:t>年</w:t>
            </w:r>
            <w:r>
              <w:rPr>
                <w:rFonts w:hint="eastAsia"/>
                <w:spacing w:val="-1"/>
                <w:sz w:val="21"/>
                <w:szCs w:val="21"/>
                <w:lang w:eastAsia="zh-CN"/>
              </w:rPr>
              <w:t>03</w:t>
            </w:r>
            <w:r>
              <w:rPr>
                <w:spacing w:val="-1"/>
                <w:sz w:val="21"/>
                <w:szCs w:val="21"/>
              </w:rPr>
              <w:t>月</w:t>
            </w:r>
            <w:r>
              <w:rPr>
                <w:spacing w:val="-1"/>
                <w:sz w:val="21"/>
                <w:szCs w:val="21"/>
                <w:lang w:eastAsia="zh-CN"/>
              </w:rPr>
              <w:t>1</w:t>
            </w:r>
            <w:r>
              <w:rPr>
                <w:rFonts w:hint="eastAsia"/>
                <w:spacing w:val="-1"/>
                <w:sz w:val="21"/>
                <w:szCs w:val="21"/>
                <w:lang w:val="en-US" w:eastAsia="zh-CN"/>
              </w:rPr>
              <w:t>1</w:t>
            </w:r>
            <w:r>
              <w:rPr>
                <w:spacing w:val="-1"/>
                <w:sz w:val="21"/>
                <w:szCs w:val="21"/>
              </w:rPr>
              <w:t>日</w:t>
            </w:r>
          </w:p>
        </w:tc>
      </w:tr>
    </w:tbl>
    <w:p w14:paraId="2CDC9FF7">
      <w:pPr>
        <w:kinsoku/>
        <w:autoSpaceDE/>
        <w:autoSpaceDN/>
        <w:adjustRightInd/>
        <w:snapToGrid/>
        <w:textAlignment w:val="auto"/>
      </w:pPr>
    </w:p>
    <w:sectPr>
      <w:pgSz w:w="11910" w:h="16840"/>
      <w:pgMar w:top="1440" w:right="1800" w:bottom="1440" w:left="1800"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06"/>
    <w:rsid w:val="00134B53"/>
    <w:rsid w:val="001D28E2"/>
    <w:rsid w:val="001D38EF"/>
    <w:rsid w:val="00481264"/>
    <w:rsid w:val="00597B4A"/>
    <w:rsid w:val="0077591B"/>
    <w:rsid w:val="009038F0"/>
    <w:rsid w:val="00992139"/>
    <w:rsid w:val="00B91706"/>
    <w:rsid w:val="00BE0FD9"/>
    <w:rsid w:val="00C53894"/>
    <w:rsid w:val="00E64337"/>
    <w:rsid w:val="00F06878"/>
    <w:rsid w:val="00F9779A"/>
    <w:rsid w:val="01C53B3E"/>
    <w:rsid w:val="058C1C12"/>
    <w:rsid w:val="15826B8D"/>
    <w:rsid w:val="16EE68BD"/>
    <w:rsid w:val="18663E03"/>
    <w:rsid w:val="1BBF4FA5"/>
    <w:rsid w:val="2795365E"/>
    <w:rsid w:val="2A8E3487"/>
    <w:rsid w:val="372B09DB"/>
    <w:rsid w:val="3C646E5E"/>
    <w:rsid w:val="46B8390E"/>
    <w:rsid w:val="61DE64C6"/>
    <w:rsid w:val="67E8230A"/>
    <w:rsid w:val="6C0C0B72"/>
    <w:rsid w:val="6C240F7A"/>
    <w:rsid w:val="72D27981"/>
    <w:rsid w:val="7491561A"/>
    <w:rsid w:val="79C32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link w:val="8"/>
    <w:qFormat/>
    <w:uiPriority w:val="0"/>
    <w:pP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rPr>
  </w:style>
  <w:style w:type="character" w:customStyle="1" w:styleId="8">
    <w:name w:val="页眉 字符"/>
    <w:basedOn w:val="5"/>
    <w:link w:val="3"/>
    <w:qFormat/>
    <w:uiPriority w:val="0"/>
    <w:rPr>
      <w:rFonts w:eastAsia="Arial"/>
      <w:snapToGrid w:val="0"/>
      <w:color w:val="000000"/>
      <w:sz w:val="18"/>
      <w:szCs w:val="18"/>
      <w:lang w:eastAsia="en-US"/>
    </w:rPr>
  </w:style>
  <w:style w:type="character" w:customStyle="1" w:styleId="9">
    <w:name w:val="页脚 字符"/>
    <w:basedOn w:val="5"/>
    <w:link w:val="2"/>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B611A-649A-440B-85A3-7DCBA1333A73}">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2932</Words>
  <Characters>3066</Characters>
  <Lines>22</Lines>
  <Paragraphs>6</Paragraphs>
  <TotalTime>0</TotalTime>
  <ScaleCrop>false</ScaleCrop>
  <LinksUpToDate>false</LinksUpToDate>
  <CharactersWithSpaces>3112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2025-03-10T05:13:00Z</dcterms:created>
  <dc:creator>jie.huang</dc:creator>
  <cp:lastModifiedBy>Leah_麗</cp:lastModifiedBy>
  <dcterms:modified xsi:type="dcterms:W3CDTF">2025-03-11T03:16:15Z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2025-03-07T16:37:08Z</vt:filetime>
  </property>
  <property fmtid="{D5CDD505-2E9C-101B-9397-08002B2CF9AE}" pid="4" name="KSOTemplateDocerSaveRecord">
    <vt:lpwstr>eyJoZGlkIjoiNTFlMDdiNDQyMTc0OTdmZTBhNDNlYzcxODI3YWVjM2UiLCJ1c2VySWQiOiIxMTQ0NzA4NTM1In0=</vt:lpwstr>
  </property>
  <property fmtid="{D5CDD505-2E9C-101B-9397-08002B2CF9AE}" pid="5" name="KSOProductBuildVer">
    <vt:lpwstr>2052-12.1.0.20305</vt:lpwstr>
  </property>
  <property fmtid="{D5CDD505-2E9C-101B-9397-08002B2CF9AE}" pid="6" name="ICV">
    <vt:lpwstr>191A5A6E076F4B7D8D10E035022C55FA_12</vt:lpwstr>
  </property>
</Properties>
</file>