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0BB37" w14:textId="77777777" w:rsidR="00356A77" w:rsidRDefault="005F3508">
      <w:pPr>
        <w:pStyle w:val="1"/>
        <w:rPr>
          <w:color w:val="000000" w:themeColor="text1"/>
        </w:rPr>
      </w:pPr>
      <w:r>
        <w:rPr>
          <w:color w:val="000000" w:themeColor="text1"/>
        </w:rPr>
        <w:t>证券代码：</w:t>
      </w:r>
      <w:r>
        <w:rPr>
          <w:color w:val="000000" w:themeColor="text1"/>
        </w:rPr>
        <w:t xml:space="preserve">600143                                   </w:t>
      </w:r>
      <w:r>
        <w:rPr>
          <w:color w:val="000000" w:themeColor="text1"/>
        </w:rPr>
        <w:t>证券简称：金发科技</w:t>
      </w:r>
    </w:p>
    <w:p w14:paraId="1C0B17C1" w14:textId="77777777" w:rsidR="00356A77" w:rsidRDefault="00356A77">
      <w:pPr>
        <w:spacing w:line="360" w:lineRule="auto"/>
        <w:jc w:val="center"/>
        <w:rPr>
          <w:rFonts w:ascii="Times New Roman" w:eastAsia="宋体" w:hAnsi="Times New Roman" w:cs="Times New Roman"/>
          <w:b/>
          <w:bCs/>
          <w:color w:val="000000" w:themeColor="text1"/>
          <w:sz w:val="44"/>
          <w:szCs w:val="44"/>
        </w:rPr>
      </w:pPr>
    </w:p>
    <w:p w14:paraId="709B1ABB" w14:textId="77777777" w:rsidR="00356A77" w:rsidRDefault="005F3508">
      <w:pPr>
        <w:spacing w:line="360" w:lineRule="auto"/>
        <w:jc w:val="center"/>
        <w:rPr>
          <w:rFonts w:ascii="Times New Roman" w:eastAsia="宋体" w:hAnsi="Times New Roman" w:cs="Times New Roman"/>
          <w:b/>
          <w:bCs/>
          <w:color w:val="000000" w:themeColor="text1"/>
          <w:sz w:val="44"/>
          <w:szCs w:val="44"/>
        </w:rPr>
      </w:pPr>
      <w:r>
        <w:rPr>
          <w:rFonts w:ascii="Times New Roman" w:eastAsia="宋体" w:hAnsi="Times New Roman" w:cs="Times New Roman"/>
          <w:b/>
          <w:bCs/>
          <w:color w:val="000000" w:themeColor="text1"/>
          <w:sz w:val="44"/>
          <w:szCs w:val="44"/>
        </w:rPr>
        <w:t>金发科技股份有限公司</w:t>
      </w:r>
    </w:p>
    <w:p w14:paraId="095D6D0D" w14:textId="77777777" w:rsidR="00356A77" w:rsidRDefault="005F3508">
      <w:pPr>
        <w:spacing w:line="360" w:lineRule="auto"/>
        <w:jc w:val="center"/>
        <w:rPr>
          <w:rFonts w:ascii="Times New Roman" w:eastAsia="宋体" w:hAnsi="Times New Roman" w:cs="Times New Roman"/>
          <w:color w:val="000000" w:themeColor="text1"/>
          <w:sz w:val="44"/>
          <w:szCs w:val="44"/>
        </w:rPr>
      </w:pPr>
      <w:r>
        <w:rPr>
          <w:rFonts w:ascii="Times New Roman" w:eastAsia="宋体" w:hAnsi="Times New Roman" w:cs="Times New Roman"/>
          <w:b/>
          <w:bCs/>
          <w:color w:val="000000" w:themeColor="text1"/>
          <w:sz w:val="44"/>
          <w:szCs w:val="44"/>
        </w:rPr>
        <w:t>投资者关系活动记录表</w:t>
      </w:r>
    </w:p>
    <w:p w14:paraId="602D3B9A" w14:textId="77777777" w:rsidR="00356A77" w:rsidRDefault="005F3508">
      <w:pPr>
        <w:spacing w:before="120" w:after="32"/>
        <w:ind w:right="619"/>
        <w:jc w:val="right"/>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编号：</w:t>
      </w:r>
      <w:r>
        <w:rPr>
          <w:rFonts w:ascii="Times New Roman" w:eastAsia="宋体" w:hAnsi="Times New Roman" w:cs="Times New Roman"/>
          <w:color w:val="000000" w:themeColor="text1"/>
          <w:sz w:val="24"/>
          <w:szCs w:val="24"/>
          <w:lang w:val="en-US"/>
        </w:rPr>
        <w:t>2025</w:t>
      </w:r>
      <w:r>
        <w:rPr>
          <w:rFonts w:ascii="Times New Roman" w:eastAsia="宋体" w:hAnsi="Times New Roman" w:cs="Times New Roman"/>
          <w:color w:val="000000" w:themeColor="text1"/>
          <w:sz w:val="24"/>
          <w:szCs w:val="24"/>
        </w:rPr>
        <w:t>-003</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0" w:type="dxa"/>
        </w:tblCellMar>
        <w:tblLook w:val="04A0" w:firstRow="1" w:lastRow="0" w:firstColumn="1" w:lastColumn="0" w:noHBand="0" w:noVBand="1"/>
      </w:tblPr>
      <w:tblGrid>
        <w:gridCol w:w="1413"/>
        <w:gridCol w:w="7112"/>
      </w:tblGrid>
      <w:tr w:rsidR="00356A77" w14:paraId="53FD1752" w14:textId="77777777">
        <w:trPr>
          <w:trHeight w:val="1354"/>
          <w:jc w:val="center"/>
        </w:trPr>
        <w:tc>
          <w:tcPr>
            <w:tcW w:w="1413" w:type="dxa"/>
            <w:vAlign w:val="center"/>
          </w:tcPr>
          <w:p w14:paraId="42545F68" w14:textId="77777777" w:rsidR="00356A77" w:rsidRDefault="005F3508">
            <w:pPr>
              <w:pStyle w:val="TableParagraph"/>
              <w:snapToGrid w:val="0"/>
              <w:spacing w:line="240" w:lineRule="auto"/>
              <w:ind w:firstLineChars="0" w:firstLine="0"/>
              <w:jc w:val="center"/>
              <w:rPr>
                <w:rFonts w:cs="Times New Roman"/>
                <w:sz w:val="24"/>
                <w:szCs w:val="24"/>
              </w:rPr>
            </w:pPr>
            <w:r>
              <w:rPr>
                <w:rFonts w:cs="Times New Roman" w:hint="eastAsia"/>
                <w:sz w:val="24"/>
                <w:szCs w:val="24"/>
              </w:rPr>
              <w:t>投资者关系活动类别</w:t>
            </w:r>
          </w:p>
        </w:tc>
        <w:tc>
          <w:tcPr>
            <w:tcW w:w="7112" w:type="dxa"/>
            <w:vAlign w:val="center"/>
          </w:tcPr>
          <w:p w14:paraId="39DCF82A" w14:textId="77777777" w:rsidR="00356A77" w:rsidRDefault="00866F9C">
            <w:pPr>
              <w:pStyle w:val="TableParagraph"/>
              <w:spacing w:line="240" w:lineRule="auto"/>
              <w:ind w:firstLineChars="0" w:firstLine="0"/>
              <w:rPr>
                <w:rFonts w:cs="Times New Roman"/>
                <w:b w:val="0"/>
                <w:sz w:val="24"/>
                <w:szCs w:val="24"/>
              </w:rPr>
            </w:pPr>
            <w:sdt>
              <w:sdtPr>
                <w:rPr>
                  <w:rFonts w:cs="Times New Roman"/>
                  <w:b w:val="0"/>
                  <w:sz w:val="24"/>
                  <w:szCs w:val="24"/>
                </w:rPr>
                <w:id w:val="249780449"/>
                <w14:checkbox>
                  <w14:checked w14:val="1"/>
                  <w14:checkedState w14:val="0052" w14:font="Wingdings 2"/>
                  <w14:uncheckedState w14:val="2610" w14:font="MS Gothic"/>
                </w14:checkbox>
              </w:sdtPr>
              <w:sdtEndPr/>
              <w:sdtContent>
                <w:r w:rsidR="005F3508">
                  <w:rPr>
                    <w:rFonts w:cs="Times New Roman"/>
                    <w:b w:val="0"/>
                    <w:sz w:val="24"/>
                    <w:szCs w:val="24"/>
                  </w:rPr>
                  <w:sym w:font="Wingdings 2" w:char="F052"/>
                </w:r>
              </w:sdtContent>
            </w:sdt>
            <w:r w:rsidR="005F3508">
              <w:rPr>
                <w:rFonts w:cs="Times New Roman" w:hint="eastAsia"/>
                <w:b w:val="0"/>
                <w:sz w:val="24"/>
                <w:szCs w:val="24"/>
              </w:rPr>
              <w:t>特</w:t>
            </w:r>
            <w:r w:rsidR="005F3508">
              <w:rPr>
                <w:rFonts w:cs="Times New Roman" w:hint="eastAsia"/>
                <w:b w:val="0"/>
                <w:spacing w:val="-3"/>
                <w:sz w:val="24"/>
                <w:szCs w:val="24"/>
              </w:rPr>
              <w:t>定</w:t>
            </w:r>
            <w:r w:rsidR="005F3508">
              <w:rPr>
                <w:rFonts w:cs="Times New Roman" w:hint="eastAsia"/>
                <w:b w:val="0"/>
                <w:sz w:val="24"/>
                <w:szCs w:val="24"/>
              </w:rPr>
              <w:t>对</w:t>
            </w:r>
            <w:r w:rsidR="005F3508">
              <w:rPr>
                <w:rFonts w:cs="Times New Roman" w:hint="eastAsia"/>
                <w:b w:val="0"/>
                <w:spacing w:val="-3"/>
                <w:sz w:val="24"/>
                <w:szCs w:val="24"/>
              </w:rPr>
              <w:t>象</w:t>
            </w:r>
            <w:r w:rsidR="005F3508">
              <w:rPr>
                <w:rFonts w:cs="Times New Roman" w:hint="eastAsia"/>
                <w:b w:val="0"/>
                <w:sz w:val="24"/>
                <w:szCs w:val="24"/>
              </w:rPr>
              <w:t>调研</w:t>
            </w:r>
            <w:r w:rsidR="005F3508">
              <w:rPr>
                <w:rFonts w:cs="Times New Roman"/>
                <w:b w:val="0"/>
                <w:sz w:val="24"/>
                <w:szCs w:val="24"/>
              </w:rPr>
              <w:t xml:space="preserve"> </w:t>
            </w:r>
            <w:r w:rsidR="005F3508">
              <w:rPr>
                <w:rFonts w:cs="Times New Roman"/>
                <w:b w:val="0"/>
                <w:sz w:val="24"/>
                <w:szCs w:val="24"/>
              </w:rPr>
              <w:tab/>
            </w:r>
            <w:sdt>
              <w:sdtPr>
                <w:rPr>
                  <w:rFonts w:cs="Times New Roman"/>
                  <w:b w:val="0"/>
                  <w:sz w:val="24"/>
                  <w:szCs w:val="24"/>
                </w:rPr>
                <w:id w:val="-416875725"/>
                <w14:checkbox>
                  <w14:checked w14:val="1"/>
                  <w14:checkedState w14:val="0052" w14:font="Wingdings 2"/>
                  <w14:uncheckedState w14:val="2610" w14:font="MS Gothic"/>
                </w14:checkbox>
              </w:sdtPr>
              <w:sdtEndPr/>
              <w:sdtContent>
                <w:r w:rsidR="005F3508">
                  <w:rPr>
                    <w:rFonts w:cs="Times New Roman"/>
                    <w:b w:val="0"/>
                    <w:sz w:val="24"/>
                    <w:szCs w:val="24"/>
                  </w:rPr>
                  <w:sym w:font="Wingdings 2" w:char="F052"/>
                </w:r>
              </w:sdtContent>
            </w:sdt>
            <w:r w:rsidR="005F3508">
              <w:rPr>
                <w:rFonts w:cs="Times New Roman" w:hint="eastAsia"/>
                <w:b w:val="0"/>
                <w:sz w:val="24"/>
                <w:szCs w:val="24"/>
              </w:rPr>
              <w:t>分</w:t>
            </w:r>
            <w:r w:rsidR="005F3508">
              <w:rPr>
                <w:rFonts w:cs="Times New Roman" w:hint="eastAsia"/>
                <w:b w:val="0"/>
                <w:spacing w:val="-3"/>
                <w:sz w:val="24"/>
                <w:szCs w:val="24"/>
              </w:rPr>
              <w:t>析</w:t>
            </w:r>
            <w:r w:rsidR="005F3508">
              <w:rPr>
                <w:rFonts w:cs="Times New Roman" w:hint="eastAsia"/>
                <w:b w:val="0"/>
                <w:sz w:val="24"/>
                <w:szCs w:val="24"/>
              </w:rPr>
              <w:t>师</w:t>
            </w:r>
            <w:r w:rsidR="005F3508">
              <w:rPr>
                <w:rFonts w:cs="Times New Roman" w:hint="eastAsia"/>
                <w:b w:val="0"/>
                <w:spacing w:val="-3"/>
                <w:sz w:val="24"/>
                <w:szCs w:val="24"/>
              </w:rPr>
              <w:t>会</w:t>
            </w:r>
            <w:r w:rsidR="005F3508">
              <w:rPr>
                <w:rFonts w:cs="Times New Roman" w:hint="eastAsia"/>
                <w:b w:val="0"/>
                <w:sz w:val="24"/>
                <w:szCs w:val="24"/>
              </w:rPr>
              <w:t>议</w:t>
            </w:r>
          </w:p>
          <w:p w14:paraId="6D2945DC" w14:textId="77777777" w:rsidR="00356A77" w:rsidRDefault="00866F9C">
            <w:pPr>
              <w:pStyle w:val="TableParagraph"/>
              <w:spacing w:line="240" w:lineRule="auto"/>
              <w:ind w:firstLineChars="0" w:firstLine="0"/>
              <w:rPr>
                <w:rFonts w:cs="Times New Roman"/>
                <w:b w:val="0"/>
                <w:sz w:val="24"/>
                <w:szCs w:val="24"/>
              </w:rPr>
            </w:pPr>
            <w:sdt>
              <w:sdtPr>
                <w:rPr>
                  <w:rFonts w:cs="Times New Roman"/>
                  <w:b w:val="0"/>
                  <w:sz w:val="24"/>
                  <w:szCs w:val="24"/>
                </w:rPr>
                <w:id w:val="1206906014"/>
                <w14:checkbox>
                  <w14:checked w14:val="0"/>
                  <w14:checkedState w14:val="0052" w14:font="Wingdings 2"/>
                  <w14:uncheckedState w14:val="2610" w14:font="MS Gothic"/>
                </w14:checkbox>
              </w:sdtPr>
              <w:sdtEndPr/>
              <w:sdtContent>
                <w:r w:rsidR="005F3508">
                  <w:rPr>
                    <w:rFonts w:ascii="Segoe UI Symbol" w:hAnsi="Segoe UI Symbol" w:cs="Segoe UI Symbol"/>
                    <w:b w:val="0"/>
                    <w:sz w:val="24"/>
                    <w:szCs w:val="24"/>
                  </w:rPr>
                  <w:t>☐</w:t>
                </w:r>
              </w:sdtContent>
            </w:sdt>
            <w:r w:rsidR="005F3508">
              <w:rPr>
                <w:rFonts w:cs="Times New Roman" w:hint="eastAsia"/>
                <w:b w:val="0"/>
                <w:sz w:val="24"/>
                <w:szCs w:val="24"/>
              </w:rPr>
              <w:t>媒</w:t>
            </w:r>
            <w:r w:rsidR="005F3508">
              <w:rPr>
                <w:rFonts w:cs="Times New Roman" w:hint="eastAsia"/>
                <w:b w:val="0"/>
                <w:spacing w:val="-3"/>
                <w:sz w:val="24"/>
                <w:szCs w:val="24"/>
              </w:rPr>
              <w:t>体</w:t>
            </w:r>
            <w:r w:rsidR="005F3508">
              <w:rPr>
                <w:rFonts w:cs="Times New Roman" w:hint="eastAsia"/>
                <w:b w:val="0"/>
                <w:sz w:val="24"/>
                <w:szCs w:val="24"/>
              </w:rPr>
              <w:t>采访</w:t>
            </w:r>
            <w:r w:rsidR="005F3508">
              <w:rPr>
                <w:rFonts w:cs="Times New Roman"/>
                <w:b w:val="0"/>
                <w:sz w:val="24"/>
                <w:szCs w:val="24"/>
              </w:rPr>
              <w:t xml:space="preserve">     </w:t>
            </w:r>
            <w:r w:rsidR="005F3508">
              <w:rPr>
                <w:rFonts w:cs="Times New Roman"/>
                <w:b w:val="0"/>
                <w:sz w:val="24"/>
                <w:szCs w:val="24"/>
              </w:rPr>
              <w:tab/>
            </w:r>
            <w:sdt>
              <w:sdtPr>
                <w:rPr>
                  <w:rFonts w:cs="Times New Roman"/>
                  <w:b w:val="0"/>
                  <w:sz w:val="24"/>
                  <w:szCs w:val="24"/>
                </w:rPr>
                <w:id w:val="-66658901"/>
                <w14:checkbox>
                  <w14:checked w14:val="0"/>
                  <w14:checkedState w14:val="0052" w14:font="Wingdings 2"/>
                  <w14:uncheckedState w14:val="2610" w14:font="MS Gothic"/>
                </w14:checkbox>
              </w:sdtPr>
              <w:sdtEndPr/>
              <w:sdtContent>
                <w:r w:rsidR="005F3508">
                  <w:rPr>
                    <w:rFonts w:ascii="Segoe UI Symbol" w:hAnsi="Segoe UI Symbol" w:cs="Segoe UI Symbol"/>
                    <w:b w:val="0"/>
                    <w:sz w:val="24"/>
                    <w:szCs w:val="24"/>
                  </w:rPr>
                  <w:t>☐</w:t>
                </w:r>
              </w:sdtContent>
            </w:sdt>
            <w:r w:rsidR="005F3508">
              <w:rPr>
                <w:rFonts w:cs="Times New Roman" w:hint="eastAsia"/>
                <w:b w:val="0"/>
                <w:sz w:val="24"/>
                <w:szCs w:val="24"/>
              </w:rPr>
              <w:t>业</w:t>
            </w:r>
            <w:r w:rsidR="005F3508">
              <w:rPr>
                <w:rFonts w:cs="Times New Roman" w:hint="eastAsia"/>
                <w:b w:val="0"/>
                <w:spacing w:val="-3"/>
                <w:sz w:val="24"/>
                <w:szCs w:val="24"/>
              </w:rPr>
              <w:t>绩</w:t>
            </w:r>
            <w:r w:rsidR="005F3508">
              <w:rPr>
                <w:rFonts w:cs="Times New Roman" w:hint="eastAsia"/>
                <w:b w:val="0"/>
                <w:sz w:val="24"/>
                <w:szCs w:val="24"/>
              </w:rPr>
              <w:t>说</w:t>
            </w:r>
            <w:r w:rsidR="005F3508">
              <w:rPr>
                <w:rFonts w:cs="Times New Roman" w:hint="eastAsia"/>
                <w:b w:val="0"/>
                <w:spacing w:val="-3"/>
                <w:sz w:val="24"/>
                <w:szCs w:val="24"/>
              </w:rPr>
              <w:t>明</w:t>
            </w:r>
            <w:r w:rsidR="005F3508">
              <w:rPr>
                <w:rFonts w:cs="Times New Roman" w:hint="eastAsia"/>
                <w:b w:val="0"/>
                <w:sz w:val="24"/>
                <w:szCs w:val="24"/>
              </w:rPr>
              <w:t>会</w:t>
            </w:r>
          </w:p>
          <w:p w14:paraId="636A0A9F" w14:textId="77777777" w:rsidR="00356A77" w:rsidRDefault="00866F9C">
            <w:pPr>
              <w:pStyle w:val="TableParagraph"/>
              <w:spacing w:line="240" w:lineRule="auto"/>
              <w:ind w:firstLineChars="0" w:firstLine="0"/>
              <w:rPr>
                <w:rFonts w:cs="Times New Roman"/>
                <w:b w:val="0"/>
                <w:sz w:val="24"/>
                <w:szCs w:val="24"/>
              </w:rPr>
            </w:pPr>
            <w:sdt>
              <w:sdtPr>
                <w:rPr>
                  <w:rFonts w:cs="Times New Roman"/>
                  <w:b w:val="0"/>
                  <w:sz w:val="24"/>
                  <w:szCs w:val="24"/>
                </w:rPr>
                <w:id w:val="-1848167434"/>
                <w14:checkbox>
                  <w14:checked w14:val="0"/>
                  <w14:checkedState w14:val="0052" w14:font="Wingdings 2"/>
                  <w14:uncheckedState w14:val="2610" w14:font="MS Gothic"/>
                </w14:checkbox>
              </w:sdtPr>
              <w:sdtEndPr/>
              <w:sdtContent>
                <w:r w:rsidR="005F3508">
                  <w:rPr>
                    <w:rFonts w:ascii="Segoe UI Symbol" w:hAnsi="Segoe UI Symbol" w:cs="Segoe UI Symbol"/>
                    <w:b w:val="0"/>
                    <w:sz w:val="24"/>
                    <w:szCs w:val="24"/>
                  </w:rPr>
                  <w:t>☐</w:t>
                </w:r>
              </w:sdtContent>
            </w:sdt>
            <w:r w:rsidR="005F3508">
              <w:rPr>
                <w:rFonts w:cs="Times New Roman" w:hint="eastAsia"/>
                <w:b w:val="0"/>
                <w:sz w:val="24"/>
                <w:szCs w:val="24"/>
              </w:rPr>
              <w:t>新</w:t>
            </w:r>
            <w:r w:rsidR="005F3508">
              <w:rPr>
                <w:rFonts w:cs="Times New Roman" w:hint="eastAsia"/>
                <w:b w:val="0"/>
                <w:spacing w:val="-3"/>
                <w:sz w:val="24"/>
                <w:szCs w:val="24"/>
              </w:rPr>
              <w:t>闻</w:t>
            </w:r>
            <w:r w:rsidR="005F3508">
              <w:rPr>
                <w:rFonts w:cs="Times New Roman" w:hint="eastAsia"/>
                <w:b w:val="0"/>
                <w:sz w:val="24"/>
                <w:szCs w:val="24"/>
              </w:rPr>
              <w:t>发</w:t>
            </w:r>
            <w:r w:rsidR="005F3508">
              <w:rPr>
                <w:rFonts w:cs="Times New Roman" w:hint="eastAsia"/>
                <w:b w:val="0"/>
                <w:spacing w:val="-3"/>
                <w:sz w:val="24"/>
                <w:szCs w:val="24"/>
              </w:rPr>
              <w:t>布</w:t>
            </w:r>
            <w:r w:rsidR="005F3508">
              <w:rPr>
                <w:rFonts w:cs="Times New Roman" w:hint="eastAsia"/>
                <w:b w:val="0"/>
                <w:sz w:val="24"/>
                <w:szCs w:val="24"/>
              </w:rPr>
              <w:t>会</w:t>
            </w:r>
            <w:r w:rsidR="005F3508">
              <w:rPr>
                <w:rFonts w:cs="Times New Roman"/>
                <w:b w:val="0"/>
                <w:sz w:val="24"/>
                <w:szCs w:val="24"/>
              </w:rPr>
              <w:t xml:space="preserve">   </w:t>
            </w:r>
            <w:r w:rsidR="005F3508">
              <w:rPr>
                <w:rFonts w:cs="Times New Roman"/>
                <w:b w:val="0"/>
                <w:sz w:val="24"/>
                <w:szCs w:val="24"/>
              </w:rPr>
              <w:tab/>
            </w:r>
            <w:sdt>
              <w:sdtPr>
                <w:rPr>
                  <w:rFonts w:cs="Times New Roman"/>
                  <w:b w:val="0"/>
                  <w:sz w:val="24"/>
                  <w:szCs w:val="24"/>
                </w:rPr>
                <w:id w:val="412049691"/>
                <w14:checkbox>
                  <w14:checked w14:val="1"/>
                  <w14:checkedState w14:val="0052" w14:font="Wingdings 2"/>
                  <w14:uncheckedState w14:val="2610" w14:font="MS Gothic"/>
                </w14:checkbox>
              </w:sdtPr>
              <w:sdtEndPr/>
              <w:sdtContent>
                <w:r w:rsidR="005F3508">
                  <w:rPr>
                    <w:rFonts w:ascii="Segoe UI Symbol" w:hAnsi="Segoe UI Symbol" w:cs="Segoe UI Symbol"/>
                    <w:b w:val="0"/>
                    <w:sz w:val="24"/>
                    <w:szCs w:val="24"/>
                  </w:rPr>
                  <w:t>☐</w:t>
                </w:r>
              </w:sdtContent>
            </w:sdt>
            <w:r w:rsidR="005F3508">
              <w:rPr>
                <w:rFonts w:cs="Times New Roman" w:hint="eastAsia"/>
                <w:b w:val="0"/>
                <w:sz w:val="24"/>
                <w:szCs w:val="24"/>
              </w:rPr>
              <w:t>路</w:t>
            </w:r>
            <w:r w:rsidR="005F3508">
              <w:rPr>
                <w:rFonts w:cs="Times New Roman" w:hint="eastAsia"/>
                <w:b w:val="0"/>
                <w:spacing w:val="-3"/>
                <w:sz w:val="24"/>
                <w:szCs w:val="24"/>
              </w:rPr>
              <w:t>演</w:t>
            </w:r>
            <w:r w:rsidR="005F3508">
              <w:rPr>
                <w:rFonts w:cs="Times New Roman" w:hint="eastAsia"/>
                <w:b w:val="0"/>
                <w:sz w:val="24"/>
                <w:szCs w:val="24"/>
              </w:rPr>
              <w:t>活动</w:t>
            </w:r>
          </w:p>
          <w:p w14:paraId="76265FC8" w14:textId="77777777" w:rsidR="00356A77" w:rsidRDefault="00866F9C">
            <w:pPr>
              <w:pStyle w:val="TableParagraph"/>
              <w:spacing w:line="240" w:lineRule="auto"/>
              <w:ind w:firstLineChars="0" w:firstLine="0"/>
              <w:rPr>
                <w:rFonts w:cs="Times New Roman"/>
                <w:b w:val="0"/>
                <w:sz w:val="24"/>
                <w:szCs w:val="24"/>
              </w:rPr>
            </w:pPr>
            <w:sdt>
              <w:sdtPr>
                <w:rPr>
                  <w:rFonts w:cs="Times New Roman"/>
                  <w:b w:val="0"/>
                  <w:sz w:val="24"/>
                  <w:szCs w:val="24"/>
                </w:rPr>
                <w:id w:val="-1333366911"/>
                <w14:checkbox>
                  <w14:checked w14:val="1"/>
                  <w14:checkedState w14:val="0052" w14:font="Wingdings 2"/>
                  <w14:uncheckedState w14:val="2610" w14:font="MS Gothic"/>
                </w14:checkbox>
              </w:sdtPr>
              <w:sdtEndPr/>
              <w:sdtContent>
                <w:r w:rsidR="005F3508">
                  <w:rPr>
                    <w:rFonts w:cs="Times New Roman"/>
                    <w:b w:val="0"/>
                    <w:sz w:val="24"/>
                    <w:szCs w:val="24"/>
                  </w:rPr>
                  <w:sym w:font="Wingdings 2" w:char="F052"/>
                </w:r>
              </w:sdtContent>
            </w:sdt>
            <w:r w:rsidR="005F3508">
              <w:rPr>
                <w:rFonts w:cs="Times New Roman" w:hint="eastAsia"/>
                <w:b w:val="0"/>
                <w:sz w:val="24"/>
                <w:szCs w:val="24"/>
              </w:rPr>
              <w:t>现场参观</w:t>
            </w:r>
          </w:p>
          <w:p w14:paraId="39357CAF" w14:textId="77777777" w:rsidR="00356A77" w:rsidRDefault="00866F9C">
            <w:pPr>
              <w:pStyle w:val="TableParagraph"/>
              <w:spacing w:line="240" w:lineRule="auto"/>
              <w:ind w:firstLineChars="0" w:firstLine="0"/>
              <w:rPr>
                <w:rFonts w:cs="Times New Roman"/>
                <w:sz w:val="24"/>
                <w:szCs w:val="24"/>
              </w:rPr>
            </w:pPr>
            <w:sdt>
              <w:sdtPr>
                <w:rPr>
                  <w:rFonts w:cs="Times New Roman"/>
                  <w:b w:val="0"/>
                  <w:sz w:val="24"/>
                  <w:szCs w:val="24"/>
                </w:rPr>
                <w:id w:val="400885218"/>
                <w14:checkbox>
                  <w14:checked w14:val="0"/>
                  <w14:checkedState w14:val="0052" w14:font="Wingdings 2"/>
                  <w14:uncheckedState w14:val="2610" w14:font="MS Gothic"/>
                </w14:checkbox>
              </w:sdtPr>
              <w:sdtEndPr/>
              <w:sdtContent>
                <w:r w:rsidR="005F3508">
                  <w:rPr>
                    <w:rFonts w:ascii="Segoe UI Symbol" w:hAnsi="Segoe UI Symbol" w:cs="Segoe UI Symbol"/>
                    <w:b w:val="0"/>
                    <w:sz w:val="24"/>
                    <w:szCs w:val="24"/>
                  </w:rPr>
                  <w:t>☐</w:t>
                </w:r>
              </w:sdtContent>
            </w:sdt>
            <w:r w:rsidR="005F3508">
              <w:rPr>
                <w:rFonts w:cs="Times New Roman" w:hint="eastAsia"/>
                <w:b w:val="0"/>
                <w:sz w:val="24"/>
                <w:szCs w:val="24"/>
              </w:rPr>
              <w:t>其他（请文字说明其他活动内容）</w:t>
            </w:r>
          </w:p>
        </w:tc>
      </w:tr>
      <w:tr w:rsidR="00356A77" w14:paraId="5003BE62" w14:textId="77777777">
        <w:trPr>
          <w:trHeight w:val="451"/>
          <w:jc w:val="center"/>
        </w:trPr>
        <w:tc>
          <w:tcPr>
            <w:tcW w:w="1413" w:type="dxa"/>
            <w:vAlign w:val="center"/>
          </w:tcPr>
          <w:p w14:paraId="2F748526" w14:textId="77777777" w:rsidR="00356A77" w:rsidRDefault="005F3508">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参与单位及人员名称</w:t>
            </w:r>
          </w:p>
        </w:tc>
        <w:tc>
          <w:tcPr>
            <w:tcW w:w="7112" w:type="dxa"/>
            <w:vAlign w:val="center"/>
          </w:tcPr>
          <w:p w14:paraId="32D5D2C6" w14:textId="77777777" w:rsidR="00356A77" w:rsidRDefault="005F3508">
            <w:pPr>
              <w:pStyle w:val="TableParagraph"/>
              <w:snapToGrid w:val="0"/>
              <w:spacing w:line="240" w:lineRule="auto"/>
              <w:ind w:firstLineChars="0" w:firstLine="0"/>
              <w:jc w:val="left"/>
              <w:rPr>
                <w:rFonts w:ascii="Times New Roman" w:hAnsi="Times New Roman" w:cs="Times New Roman"/>
                <w:b w:val="0"/>
                <w:sz w:val="24"/>
                <w:szCs w:val="24"/>
              </w:rPr>
            </w:pPr>
            <w:r>
              <w:rPr>
                <w:rFonts w:ascii="Times New Roman" w:hAnsi="Times New Roman" w:cs="Times New Roman" w:hint="eastAsia"/>
                <w:b w:val="0"/>
                <w:sz w:val="24"/>
                <w:szCs w:val="24"/>
              </w:rPr>
              <w:t>共</w:t>
            </w:r>
            <w:r>
              <w:rPr>
                <w:rFonts w:ascii="Times New Roman" w:hAnsi="Times New Roman" w:cs="Times New Roman" w:hint="eastAsia"/>
                <w:b w:val="0"/>
                <w:sz w:val="24"/>
                <w:szCs w:val="24"/>
              </w:rPr>
              <w:t>9</w:t>
            </w:r>
            <w:r>
              <w:rPr>
                <w:rFonts w:ascii="Times New Roman" w:hAnsi="Times New Roman" w:cs="Times New Roman"/>
                <w:b w:val="0"/>
                <w:sz w:val="24"/>
                <w:szCs w:val="24"/>
              </w:rPr>
              <w:t>家机构，</w:t>
            </w:r>
            <w:r>
              <w:rPr>
                <w:rFonts w:ascii="Times New Roman" w:hAnsi="Times New Roman" w:cs="Times New Roman" w:hint="eastAsia"/>
                <w:b w:val="0"/>
                <w:sz w:val="24"/>
                <w:szCs w:val="24"/>
              </w:rPr>
              <w:t>2</w:t>
            </w:r>
            <w:r>
              <w:rPr>
                <w:rFonts w:ascii="Times New Roman" w:hAnsi="Times New Roman" w:cs="Times New Roman"/>
                <w:b w:val="0"/>
                <w:sz w:val="24"/>
                <w:szCs w:val="24"/>
              </w:rPr>
              <w:t>9</w:t>
            </w:r>
            <w:r>
              <w:rPr>
                <w:rFonts w:ascii="Times New Roman" w:hAnsi="Times New Roman" w:cs="Times New Roman"/>
                <w:b w:val="0"/>
                <w:sz w:val="24"/>
                <w:szCs w:val="24"/>
              </w:rPr>
              <w:t>人次，详情请见附件</w:t>
            </w:r>
          </w:p>
        </w:tc>
      </w:tr>
      <w:tr w:rsidR="00356A77" w14:paraId="5EC88368" w14:textId="77777777">
        <w:trPr>
          <w:trHeight w:val="677"/>
          <w:jc w:val="center"/>
        </w:trPr>
        <w:tc>
          <w:tcPr>
            <w:tcW w:w="1413" w:type="dxa"/>
            <w:vAlign w:val="center"/>
          </w:tcPr>
          <w:p w14:paraId="3AABA83E" w14:textId="77777777" w:rsidR="00356A77" w:rsidRDefault="005F3508">
            <w:pPr>
              <w:pStyle w:val="TableParagraph"/>
              <w:snapToGrid w:val="0"/>
              <w:spacing w:line="240" w:lineRule="auto"/>
              <w:ind w:firstLineChars="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时间</w:t>
            </w:r>
          </w:p>
        </w:tc>
        <w:tc>
          <w:tcPr>
            <w:tcW w:w="7112" w:type="dxa"/>
            <w:vAlign w:val="center"/>
          </w:tcPr>
          <w:p w14:paraId="666228EA" w14:textId="77777777" w:rsidR="00356A77" w:rsidRDefault="005F3508">
            <w:pPr>
              <w:rPr>
                <w:rFonts w:ascii="Times New Roman" w:hAnsi="Times New Roman" w:cs="Times New Roman"/>
                <w:sz w:val="24"/>
                <w:szCs w:val="24"/>
              </w:rPr>
            </w:pP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w:t>
            </w:r>
            <w:r>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月</w:t>
            </w:r>
            <w:r>
              <w:rPr>
                <w:rFonts w:ascii="Times New Roman" w:eastAsiaTheme="minorEastAsia" w:hAnsi="Times New Roman" w:cs="Times New Roman"/>
                <w:sz w:val="24"/>
                <w:szCs w:val="24"/>
              </w:rPr>
              <w:t>10</w:t>
            </w:r>
            <w:r>
              <w:rPr>
                <w:rFonts w:ascii="Times New Roman" w:eastAsiaTheme="minorEastAsia" w:hAnsi="Times New Roman" w:cs="Times New Roman"/>
                <w:sz w:val="24"/>
                <w:szCs w:val="24"/>
              </w:rPr>
              <w:t>日</w:t>
            </w:r>
            <w:r>
              <w:rPr>
                <w:rFonts w:ascii="Times New Roman" w:eastAsiaTheme="minorEastAsia" w:hAnsi="Times New Roman" w:cs="Times New Roman" w:hint="eastAsia"/>
                <w:sz w:val="24"/>
                <w:szCs w:val="24"/>
              </w:rPr>
              <w:t>、</w:t>
            </w: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w:t>
            </w:r>
            <w:r>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月</w:t>
            </w:r>
            <w:r>
              <w:rPr>
                <w:rFonts w:ascii="Times New Roman" w:eastAsiaTheme="minorEastAsia" w:hAnsi="Times New Roman" w:cs="Times New Roman"/>
                <w:sz w:val="24"/>
                <w:szCs w:val="24"/>
              </w:rPr>
              <w:t>11</w:t>
            </w:r>
            <w:r>
              <w:rPr>
                <w:rFonts w:ascii="Times New Roman" w:eastAsiaTheme="minorEastAsia" w:hAnsi="Times New Roman" w:cs="Times New Roman"/>
                <w:sz w:val="24"/>
                <w:szCs w:val="24"/>
              </w:rPr>
              <w:t>日</w:t>
            </w:r>
            <w:r>
              <w:rPr>
                <w:rFonts w:ascii="Times New Roman" w:eastAsiaTheme="minorEastAsia" w:hAnsi="Times New Roman" w:cs="Times New Roman" w:hint="eastAsia"/>
                <w:sz w:val="24"/>
                <w:szCs w:val="24"/>
              </w:rPr>
              <w:t>、</w:t>
            </w: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w:t>
            </w:r>
            <w:r>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月</w:t>
            </w:r>
            <w:r>
              <w:rPr>
                <w:rFonts w:ascii="Times New Roman" w:eastAsiaTheme="minorEastAsia" w:hAnsi="Times New Roman" w:cs="Times New Roman"/>
                <w:sz w:val="24"/>
                <w:szCs w:val="24"/>
              </w:rPr>
              <w:t>13</w:t>
            </w:r>
            <w:r>
              <w:rPr>
                <w:rFonts w:ascii="Times New Roman" w:eastAsiaTheme="minorEastAsia" w:hAnsi="Times New Roman" w:cs="Times New Roman"/>
                <w:sz w:val="24"/>
                <w:szCs w:val="24"/>
              </w:rPr>
              <w:t>日</w:t>
            </w:r>
          </w:p>
        </w:tc>
      </w:tr>
      <w:tr w:rsidR="00356A77" w14:paraId="778D3EA6" w14:textId="77777777">
        <w:trPr>
          <w:trHeight w:val="712"/>
          <w:jc w:val="center"/>
        </w:trPr>
        <w:tc>
          <w:tcPr>
            <w:tcW w:w="1413" w:type="dxa"/>
            <w:vAlign w:val="center"/>
          </w:tcPr>
          <w:p w14:paraId="4D6603EC" w14:textId="77777777" w:rsidR="00356A77" w:rsidRDefault="005F3508">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地点</w:t>
            </w:r>
          </w:p>
        </w:tc>
        <w:tc>
          <w:tcPr>
            <w:tcW w:w="7112" w:type="dxa"/>
            <w:vAlign w:val="center"/>
          </w:tcPr>
          <w:p w14:paraId="5DB15816" w14:textId="77777777" w:rsidR="00356A77" w:rsidRDefault="005F3508">
            <w:pPr>
              <w:pStyle w:val="TableParagraph"/>
              <w:spacing w:line="240" w:lineRule="auto"/>
              <w:ind w:firstLineChars="0" w:firstLine="0"/>
              <w:jc w:val="left"/>
              <w:rPr>
                <w:rFonts w:ascii="Times New Roman" w:hAnsi="Times New Roman" w:cs="Times New Roman"/>
                <w:b w:val="0"/>
                <w:sz w:val="24"/>
                <w:szCs w:val="24"/>
                <w:lang w:val="en-US"/>
              </w:rPr>
            </w:pPr>
            <w:r>
              <w:rPr>
                <w:rFonts w:ascii="Times New Roman" w:hAnsi="Times New Roman" w:cs="Times New Roman"/>
                <w:b w:val="0"/>
                <w:sz w:val="24"/>
                <w:szCs w:val="24"/>
                <w:lang w:val="en-US"/>
              </w:rPr>
              <w:t>公司在广州总部接待</w:t>
            </w:r>
            <w:r>
              <w:rPr>
                <w:rFonts w:ascii="Times New Roman" w:hAnsi="Times New Roman" w:cs="Times New Roman" w:hint="eastAsia"/>
                <w:b w:val="0"/>
                <w:sz w:val="24"/>
                <w:szCs w:val="24"/>
                <w:lang w:val="en-US"/>
              </w:rPr>
              <w:t>投资者</w:t>
            </w:r>
            <w:r>
              <w:rPr>
                <w:rFonts w:ascii="Times New Roman" w:hAnsi="Times New Roman" w:cs="Times New Roman"/>
                <w:b w:val="0"/>
                <w:sz w:val="24"/>
                <w:szCs w:val="24"/>
                <w:lang w:val="en-US"/>
              </w:rPr>
              <w:t>现场调研</w:t>
            </w:r>
            <w:r>
              <w:rPr>
                <w:rFonts w:ascii="Times New Roman" w:hAnsi="Times New Roman" w:cs="Times New Roman" w:hint="eastAsia"/>
                <w:b w:val="0"/>
                <w:sz w:val="24"/>
                <w:szCs w:val="24"/>
                <w:lang w:val="en-US"/>
              </w:rPr>
              <w:t>及分析师线上调研</w:t>
            </w:r>
          </w:p>
        </w:tc>
      </w:tr>
      <w:tr w:rsidR="00356A77" w14:paraId="285D7903" w14:textId="77777777">
        <w:trPr>
          <w:trHeight w:val="1704"/>
          <w:jc w:val="center"/>
        </w:trPr>
        <w:tc>
          <w:tcPr>
            <w:tcW w:w="1413" w:type="dxa"/>
            <w:vAlign w:val="center"/>
          </w:tcPr>
          <w:p w14:paraId="00A94D69" w14:textId="77777777" w:rsidR="00356A77" w:rsidRDefault="005F3508">
            <w:pPr>
              <w:pStyle w:val="TableParagraph"/>
              <w:snapToGrid w:val="0"/>
              <w:ind w:firstLineChars="0" w:firstLine="0"/>
              <w:jc w:val="center"/>
              <w:rPr>
                <w:rFonts w:ascii="Times New Roman" w:hAnsi="Times New Roman" w:cs="Times New Roman"/>
                <w:sz w:val="24"/>
                <w:szCs w:val="24"/>
              </w:rPr>
            </w:pPr>
            <w:r>
              <w:rPr>
                <w:rFonts w:ascii="Times New Roman" w:hAnsi="Times New Roman" w:cs="Times New Roman"/>
                <w:sz w:val="24"/>
                <w:szCs w:val="24"/>
              </w:rPr>
              <w:t>上市公司接待人员姓名</w:t>
            </w:r>
          </w:p>
        </w:tc>
        <w:tc>
          <w:tcPr>
            <w:tcW w:w="7112" w:type="dxa"/>
            <w:vAlign w:val="center"/>
          </w:tcPr>
          <w:p w14:paraId="7A0B6638" w14:textId="77777777" w:rsidR="00356A77" w:rsidRDefault="005F3508">
            <w:pPr>
              <w:pStyle w:val="TableParagraph"/>
              <w:snapToGrid w:val="0"/>
              <w:ind w:firstLineChars="0" w:firstLine="0"/>
              <w:jc w:val="left"/>
              <w:rPr>
                <w:rFonts w:ascii="Times New Roman" w:hAnsi="Times New Roman" w:cs="Times New Roman"/>
                <w:b w:val="0"/>
                <w:sz w:val="24"/>
                <w:szCs w:val="24"/>
              </w:rPr>
            </w:pPr>
            <w:r>
              <w:rPr>
                <w:rFonts w:ascii="Times New Roman" w:hAnsi="Times New Roman" w:cs="Times New Roman"/>
                <w:b w:val="0"/>
                <w:sz w:val="24"/>
                <w:szCs w:val="24"/>
              </w:rPr>
              <w:t>董事会秘书：戴耀珊</w:t>
            </w:r>
          </w:p>
          <w:p w14:paraId="58A8A5C0" w14:textId="77777777" w:rsidR="00356A77" w:rsidRDefault="005F3508">
            <w:pPr>
              <w:pStyle w:val="TableParagraph"/>
              <w:snapToGrid w:val="0"/>
              <w:ind w:firstLineChars="0" w:firstLine="0"/>
              <w:jc w:val="left"/>
              <w:rPr>
                <w:rFonts w:ascii="Times New Roman" w:hAnsi="Times New Roman" w:cs="Times New Roman"/>
                <w:b w:val="0"/>
                <w:sz w:val="24"/>
                <w:szCs w:val="24"/>
              </w:rPr>
            </w:pPr>
            <w:r>
              <w:rPr>
                <w:rFonts w:ascii="Times New Roman" w:hAnsi="Times New Roman" w:cs="Times New Roman"/>
                <w:b w:val="0"/>
                <w:sz w:val="24"/>
                <w:szCs w:val="24"/>
              </w:rPr>
              <w:t>投资者关系总监：韦治池</w:t>
            </w:r>
          </w:p>
          <w:p w14:paraId="6960244C" w14:textId="77777777" w:rsidR="00356A77" w:rsidRDefault="005F3508">
            <w:pPr>
              <w:pStyle w:val="TableParagraph"/>
              <w:snapToGrid w:val="0"/>
              <w:ind w:firstLineChars="0" w:firstLine="0"/>
              <w:jc w:val="left"/>
              <w:rPr>
                <w:rFonts w:ascii="Times New Roman" w:hAnsi="Times New Roman" w:cs="Times New Roman"/>
                <w:sz w:val="24"/>
                <w:szCs w:val="24"/>
              </w:rPr>
            </w:pPr>
            <w:r>
              <w:rPr>
                <w:rFonts w:ascii="Times New Roman" w:hAnsi="Times New Roman" w:cs="Times New Roman"/>
                <w:b w:val="0"/>
                <w:sz w:val="24"/>
                <w:szCs w:val="24"/>
              </w:rPr>
              <w:t>投资者关系</w:t>
            </w:r>
            <w:r>
              <w:rPr>
                <w:rFonts w:ascii="Times New Roman" w:hAnsi="Times New Roman" w:cs="Times New Roman" w:hint="eastAsia"/>
                <w:b w:val="0"/>
                <w:sz w:val="24"/>
                <w:szCs w:val="24"/>
              </w:rPr>
              <w:t>副</w:t>
            </w:r>
            <w:r>
              <w:rPr>
                <w:rFonts w:ascii="Times New Roman" w:hAnsi="Times New Roman" w:cs="Times New Roman"/>
                <w:b w:val="0"/>
                <w:sz w:val="24"/>
                <w:szCs w:val="24"/>
              </w:rPr>
              <w:t>总监：</w:t>
            </w:r>
            <w:r>
              <w:rPr>
                <w:rFonts w:ascii="Times New Roman" w:hAnsi="Times New Roman" w:cs="Times New Roman" w:hint="eastAsia"/>
                <w:b w:val="0"/>
                <w:sz w:val="24"/>
                <w:szCs w:val="24"/>
              </w:rPr>
              <w:t>宁锦迪</w:t>
            </w:r>
          </w:p>
        </w:tc>
      </w:tr>
      <w:tr w:rsidR="00356A77" w14:paraId="11F28C0B" w14:textId="77777777">
        <w:trPr>
          <w:trHeight w:val="561"/>
          <w:jc w:val="center"/>
        </w:trPr>
        <w:tc>
          <w:tcPr>
            <w:tcW w:w="1413" w:type="dxa"/>
            <w:vAlign w:val="center"/>
          </w:tcPr>
          <w:p w14:paraId="24F8362B" w14:textId="77777777" w:rsidR="00356A77" w:rsidRDefault="005F3508">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投资者关系活动主要内容介绍</w:t>
            </w:r>
          </w:p>
        </w:tc>
        <w:tc>
          <w:tcPr>
            <w:tcW w:w="7112" w:type="dxa"/>
            <w:vAlign w:val="center"/>
          </w:tcPr>
          <w:p w14:paraId="14C5828D" w14:textId="79F95CD0" w:rsidR="00356A77" w:rsidRDefault="005F3508">
            <w:pPr>
              <w:pStyle w:val="TableParagraph"/>
              <w:ind w:firstLine="480"/>
              <w:rPr>
                <w:rFonts w:ascii="Times New Roman" w:hAnsi="Times New Roman" w:cs="Times New Roman"/>
                <w:b w:val="0"/>
                <w:sz w:val="24"/>
                <w:szCs w:val="24"/>
              </w:rPr>
            </w:pPr>
            <w:r>
              <w:rPr>
                <w:rFonts w:ascii="Times New Roman" w:hAnsi="Times New Roman" w:cs="Times New Roman"/>
                <w:b w:val="0"/>
                <w:sz w:val="24"/>
                <w:szCs w:val="24"/>
              </w:rPr>
              <w:t>投资者提问及公司回复的主要内容</w:t>
            </w:r>
            <w:r>
              <w:rPr>
                <w:rFonts w:ascii="Times New Roman" w:hAnsi="Times New Roman" w:cs="Times New Roman" w:hint="eastAsia"/>
                <w:b w:val="0"/>
                <w:sz w:val="24"/>
                <w:szCs w:val="24"/>
              </w:rPr>
              <w:t>如下：</w:t>
            </w:r>
          </w:p>
          <w:p w14:paraId="1ADEA33C" w14:textId="77777777" w:rsidR="00356A77" w:rsidRDefault="005F3508">
            <w:pPr>
              <w:pStyle w:val="TableParagraph"/>
              <w:ind w:firstLine="482"/>
              <w:rPr>
                <w:rFonts w:ascii="Times New Roman" w:hAnsi="Times New Roman" w:cs="Times New Roman"/>
                <w:sz w:val="24"/>
                <w:szCs w:val="24"/>
              </w:rPr>
            </w:pPr>
            <w:r>
              <w:rPr>
                <w:rFonts w:ascii="Times New Roman" w:hAnsi="Times New Roman" w:cs="Times New Roman"/>
                <w:sz w:val="24"/>
                <w:szCs w:val="24"/>
              </w:rPr>
              <w:t>问题</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hint="eastAsia"/>
                <w:sz w:val="24"/>
                <w:szCs w:val="24"/>
              </w:rPr>
              <w:t>公司国际化有什么规划？希望未来海外业务做到什么样的规模？</w:t>
            </w:r>
          </w:p>
          <w:p w14:paraId="246007C0" w14:textId="48DB2017" w:rsidR="00356A77" w:rsidRDefault="005F3508">
            <w:pPr>
              <w:pStyle w:val="TableParagraph"/>
              <w:ind w:firstLine="480"/>
              <w:rPr>
                <w:rFonts w:ascii="Times New Roman" w:hAnsi="Times New Roman" w:cs="Times New Roman"/>
                <w:b w:val="0"/>
                <w:sz w:val="24"/>
                <w:szCs w:val="24"/>
              </w:rPr>
            </w:pPr>
            <w:r>
              <w:rPr>
                <w:rFonts w:ascii="Times New Roman" w:hAnsi="Times New Roman" w:cs="Times New Roman"/>
                <w:b w:val="0"/>
                <w:sz w:val="24"/>
                <w:szCs w:val="24"/>
              </w:rPr>
              <w:t>答：</w:t>
            </w:r>
            <w:r>
              <w:rPr>
                <w:rFonts w:ascii="Times New Roman" w:hAnsi="Times New Roman" w:cs="Times New Roman" w:hint="eastAsia"/>
                <w:b w:val="0"/>
                <w:sz w:val="24"/>
                <w:szCs w:val="24"/>
              </w:rPr>
              <w:t>公司</w:t>
            </w:r>
            <w:r w:rsidR="006F71CE">
              <w:rPr>
                <w:rFonts w:ascii="Times New Roman" w:hAnsi="Times New Roman" w:cs="Times New Roman" w:hint="eastAsia"/>
                <w:b w:val="0"/>
                <w:sz w:val="24"/>
                <w:szCs w:val="24"/>
              </w:rPr>
              <w:t>通过</w:t>
            </w:r>
            <w:r>
              <w:rPr>
                <w:rFonts w:ascii="Times New Roman" w:hAnsi="Times New Roman" w:cs="Times New Roman" w:hint="eastAsia"/>
                <w:b w:val="0"/>
                <w:sz w:val="24"/>
                <w:szCs w:val="24"/>
              </w:rPr>
              <w:t>持续</w:t>
            </w:r>
            <w:r w:rsidR="006F71CE">
              <w:rPr>
                <w:rFonts w:ascii="Times New Roman" w:hAnsi="Times New Roman" w:cs="Times New Roman" w:hint="eastAsia"/>
                <w:b w:val="0"/>
                <w:sz w:val="24"/>
                <w:szCs w:val="24"/>
              </w:rPr>
              <w:t>推进</w:t>
            </w:r>
            <w:r>
              <w:rPr>
                <w:rFonts w:ascii="Times New Roman" w:hAnsi="Times New Roman" w:cs="Times New Roman" w:hint="eastAsia"/>
                <w:b w:val="0"/>
                <w:sz w:val="24"/>
                <w:szCs w:val="24"/>
              </w:rPr>
              <w:t>国际</w:t>
            </w:r>
            <w:r w:rsidR="006F71CE">
              <w:rPr>
                <w:rFonts w:ascii="Times New Roman" w:hAnsi="Times New Roman" w:cs="Times New Roman" w:hint="eastAsia"/>
                <w:b w:val="0"/>
                <w:sz w:val="24"/>
                <w:szCs w:val="24"/>
              </w:rPr>
              <w:t>化战略</w:t>
            </w:r>
            <w:r>
              <w:rPr>
                <w:rFonts w:ascii="Times New Roman" w:hAnsi="Times New Roman" w:cs="Times New Roman" w:hint="eastAsia"/>
                <w:b w:val="0"/>
                <w:sz w:val="24"/>
                <w:szCs w:val="24"/>
              </w:rPr>
              <w:t>，深化</w:t>
            </w:r>
            <w:r w:rsidR="006F71CE">
              <w:rPr>
                <w:rFonts w:ascii="Times New Roman" w:hAnsi="Times New Roman" w:cs="Times New Roman" w:hint="eastAsia"/>
                <w:b w:val="0"/>
                <w:sz w:val="24"/>
                <w:szCs w:val="24"/>
              </w:rPr>
              <w:t>全球市场</w:t>
            </w:r>
            <w:r>
              <w:rPr>
                <w:rFonts w:ascii="Times New Roman" w:hAnsi="Times New Roman" w:cs="Times New Roman" w:hint="eastAsia"/>
                <w:b w:val="0"/>
                <w:sz w:val="24"/>
                <w:szCs w:val="24"/>
              </w:rPr>
              <w:t>布局，优化全球供应链体系</w:t>
            </w:r>
            <w:r w:rsidR="006F71CE">
              <w:rPr>
                <w:rFonts w:ascii="Times New Roman" w:hAnsi="Times New Roman" w:cs="Times New Roman" w:hint="eastAsia"/>
                <w:b w:val="0"/>
                <w:sz w:val="24"/>
                <w:szCs w:val="24"/>
              </w:rPr>
              <w:t>，</w:t>
            </w:r>
            <w:r>
              <w:rPr>
                <w:rFonts w:ascii="Times New Roman" w:hAnsi="Times New Roman" w:cs="Times New Roman" w:hint="eastAsia"/>
                <w:b w:val="0"/>
                <w:sz w:val="24"/>
                <w:szCs w:val="24"/>
              </w:rPr>
              <w:t>近年来公司全球化运营能力</w:t>
            </w:r>
            <w:r w:rsidR="006F71CE">
              <w:rPr>
                <w:rFonts w:ascii="Times New Roman" w:hAnsi="Times New Roman" w:cs="Times New Roman" w:hint="eastAsia"/>
                <w:b w:val="0"/>
                <w:sz w:val="24"/>
                <w:szCs w:val="24"/>
              </w:rPr>
              <w:t>已实现有效提升</w:t>
            </w:r>
            <w:r>
              <w:rPr>
                <w:rFonts w:ascii="Times New Roman" w:hAnsi="Times New Roman" w:cs="Times New Roman" w:hint="eastAsia"/>
                <w:b w:val="0"/>
                <w:sz w:val="24"/>
                <w:szCs w:val="24"/>
              </w:rPr>
              <w:t>，目前公司已</w:t>
            </w:r>
            <w:r w:rsidR="006F71CE">
              <w:rPr>
                <w:rFonts w:ascii="Times New Roman" w:hAnsi="Times New Roman" w:cs="Times New Roman" w:hint="eastAsia"/>
                <w:b w:val="0"/>
                <w:sz w:val="24"/>
                <w:szCs w:val="24"/>
              </w:rPr>
              <w:t>设立</w:t>
            </w:r>
            <w:r>
              <w:rPr>
                <w:rFonts w:ascii="Times New Roman" w:hAnsi="Times New Roman" w:cs="Times New Roman" w:hint="eastAsia"/>
                <w:b w:val="0"/>
                <w:sz w:val="24"/>
                <w:szCs w:val="24"/>
              </w:rPr>
              <w:t>美国、德国、印度、马来西亚、越南和西班牙</w:t>
            </w:r>
            <w:r>
              <w:rPr>
                <w:rFonts w:ascii="Times New Roman" w:hAnsi="Times New Roman" w:cs="Times New Roman" w:hint="eastAsia"/>
                <w:b w:val="0"/>
                <w:sz w:val="24"/>
                <w:szCs w:val="24"/>
              </w:rPr>
              <w:t>6</w:t>
            </w:r>
            <w:r>
              <w:rPr>
                <w:rFonts w:ascii="Times New Roman" w:hAnsi="Times New Roman" w:cs="Times New Roman" w:hint="eastAsia"/>
                <w:b w:val="0"/>
                <w:sz w:val="24"/>
                <w:szCs w:val="24"/>
              </w:rPr>
              <w:t>个海外基地，</w:t>
            </w:r>
            <w:r w:rsidR="006F71CE">
              <w:rPr>
                <w:rFonts w:ascii="Times New Roman" w:hAnsi="Times New Roman" w:cs="Times New Roman" w:hint="eastAsia"/>
                <w:b w:val="0"/>
                <w:sz w:val="24"/>
                <w:szCs w:val="24"/>
              </w:rPr>
              <w:t>同时正积极</w:t>
            </w:r>
            <w:r>
              <w:rPr>
                <w:rFonts w:ascii="Times New Roman" w:hAnsi="Times New Roman" w:cs="Times New Roman" w:hint="eastAsia"/>
                <w:b w:val="0"/>
                <w:sz w:val="24"/>
                <w:szCs w:val="24"/>
              </w:rPr>
              <w:t>推进</w:t>
            </w:r>
            <w:r>
              <w:rPr>
                <w:rFonts w:ascii="Times New Roman" w:hAnsi="Times New Roman" w:cs="Times New Roman"/>
                <w:b w:val="0"/>
                <w:sz w:val="24"/>
                <w:szCs w:val="24"/>
              </w:rPr>
              <w:t>波兰、墨西哥</w:t>
            </w:r>
            <w:r>
              <w:rPr>
                <w:rFonts w:ascii="Times New Roman" w:hAnsi="Times New Roman" w:cs="Times New Roman" w:hint="eastAsia"/>
                <w:b w:val="0"/>
                <w:sz w:val="24"/>
                <w:szCs w:val="24"/>
              </w:rPr>
              <w:t>、南非等</w:t>
            </w:r>
            <w:r>
              <w:rPr>
                <w:rFonts w:ascii="Times New Roman" w:hAnsi="Times New Roman" w:cs="Times New Roman"/>
                <w:b w:val="0"/>
                <w:sz w:val="24"/>
                <w:szCs w:val="24"/>
              </w:rPr>
              <w:t>海外</w:t>
            </w:r>
            <w:r>
              <w:rPr>
                <w:rFonts w:ascii="Times New Roman" w:hAnsi="Times New Roman" w:cs="Times New Roman" w:hint="eastAsia"/>
                <w:b w:val="0"/>
                <w:sz w:val="24"/>
                <w:szCs w:val="24"/>
              </w:rPr>
              <w:t>基地</w:t>
            </w:r>
            <w:r>
              <w:rPr>
                <w:rFonts w:ascii="Times New Roman" w:hAnsi="Times New Roman" w:cs="Times New Roman"/>
                <w:b w:val="0"/>
                <w:sz w:val="24"/>
                <w:szCs w:val="24"/>
              </w:rPr>
              <w:t>建设，</w:t>
            </w:r>
            <w:r>
              <w:rPr>
                <w:rFonts w:ascii="Times New Roman" w:hAnsi="Times New Roman" w:cs="Times New Roman" w:hint="eastAsia"/>
                <w:b w:val="0"/>
                <w:sz w:val="24"/>
                <w:szCs w:val="24"/>
              </w:rPr>
              <w:t>不断</w:t>
            </w:r>
            <w:r>
              <w:rPr>
                <w:rFonts w:ascii="Times New Roman" w:hAnsi="Times New Roman" w:cs="Times New Roman"/>
                <w:b w:val="0"/>
                <w:sz w:val="24"/>
                <w:szCs w:val="24"/>
              </w:rPr>
              <w:t>加强海外本土化供应和服务能力，进一步提升全球竞争力</w:t>
            </w:r>
            <w:r>
              <w:rPr>
                <w:rFonts w:ascii="Times New Roman" w:hAnsi="Times New Roman" w:cs="Times New Roman" w:hint="eastAsia"/>
                <w:b w:val="0"/>
                <w:sz w:val="24"/>
                <w:szCs w:val="24"/>
              </w:rPr>
              <w:t>，</w:t>
            </w:r>
            <w:r w:rsidR="006F71CE">
              <w:rPr>
                <w:rFonts w:ascii="Times New Roman" w:hAnsi="Times New Roman" w:cs="Times New Roman" w:hint="eastAsia"/>
                <w:b w:val="0"/>
                <w:sz w:val="24"/>
                <w:szCs w:val="24"/>
              </w:rPr>
              <w:t>未来</w:t>
            </w:r>
            <w:r>
              <w:rPr>
                <w:rFonts w:ascii="Times New Roman" w:hAnsi="Times New Roman" w:cs="Times New Roman" w:hint="eastAsia"/>
                <w:b w:val="0"/>
                <w:sz w:val="24"/>
                <w:szCs w:val="24"/>
              </w:rPr>
              <w:t>力争</w:t>
            </w:r>
            <w:r w:rsidR="006F71CE">
              <w:rPr>
                <w:rFonts w:ascii="Times New Roman" w:hAnsi="Times New Roman" w:cs="Times New Roman" w:hint="eastAsia"/>
                <w:b w:val="0"/>
                <w:sz w:val="24"/>
                <w:szCs w:val="24"/>
              </w:rPr>
              <w:t>实现</w:t>
            </w:r>
            <w:r w:rsidR="006F71CE" w:rsidRPr="006F71CE">
              <w:rPr>
                <w:rFonts w:ascii="Times New Roman" w:hAnsi="Times New Roman" w:cs="Times New Roman" w:hint="eastAsia"/>
                <w:b w:val="0"/>
                <w:sz w:val="24"/>
                <w:szCs w:val="24"/>
              </w:rPr>
              <w:t>海外市场营收占比突破</w:t>
            </w:r>
            <w:r w:rsidR="006F71CE" w:rsidRPr="006F71CE">
              <w:rPr>
                <w:rFonts w:ascii="Times New Roman" w:hAnsi="Times New Roman" w:cs="Times New Roman"/>
                <w:b w:val="0"/>
                <w:sz w:val="24"/>
                <w:szCs w:val="24"/>
              </w:rPr>
              <w:t>30%</w:t>
            </w:r>
            <w:r w:rsidR="006F71CE" w:rsidRPr="006F71CE">
              <w:rPr>
                <w:rFonts w:ascii="Times New Roman" w:hAnsi="Times New Roman" w:cs="Times New Roman"/>
                <w:b w:val="0"/>
                <w:sz w:val="24"/>
                <w:szCs w:val="24"/>
              </w:rPr>
              <w:t>的战略目标。</w:t>
            </w:r>
          </w:p>
          <w:p w14:paraId="63FE836B" w14:textId="77777777" w:rsidR="00356A77" w:rsidRDefault="00356A77">
            <w:pPr>
              <w:pStyle w:val="TableParagraph"/>
              <w:ind w:firstLine="482"/>
              <w:rPr>
                <w:rFonts w:ascii="Times New Roman" w:hAnsi="Times New Roman" w:cs="Times New Roman"/>
                <w:sz w:val="24"/>
                <w:szCs w:val="24"/>
              </w:rPr>
            </w:pPr>
          </w:p>
          <w:p w14:paraId="7131B1F4" w14:textId="77777777" w:rsidR="00356A77" w:rsidRDefault="005F3508">
            <w:pPr>
              <w:pStyle w:val="TableParagraph"/>
              <w:ind w:firstLine="482"/>
              <w:rPr>
                <w:rFonts w:ascii="Times New Roman" w:hAnsi="Times New Roman" w:cs="Times New Roman"/>
                <w:sz w:val="24"/>
                <w:szCs w:val="24"/>
              </w:rPr>
            </w:pPr>
            <w:r>
              <w:rPr>
                <w:rFonts w:ascii="Times New Roman" w:hAnsi="Times New Roman" w:cs="Times New Roman"/>
                <w:sz w:val="24"/>
                <w:szCs w:val="24"/>
              </w:rPr>
              <w:t>问题</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hint="eastAsia"/>
                <w:sz w:val="24"/>
                <w:szCs w:val="24"/>
              </w:rPr>
              <w:t>公司在机器人材料方面是否有相关发展战略安排？目前</w:t>
            </w:r>
            <w:r>
              <w:rPr>
                <w:rFonts w:ascii="Times New Roman" w:hAnsi="Times New Roman" w:cs="Times New Roman" w:hint="eastAsia"/>
                <w:sz w:val="24"/>
                <w:szCs w:val="24"/>
              </w:rPr>
              <w:lastRenderedPageBreak/>
              <w:t>是否给公司带来盈利？</w:t>
            </w:r>
          </w:p>
          <w:p w14:paraId="2BD6ABDF" w14:textId="34C3598C" w:rsidR="00356A77" w:rsidRDefault="005F3508">
            <w:pPr>
              <w:pStyle w:val="TableParagraph"/>
              <w:ind w:firstLine="480"/>
              <w:rPr>
                <w:rFonts w:ascii="Times New Roman" w:hAnsi="Times New Roman" w:cs="Times New Roman"/>
                <w:b w:val="0"/>
                <w:sz w:val="24"/>
                <w:szCs w:val="24"/>
              </w:rPr>
            </w:pPr>
            <w:r>
              <w:rPr>
                <w:rFonts w:ascii="Times New Roman" w:hAnsi="Times New Roman" w:cs="Times New Roman"/>
                <w:b w:val="0"/>
                <w:sz w:val="24"/>
                <w:szCs w:val="24"/>
              </w:rPr>
              <w:t>答：</w:t>
            </w:r>
            <w:r>
              <w:rPr>
                <w:rFonts w:ascii="Times New Roman" w:hAnsi="Times New Roman" w:cs="Times New Roman" w:hint="eastAsia"/>
                <w:b w:val="0"/>
                <w:sz w:val="24"/>
                <w:szCs w:val="24"/>
              </w:rPr>
              <w:t>当前机器人行业仍处于发展的初期阶段，其供应链模式与汽车行业相近，未来公司将凭借车用材料的</w:t>
            </w:r>
            <w:r>
              <w:rPr>
                <w:rFonts w:ascii="Times New Roman" w:hAnsi="Times New Roman" w:cs="Times New Roman" w:hint="eastAsia"/>
                <w:b w:val="0"/>
                <w:sz w:val="24"/>
                <w:szCs w:val="24"/>
                <w:lang w:val="en-US"/>
              </w:rPr>
              <w:t>市场占有</w:t>
            </w:r>
            <w:r>
              <w:rPr>
                <w:rFonts w:ascii="Times New Roman" w:hAnsi="Times New Roman" w:cs="Times New Roman" w:hint="eastAsia"/>
                <w:b w:val="0"/>
                <w:sz w:val="24"/>
                <w:szCs w:val="24"/>
              </w:rPr>
              <w:t>表现以及材料研发的应用能力，同步赋能和布局机器人行业所用材料的业务生态。目前相关业务</w:t>
            </w:r>
            <w:r w:rsidR="00294AF8">
              <w:rPr>
                <w:rFonts w:ascii="Times New Roman" w:hAnsi="Times New Roman" w:cs="Times New Roman" w:hint="eastAsia"/>
                <w:b w:val="0"/>
                <w:sz w:val="24"/>
                <w:szCs w:val="24"/>
              </w:rPr>
              <w:t>营收</w:t>
            </w:r>
            <w:r>
              <w:rPr>
                <w:rFonts w:ascii="Times New Roman" w:hAnsi="Times New Roman" w:cs="Times New Roman" w:hint="eastAsia"/>
                <w:b w:val="0"/>
                <w:sz w:val="24"/>
                <w:szCs w:val="24"/>
              </w:rPr>
              <w:t>占公司</w:t>
            </w:r>
            <w:r w:rsidR="00294AF8">
              <w:rPr>
                <w:rFonts w:ascii="Times New Roman" w:hAnsi="Times New Roman" w:cs="Times New Roman" w:hint="eastAsia"/>
                <w:b w:val="0"/>
                <w:sz w:val="24"/>
                <w:szCs w:val="24"/>
              </w:rPr>
              <w:t>整体营收比例</w:t>
            </w:r>
            <w:r>
              <w:rPr>
                <w:rFonts w:ascii="Times New Roman" w:hAnsi="Times New Roman" w:cs="Times New Roman" w:hint="eastAsia"/>
                <w:b w:val="0"/>
                <w:sz w:val="24"/>
                <w:szCs w:val="24"/>
              </w:rPr>
              <w:t>极小，未对公司整体盈利带来实质性影响。</w:t>
            </w:r>
          </w:p>
          <w:p w14:paraId="7862790C" w14:textId="77777777" w:rsidR="00356A77" w:rsidRDefault="00356A77">
            <w:pPr>
              <w:pStyle w:val="TableParagraph"/>
              <w:ind w:firstLine="482"/>
              <w:rPr>
                <w:rFonts w:ascii="Times New Roman" w:hAnsi="Times New Roman" w:cs="Times New Roman"/>
                <w:sz w:val="24"/>
                <w:szCs w:val="24"/>
              </w:rPr>
            </w:pPr>
          </w:p>
          <w:p w14:paraId="6995C453" w14:textId="77777777" w:rsidR="00356A77" w:rsidRDefault="005F3508">
            <w:pPr>
              <w:pStyle w:val="TableParagraph"/>
              <w:ind w:firstLine="482"/>
              <w:rPr>
                <w:rFonts w:ascii="Times New Roman" w:hAnsi="Times New Roman" w:cs="Times New Roman"/>
                <w:sz w:val="24"/>
                <w:szCs w:val="24"/>
              </w:rPr>
            </w:pPr>
            <w:r>
              <w:rPr>
                <w:rFonts w:ascii="Times New Roman" w:hAnsi="Times New Roman" w:cs="Times New Roman"/>
                <w:sz w:val="24"/>
                <w:szCs w:val="24"/>
              </w:rPr>
              <w:t>问题</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hint="eastAsia"/>
                <w:sz w:val="24"/>
                <w:szCs w:val="24"/>
              </w:rPr>
              <w:t>绿色石化板块的影响预计在什么时候有所改善</w:t>
            </w:r>
            <w:r>
              <w:rPr>
                <w:rFonts w:ascii="Times New Roman" w:hAnsi="Times New Roman" w:cs="Times New Roman"/>
                <w:sz w:val="24"/>
                <w:szCs w:val="24"/>
              </w:rPr>
              <w:t>？</w:t>
            </w:r>
            <w:r>
              <w:rPr>
                <w:rFonts w:ascii="Times New Roman" w:hAnsi="Times New Roman" w:cs="Times New Roman" w:hint="eastAsia"/>
                <w:sz w:val="24"/>
                <w:szCs w:val="24"/>
              </w:rPr>
              <w:t>公司营收增速比较可观，在现金流充裕情况下，是否继续进行并购以增强公司在产业链上的优势？</w:t>
            </w:r>
          </w:p>
          <w:p w14:paraId="31998C01" w14:textId="72C83932" w:rsidR="00356A77" w:rsidRDefault="005F3508">
            <w:pPr>
              <w:pStyle w:val="TableParagraph"/>
              <w:ind w:firstLine="480"/>
              <w:rPr>
                <w:rFonts w:ascii="Times New Roman" w:hAnsi="Times New Roman" w:cs="Times New Roman"/>
                <w:b w:val="0"/>
                <w:sz w:val="24"/>
                <w:szCs w:val="24"/>
              </w:rPr>
            </w:pPr>
            <w:r>
              <w:rPr>
                <w:rFonts w:ascii="Times New Roman" w:hAnsi="Times New Roman" w:cs="Times New Roman"/>
                <w:b w:val="0"/>
                <w:sz w:val="24"/>
                <w:szCs w:val="24"/>
              </w:rPr>
              <w:t>答：</w:t>
            </w:r>
            <w:r>
              <w:rPr>
                <w:rFonts w:ascii="Times New Roman" w:hAnsi="Times New Roman" w:cs="Times New Roman" w:hint="eastAsia"/>
                <w:b w:val="0"/>
                <w:color w:val="auto"/>
                <w:sz w:val="24"/>
                <w:szCs w:val="24"/>
              </w:rPr>
              <w:t>1</w:t>
            </w:r>
            <w:r>
              <w:rPr>
                <w:rFonts w:ascii="Times New Roman" w:hAnsi="Times New Roman" w:cs="Times New Roman" w:hint="eastAsia"/>
                <w:b w:val="0"/>
                <w:color w:val="auto"/>
                <w:sz w:val="24"/>
                <w:szCs w:val="24"/>
              </w:rPr>
              <w:t>、</w:t>
            </w:r>
            <w:r w:rsidR="005B7030">
              <w:rPr>
                <w:rFonts w:ascii="Times New Roman" w:hAnsi="Times New Roman" w:cs="Times New Roman" w:hint="eastAsia"/>
                <w:b w:val="0"/>
                <w:color w:val="auto"/>
                <w:sz w:val="24"/>
                <w:szCs w:val="24"/>
              </w:rPr>
              <w:t>从</w:t>
            </w:r>
            <w:r w:rsidR="00CB5374" w:rsidRPr="00CB5374">
              <w:rPr>
                <w:rFonts w:ascii="Times New Roman" w:hAnsi="Times New Roman" w:cs="Times New Roman" w:hint="eastAsia"/>
                <w:b w:val="0"/>
                <w:color w:val="auto"/>
                <w:sz w:val="24"/>
                <w:szCs w:val="24"/>
              </w:rPr>
              <w:t>行业周期视角来看，当前石化行业仍处于底部震荡阶段，面临产能</w:t>
            </w:r>
            <w:r w:rsidR="00D421C0">
              <w:rPr>
                <w:rFonts w:ascii="Times New Roman" w:hAnsi="Times New Roman" w:cs="Times New Roman" w:hint="eastAsia"/>
                <w:b w:val="0"/>
                <w:color w:val="auto"/>
                <w:sz w:val="24"/>
                <w:szCs w:val="24"/>
              </w:rPr>
              <w:t>整体</w:t>
            </w:r>
            <w:r w:rsidR="00CB5374" w:rsidRPr="00CB5374">
              <w:rPr>
                <w:rFonts w:ascii="Times New Roman" w:hAnsi="Times New Roman" w:cs="Times New Roman" w:hint="eastAsia"/>
                <w:b w:val="0"/>
                <w:color w:val="auto"/>
                <w:sz w:val="24"/>
                <w:szCs w:val="24"/>
              </w:rPr>
              <w:t>过剩与市场需求疲软的双重压力。公司在</w:t>
            </w:r>
            <w:r w:rsidR="00CB5374" w:rsidRPr="00CB5374">
              <w:rPr>
                <w:rFonts w:ascii="Times New Roman" w:hAnsi="Times New Roman" w:cs="Times New Roman"/>
                <w:b w:val="0"/>
                <w:color w:val="auto"/>
                <w:sz w:val="24"/>
                <w:szCs w:val="24"/>
              </w:rPr>
              <w:t>2024</w:t>
            </w:r>
            <w:r w:rsidR="00CB5374" w:rsidRPr="00CB5374">
              <w:rPr>
                <w:rFonts w:ascii="Times New Roman" w:hAnsi="Times New Roman" w:cs="Times New Roman"/>
                <w:b w:val="0"/>
                <w:color w:val="auto"/>
                <w:sz w:val="24"/>
                <w:szCs w:val="24"/>
              </w:rPr>
              <w:t>年已</w:t>
            </w:r>
            <w:r w:rsidR="00D421C0">
              <w:rPr>
                <w:rFonts w:ascii="Times New Roman" w:hAnsi="Times New Roman" w:cs="Times New Roman" w:hint="eastAsia"/>
                <w:b w:val="0"/>
                <w:color w:val="auto"/>
                <w:sz w:val="24"/>
                <w:szCs w:val="24"/>
              </w:rPr>
              <w:t>初步</w:t>
            </w:r>
            <w:r w:rsidR="00CB5374" w:rsidRPr="00CB5374">
              <w:rPr>
                <w:rFonts w:ascii="Times New Roman" w:hAnsi="Times New Roman" w:cs="Times New Roman"/>
                <w:b w:val="0"/>
                <w:color w:val="auto"/>
                <w:sz w:val="24"/>
                <w:szCs w:val="24"/>
              </w:rPr>
              <w:t>完成石化板块关键装置的技术改造，</w:t>
            </w:r>
            <w:r w:rsidR="00D421C0">
              <w:rPr>
                <w:rFonts w:ascii="Times New Roman" w:hAnsi="Times New Roman" w:cs="Times New Roman" w:hint="eastAsia"/>
                <w:b w:val="0"/>
                <w:color w:val="auto"/>
                <w:sz w:val="24"/>
                <w:szCs w:val="24"/>
              </w:rPr>
              <w:t>取得</w:t>
            </w:r>
            <w:r w:rsidR="00CB5374" w:rsidRPr="00CB5374">
              <w:rPr>
                <w:rFonts w:ascii="Times New Roman" w:hAnsi="Times New Roman" w:cs="Times New Roman" w:hint="eastAsia"/>
                <w:b w:val="0"/>
                <w:color w:val="auto"/>
                <w:sz w:val="24"/>
                <w:szCs w:val="24"/>
              </w:rPr>
              <w:t>加工成本下降</w:t>
            </w:r>
            <w:r w:rsidR="00CB5374" w:rsidRPr="00CB5374">
              <w:rPr>
                <w:rFonts w:ascii="Times New Roman" w:hAnsi="Times New Roman" w:cs="Times New Roman"/>
                <w:b w:val="0"/>
                <w:color w:val="auto"/>
                <w:sz w:val="24"/>
                <w:szCs w:val="24"/>
              </w:rPr>
              <w:t>和装置</w:t>
            </w:r>
            <w:r w:rsidR="001723B7">
              <w:rPr>
                <w:rFonts w:ascii="Times New Roman" w:hAnsi="Times New Roman" w:cs="Times New Roman" w:hint="eastAsia"/>
                <w:b w:val="0"/>
                <w:color w:val="auto"/>
                <w:sz w:val="24"/>
                <w:szCs w:val="24"/>
              </w:rPr>
              <w:t>长周期</w:t>
            </w:r>
            <w:r w:rsidR="00CB5374" w:rsidRPr="00CB5374">
              <w:rPr>
                <w:rFonts w:ascii="Times New Roman" w:hAnsi="Times New Roman" w:cs="Times New Roman"/>
                <w:b w:val="0"/>
                <w:color w:val="auto"/>
                <w:sz w:val="24"/>
                <w:szCs w:val="24"/>
              </w:rPr>
              <w:t>稳定运行的阶段</w:t>
            </w:r>
            <w:r w:rsidR="00D421C0">
              <w:rPr>
                <w:rFonts w:ascii="Times New Roman" w:hAnsi="Times New Roman" w:cs="Times New Roman" w:hint="eastAsia"/>
                <w:b w:val="0"/>
                <w:color w:val="auto"/>
                <w:sz w:val="24"/>
                <w:szCs w:val="24"/>
              </w:rPr>
              <w:t>性</w:t>
            </w:r>
            <w:r w:rsidR="00CB5374" w:rsidRPr="00CB5374">
              <w:rPr>
                <w:rFonts w:ascii="Times New Roman" w:hAnsi="Times New Roman" w:cs="Times New Roman"/>
                <w:b w:val="0"/>
                <w:color w:val="auto"/>
                <w:sz w:val="24"/>
                <w:szCs w:val="24"/>
              </w:rPr>
              <w:t>成果</w:t>
            </w:r>
            <w:r>
              <w:rPr>
                <w:rFonts w:ascii="Times New Roman" w:hAnsi="Times New Roman" w:cs="Times New Roman"/>
                <w:b w:val="0"/>
                <w:color w:val="auto"/>
                <w:sz w:val="24"/>
                <w:szCs w:val="24"/>
              </w:rPr>
              <w:t>。此外，公司依托材料应用</w:t>
            </w:r>
            <w:r w:rsidR="00BC7BE0">
              <w:rPr>
                <w:rFonts w:ascii="Times New Roman" w:hAnsi="Times New Roman" w:cs="Times New Roman" w:hint="eastAsia"/>
                <w:b w:val="0"/>
                <w:color w:val="auto"/>
                <w:sz w:val="24"/>
                <w:szCs w:val="24"/>
              </w:rPr>
              <w:t>创新</w:t>
            </w:r>
            <w:r>
              <w:rPr>
                <w:rFonts w:ascii="Times New Roman" w:hAnsi="Times New Roman" w:cs="Times New Roman"/>
                <w:b w:val="0"/>
                <w:color w:val="auto"/>
                <w:sz w:val="24"/>
                <w:szCs w:val="24"/>
              </w:rPr>
              <w:t>优势，</w:t>
            </w:r>
            <w:r w:rsidR="00BC7BE0">
              <w:rPr>
                <w:rFonts w:ascii="Times New Roman" w:hAnsi="Times New Roman" w:cs="Times New Roman" w:hint="eastAsia"/>
                <w:b w:val="0"/>
                <w:color w:val="auto"/>
                <w:sz w:val="24"/>
                <w:szCs w:val="24"/>
              </w:rPr>
              <w:t>加大</w:t>
            </w:r>
            <w:r w:rsidR="00D421C0">
              <w:rPr>
                <w:rFonts w:ascii="Times New Roman" w:hAnsi="Times New Roman" w:cs="Times New Roman" w:hint="eastAsia"/>
                <w:b w:val="0"/>
                <w:color w:val="auto"/>
                <w:sz w:val="24"/>
                <w:szCs w:val="24"/>
              </w:rPr>
              <w:t>石化至改性塑料的</w:t>
            </w:r>
            <w:r w:rsidR="00BC7BE0">
              <w:rPr>
                <w:rFonts w:ascii="Times New Roman" w:hAnsi="Times New Roman" w:cs="Times New Roman" w:hint="eastAsia"/>
                <w:b w:val="0"/>
                <w:color w:val="auto"/>
                <w:sz w:val="24"/>
                <w:szCs w:val="24"/>
              </w:rPr>
              <w:t>上下</w:t>
            </w:r>
            <w:r w:rsidR="001723B7">
              <w:rPr>
                <w:rFonts w:ascii="Times New Roman" w:hAnsi="Times New Roman" w:cs="Times New Roman" w:hint="eastAsia"/>
                <w:b w:val="0"/>
                <w:color w:val="auto"/>
                <w:sz w:val="24"/>
                <w:szCs w:val="24"/>
              </w:rPr>
              <w:t>游</w:t>
            </w:r>
            <w:r w:rsidR="00BC7BE0">
              <w:rPr>
                <w:rFonts w:ascii="Times New Roman" w:hAnsi="Times New Roman" w:cs="Times New Roman" w:hint="eastAsia"/>
                <w:b w:val="0"/>
                <w:color w:val="auto"/>
                <w:sz w:val="24"/>
                <w:szCs w:val="24"/>
              </w:rPr>
              <w:t>一体化协同，</w:t>
            </w:r>
            <w:r>
              <w:rPr>
                <w:rFonts w:ascii="Times New Roman" w:hAnsi="Times New Roman" w:cs="Times New Roman"/>
                <w:b w:val="0"/>
                <w:color w:val="auto"/>
                <w:sz w:val="24"/>
                <w:szCs w:val="24"/>
              </w:rPr>
              <w:t>开发了</w:t>
            </w:r>
            <w:r w:rsidR="00D421C0">
              <w:rPr>
                <w:rFonts w:ascii="Times New Roman" w:hAnsi="Times New Roman" w:cs="Times New Roman" w:hint="eastAsia"/>
                <w:b w:val="0"/>
                <w:color w:val="auto"/>
                <w:sz w:val="24"/>
                <w:szCs w:val="24"/>
              </w:rPr>
              <w:t>部分</w:t>
            </w:r>
            <w:r>
              <w:rPr>
                <w:rFonts w:ascii="Times New Roman" w:hAnsi="Times New Roman" w:cs="Times New Roman"/>
                <w:b w:val="0"/>
                <w:color w:val="auto"/>
                <w:sz w:val="24"/>
                <w:szCs w:val="24"/>
              </w:rPr>
              <w:t>高附加值的专用料，盈利情况有所改善。</w:t>
            </w:r>
            <w:r>
              <w:rPr>
                <w:rFonts w:ascii="Times New Roman" w:hAnsi="Times New Roman" w:cs="Times New Roman"/>
                <w:b w:val="0"/>
                <w:color w:val="auto"/>
                <w:sz w:val="24"/>
                <w:szCs w:val="24"/>
              </w:rPr>
              <w:t>2025</w:t>
            </w:r>
            <w:r>
              <w:rPr>
                <w:rFonts w:ascii="Times New Roman" w:hAnsi="Times New Roman" w:cs="Times New Roman"/>
                <w:b w:val="0"/>
                <w:color w:val="auto"/>
                <w:sz w:val="24"/>
                <w:szCs w:val="24"/>
              </w:rPr>
              <w:t>年，公司将</w:t>
            </w:r>
            <w:r w:rsidR="00BC7BE0">
              <w:rPr>
                <w:rFonts w:ascii="Times New Roman" w:hAnsi="Times New Roman" w:cs="Times New Roman" w:hint="eastAsia"/>
                <w:b w:val="0"/>
                <w:color w:val="auto"/>
                <w:sz w:val="24"/>
                <w:szCs w:val="24"/>
              </w:rPr>
              <w:t>继续</w:t>
            </w:r>
            <w:r>
              <w:rPr>
                <w:rFonts w:ascii="Times New Roman" w:hAnsi="Times New Roman" w:cs="Times New Roman"/>
                <w:b w:val="0"/>
                <w:color w:val="auto"/>
                <w:sz w:val="24"/>
                <w:szCs w:val="24"/>
              </w:rPr>
              <w:t>推进</w:t>
            </w:r>
            <w:r w:rsidR="00BC7BE0">
              <w:rPr>
                <w:rFonts w:ascii="Times New Roman" w:hAnsi="Times New Roman" w:cs="Times New Roman" w:hint="eastAsia"/>
                <w:b w:val="0"/>
                <w:color w:val="auto"/>
                <w:sz w:val="24"/>
                <w:szCs w:val="24"/>
              </w:rPr>
              <w:t>装置</w:t>
            </w:r>
            <w:r>
              <w:rPr>
                <w:rFonts w:ascii="Times New Roman" w:hAnsi="Times New Roman" w:cs="Times New Roman"/>
                <w:b w:val="0"/>
                <w:color w:val="auto"/>
                <w:sz w:val="24"/>
                <w:szCs w:val="24"/>
              </w:rPr>
              <w:t>优化改造和新产品开发，努力实现</w:t>
            </w:r>
            <w:r>
              <w:rPr>
                <w:rFonts w:ascii="Times New Roman" w:hAnsi="Times New Roman" w:cs="Times New Roman"/>
                <w:b w:val="0"/>
                <w:color w:val="auto"/>
                <w:sz w:val="24"/>
                <w:szCs w:val="24"/>
              </w:rPr>
              <w:t>“</w:t>
            </w:r>
            <w:r>
              <w:rPr>
                <w:rFonts w:ascii="Times New Roman" w:hAnsi="Times New Roman" w:cs="Times New Roman"/>
                <w:b w:val="0"/>
                <w:color w:val="auto"/>
                <w:sz w:val="24"/>
                <w:szCs w:val="24"/>
              </w:rPr>
              <w:t>安稳长满优</w:t>
            </w:r>
            <w:r>
              <w:rPr>
                <w:rFonts w:ascii="Times New Roman" w:hAnsi="Times New Roman" w:cs="Times New Roman"/>
                <w:b w:val="0"/>
                <w:color w:val="auto"/>
                <w:sz w:val="24"/>
                <w:szCs w:val="24"/>
              </w:rPr>
              <w:t>”</w:t>
            </w:r>
            <w:r>
              <w:rPr>
                <w:rFonts w:ascii="Times New Roman" w:hAnsi="Times New Roman" w:cs="Times New Roman"/>
                <w:b w:val="0"/>
                <w:color w:val="auto"/>
                <w:sz w:val="24"/>
                <w:szCs w:val="24"/>
              </w:rPr>
              <w:t>运行</w:t>
            </w:r>
            <w:r>
              <w:rPr>
                <w:rFonts w:ascii="Times New Roman" w:hAnsi="Times New Roman" w:cs="Times New Roman" w:hint="eastAsia"/>
                <w:b w:val="0"/>
                <w:color w:val="auto"/>
                <w:sz w:val="24"/>
                <w:szCs w:val="24"/>
              </w:rPr>
              <w:t>。</w:t>
            </w:r>
            <w:r>
              <w:rPr>
                <w:rFonts w:ascii="Times New Roman" w:hAnsi="Times New Roman" w:cs="Times New Roman" w:hint="eastAsia"/>
                <w:b w:val="0"/>
                <w:color w:val="auto"/>
                <w:sz w:val="24"/>
                <w:szCs w:val="24"/>
              </w:rPr>
              <w:t>2</w:t>
            </w:r>
            <w:r>
              <w:rPr>
                <w:rFonts w:ascii="Times New Roman" w:hAnsi="Times New Roman" w:cs="Times New Roman" w:hint="eastAsia"/>
                <w:b w:val="0"/>
                <w:color w:val="auto"/>
                <w:sz w:val="24"/>
                <w:szCs w:val="24"/>
              </w:rPr>
              <w:t>、公司</w:t>
            </w:r>
            <w:r>
              <w:rPr>
                <w:rFonts w:ascii="Times New Roman" w:hAnsi="Times New Roman" w:cs="Times New Roman" w:hint="eastAsia"/>
                <w:b w:val="0"/>
                <w:sz w:val="24"/>
                <w:szCs w:val="24"/>
              </w:rPr>
              <w:t>凭借国家高分子新材料产业创新中心、国家重点实验室、国家工程实验室、国家认定企业技术中心等国家级技术研发平台，</w:t>
            </w:r>
            <w:r w:rsidR="001723B7">
              <w:rPr>
                <w:rFonts w:ascii="Times New Roman" w:hAnsi="Times New Roman" w:cs="Times New Roman" w:hint="eastAsia"/>
                <w:b w:val="0"/>
                <w:sz w:val="24"/>
                <w:szCs w:val="24"/>
              </w:rPr>
              <w:t>不断推进新</w:t>
            </w:r>
            <w:r>
              <w:rPr>
                <w:rFonts w:ascii="Times New Roman" w:hAnsi="Times New Roman" w:cs="Times New Roman" w:hint="eastAsia"/>
                <w:b w:val="0"/>
                <w:sz w:val="24"/>
                <w:szCs w:val="24"/>
              </w:rPr>
              <w:t>材料产业化，</w:t>
            </w:r>
            <w:r w:rsidR="00BC7BE0" w:rsidRPr="00BC7BE0">
              <w:rPr>
                <w:rFonts w:ascii="Times New Roman" w:hAnsi="Times New Roman" w:cs="Times New Roman" w:hint="eastAsia"/>
                <w:b w:val="0"/>
                <w:sz w:val="24"/>
                <w:szCs w:val="24"/>
              </w:rPr>
              <w:t>在保持自由现金流健康的前提下，</w:t>
            </w:r>
            <w:r>
              <w:rPr>
                <w:rFonts w:ascii="Times New Roman" w:hAnsi="Times New Roman" w:cs="Times New Roman" w:hint="eastAsia"/>
                <w:b w:val="0"/>
                <w:sz w:val="24"/>
                <w:szCs w:val="24"/>
              </w:rPr>
              <w:t>会适时考虑投资或并购</w:t>
            </w:r>
            <w:r w:rsidR="00BC7BE0" w:rsidRPr="00BC7BE0">
              <w:rPr>
                <w:rFonts w:ascii="Times New Roman" w:hAnsi="Times New Roman" w:cs="Times New Roman" w:hint="eastAsia"/>
                <w:b w:val="0"/>
                <w:sz w:val="24"/>
                <w:szCs w:val="24"/>
              </w:rPr>
              <w:t>具备核心技术突破的新材料标的</w:t>
            </w:r>
            <w:r>
              <w:rPr>
                <w:rFonts w:ascii="Times New Roman" w:hAnsi="Times New Roman" w:cs="Times New Roman" w:hint="eastAsia"/>
                <w:b w:val="0"/>
                <w:sz w:val="24"/>
                <w:szCs w:val="24"/>
              </w:rPr>
              <w:t>，以增强公司在产业链上的优势。</w:t>
            </w:r>
          </w:p>
          <w:p w14:paraId="4ADC35DD" w14:textId="77777777" w:rsidR="00356A77" w:rsidRDefault="00356A77">
            <w:pPr>
              <w:pStyle w:val="TableParagraph"/>
              <w:ind w:firstLineChars="0" w:firstLine="0"/>
              <w:rPr>
                <w:rFonts w:ascii="Times New Roman" w:hAnsi="Times New Roman" w:cs="Times New Roman"/>
                <w:sz w:val="24"/>
                <w:szCs w:val="24"/>
              </w:rPr>
            </w:pPr>
          </w:p>
          <w:p w14:paraId="7D0B2D6F" w14:textId="77777777" w:rsidR="00356A77" w:rsidRDefault="005F3508">
            <w:pPr>
              <w:pStyle w:val="TableParagraph"/>
              <w:ind w:firstLine="482"/>
              <w:rPr>
                <w:rFonts w:ascii="Times New Roman" w:eastAsiaTheme="minorEastAsia" w:hAnsi="Times New Roman" w:cs="Times New Roman"/>
                <w:sz w:val="24"/>
                <w:szCs w:val="24"/>
              </w:rPr>
            </w:pPr>
            <w:r>
              <w:rPr>
                <w:rFonts w:ascii="Times New Roman" w:hAnsi="Times New Roman" w:cs="Times New Roman"/>
                <w:sz w:val="24"/>
                <w:szCs w:val="24"/>
              </w:rPr>
              <w:t>问题</w:t>
            </w:r>
            <w:r>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hint="eastAsia"/>
                <w:sz w:val="24"/>
                <w:szCs w:val="24"/>
              </w:rPr>
              <w:t>公司未来的分红回报计划是怎样的</w:t>
            </w:r>
            <w:r>
              <w:rPr>
                <w:rFonts w:ascii="Times New Roman" w:hAnsi="Times New Roman" w:cs="Times New Roman"/>
                <w:sz w:val="24"/>
                <w:szCs w:val="24"/>
              </w:rPr>
              <w:t>？</w:t>
            </w:r>
            <w:r>
              <w:rPr>
                <w:rFonts w:ascii="Times New Roman" w:hAnsi="Times New Roman" w:cs="Times New Roman" w:hint="eastAsia"/>
                <w:sz w:val="24"/>
                <w:szCs w:val="24"/>
              </w:rPr>
              <w:t>是否会提高分红的比例？</w:t>
            </w:r>
          </w:p>
          <w:p w14:paraId="30DAE679" w14:textId="2D9B210F" w:rsidR="00356A77" w:rsidRDefault="005F3508">
            <w:pPr>
              <w:pStyle w:val="TableParagraph"/>
              <w:ind w:firstLine="480"/>
              <w:rPr>
                <w:rFonts w:ascii="Times New Roman" w:hAnsi="Times New Roman" w:cs="Times New Roman"/>
                <w:b w:val="0"/>
                <w:color w:val="FF0000"/>
                <w:sz w:val="24"/>
                <w:szCs w:val="24"/>
              </w:rPr>
            </w:pPr>
            <w:r>
              <w:rPr>
                <w:rFonts w:ascii="Times New Roman" w:eastAsiaTheme="minorEastAsia" w:hAnsi="Times New Roman" w:cs="Times New Roman"/>
                <w:b w:val="0"/>
                <w:sz w:val="24"/>
                <w:szCs w:val="24"/>
              </w:rPr>
              <w:t>答：</w:t>
            </w:r>
            <w:r>
              <w:rPr>
                <w:rFonts w:ascii="Times New Roman" w:eastAsiaTheme="minorEastAsia" w:hAnsi="Times New Roman" w:cs="Times New Roman" w:hint="eastAsia"/>
                <w:b w:val="0"/>
                <w:sz w:val="24"/>
                <w:szCs w:val="24"/>
              </w:rPr>
              <w:t>公司于</w:t>
            </w:r>
            <w:r>
              <w:rPr>
                <w:rFonts w:ascii="Times New Roman" w:eastAsiaTheme="minorEastAsia" w:hAnsi="Times New Roman" w:cs="Times New Roman" w:hint="eastAsia"/>
                <w:b w:val="0"/>
                <w:sz w:val="24"/>
                <w:szCs w:val="24"/>
              </w:rPr>
              <w:t>2</w:t>
            </w:r>
            <w:r>
              <w:rPr>
                <w:rFonts w:ascii="Times New Roman" w:eastAsiaTheme="minorEastAsia" w:hAnsi="Times New Roman" w:cs="Times New Roman"/>
                <w:b w:val="0"/>
                <w:sz w:val="24"/>
                <w:szCs w:val="24"/>
              </w:rPr>
              <w:t>024</w:t>
            </w:r>
            <w:r>
              <w:rPr>
                <w:rFonts w:ascii="Times New Roman" w:eastAsiaTheme="minorEastAsia" w:hAnsi="Times New Roman" w:cs="Times New Roman" w:hint="eastAsia"/>
                <w:b w:val="0"/>
                <w:sz w:val="24"/>
                <w:szCs w:val="24"/>
              </w:rPr>
              <w:t>年</w:t>
            </w:r>
            <w:r>
              <w:rPr>
                <w:rFonts w:ascii="Times New Roman" w:eastAsiaTheme="minorEastAsia" w:hAnsi="Times New Roman" w:cs="Times New Roman" w:hint="eastAsia"/>
                <w:b w:val="0"/>
                <w:sz w:val="24"/>
                <w:szCs w:val="24"/>
              </w:rPr>
              <w:t>4</w:t>
            </w:r>
            <w:r>
              <w:rPr>
                <w:rFonts w:ascii="Times New Roman" w:eastAsiaTheme="minorEastAsia" w:hAnsi="Times New Roman" w:cs="Times New Roman" w:hint="eastAsia"/>
                <w:b w:val="0"/>
                <w:sz w:val="24"/>
                <w:szCs w:val="24"/>
              </w:rPr>
              <w:t>月发布了《金发科技股份有限公司股东分红回报规划（</w:t>
            </w:r>
            <w:r>
              <w:rPr>
                <w:rFonts w:ascii="Times New Roman" w:eastAsiaTheme="minorEastAsia" w:hAnsi="Times New Roman" w:cs="Times New Roman"/>
                <w:b w:val="0"/>
                <w:sz w:val="24"/>
                <w:szCs w:val="24"/>
              </w:rPr>
              <w:t>2024-2026</w:t>
            </w:r>
            <w:r>
              <w:rPr>
                <w:rFonts w:ascii="Times New Roman" w:eastAsiaTheme="minorEastAsia" w:hAnsi="Times New Roman" w:cs="Times New Roman"/>
                <w:b w:val="0"/>
                <w:sz w:val="24"/>
                <w:szCs w:val="24"/>
              </w:rPr>
              <w:t>年）</w:t>
            </w:r>
            <w:r>
              <w:rPr>
                <w:rFonts w:ascii="Times New Roman" w:eastAsiaTheme="minorEastAsia" w:hAnsi="Times New Roman" w:cs="Times New Roman" w:hint="eastAsia"/>
                <w:b w:val="0"/>
                <w:sz w:val="24"/>
                <w:szCs w:val="24"/>
              </w:rPr>
              <w:t>》，规划中指出在满足现金分红条件的前提下，每年向股东现金分配股利（含实施股票回购所支付的现金）不低于当年实现的可供分配利润的</w:t>
            </w:r>
            <w:r>
              <w:rPr>
                <w:rFonts w:ascii="Times New Roman" w:eastAsiaTheme="minorEastAsia" w:hAnsi="Times New Roman" w:cs="Times New Roman"/>
                <w:b w:val="0"/>
                <w:sz w:val="24"/>
                <w:szCs w:val="24"/>
              </w:rPr>
              <w:t>30</w:t>
            </w:r>
            <w:r>
              <w:rPr>
                <w:rFonts w:ascii="Times New Roman" w:eastAsiaTheme="minorEastAsia" w:hAnsi="Times New Roman" w:cs="Times New Roman"/>
                <w:b w:val="0"/>
                <w:color w:val="auto"/>
                <w:sz w:val="24"/>
                <w:szCs w:val="24"/>
              </w:rPr>
              <w:t>%</w:t>
            </w:r>
            <w:r w:rsidR="00D421C0">
              <w:rPr>
                <w:rFonts w:ascii="Times New Roman" w:eastAsiaTheme="minorEastAsia" w:hAnsi="Times New Roman" w:cs="Times New Roman"/>
                <w:b w:val="0"/>
                <w:color w:val="auto"/>
                <w:sz w:val="24"/>
                <w:szCs w:val="24"/>
              </w:rPr>
              <w:t>。对于未来具体的分红政策，</w:t>
            </w:r>
            <w:r w:rsidR="00D421C0">
              <w:rPr>
                <w:rFonts w:ascii="Times New Roman" w:eastAsiaTheme="minorEastAsia" w:hAnsi="Times New Roman" w:cs="Times New Roman" w:hint="eastAsia"/>
                <w:b w:val="0"/>
                <w:color w:val="auto"/>
                <w:sz w:val="24"/>
                <w:szCs w:val="24"/>
              </w:rPr>
              <w:t>将</w:t>
            </w:r>
            <w:r>
              <w:rPr>
                <w:rFonts w:ascii="Times New Roman" w:eastAsiaTheme="minorEastAsia" w:hAnsi="Times New Roman" w:cs="Times New Roman"/>
                <w:b w:val="0"/>
                <w:color w:val="auto"/>
                <w:sz w:val="24"/>
                <w:szCs w:val="24"/>
              </w:rPr>
              <w:t>会综合考虑公司的盈利状况、现金流状况、经营发展阶段、股东意愿和要求、法律法规要求、市场状况等因素来制定</w:t>
            </w:r>
            <w:r>
              <w:rPr>
                <w:rFonts w:ascii="Times New Roman" w:hAnsi="Times New Roman" w:cs="Times New Roman" w:hint="eastAsia"/>
                <w:b w:val="0"/>
                <w:color w:val="auto"/>
                <w:sz w:val="24"/>
                <w:szCs w:val="24"/>
              </w:rPr>
              <w:t>。</w:t>
            </w:r>
          </w:p>
          <w:p w14:paraId="5CB8806E" w14:textId="77777777" w:rsidR="00356A77" w:rsidRDefault="00356A77">
            <w:pPr>
              <w:pStyle w:val="TableParagraph"/>
              <w:ind w:firstLine="482"/>
              <w:rPr>
                <w:rFonts w:ascii="Times New Roman" w:hAnsi="Times New Roman" w:cs="Times New Roman"/>
                <w:sz w:val="24"/>
                <w:szCs w:val="24"/>
              </w:rPr>
            </w:pPr>
          </w:p>
          <w:p w14:paraId="2D23F2B9" w14:textId="69E7BAE1" w:rsidR="00356A77" w:rsidRDefault="005F3508">
            <w:pPr>
              <w:pStyle w:val="TableParagraph"/>
              <w:ind w:firstLine="482"/>
              <w:rPr>
                <w:rFonts w:ascii="Times New Roman" w:hAnsi="Times New Roman" w:cs="Times New Roman"/>
                <w:sz w:val="24"/>
                <w:szCs w:val="24"/>
              </w:rPr>
            </w:pPr>
            <w:r>
              <w:rPr>
                <w:rFonts w:ascii="Times New Roman" w:hAnsi="Times New Roman" w:cs="Times New Roman"/>
                <w:sz w:val="24"/>
                <w:szCs w:val="24"/>
              </w:rPr>
              <w:t>问题</w:t>
            </w:r>
            <w:r>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hint="eastAsia"/>
                <w:sz w:val="24"/>
                <w:szCs w:val="24"/>
              </w:rPr>
              <w:t>公司改性塑料</w:t>
            </w:r>
            <w:r w:rsidR="00347147">
              <w:rPr>
                <w:rFonts w:ascii="Times New Roman" w:hAnsi="Times New Roman" w:cs="Times New Roman" w:hint="eastAsia"/>
                <w:sz w:val="24"/>
                <w:szCs w:val="24"/>
              </w:rPr>
              <w:t>业务</w:t>
            </w:r>
            <w:r w:rsidR="00347147">
              <w:rPr>
                <w:rFonts w:ascii="Times New Roman" w:hAnsi="Times New Roman" w:cs="Times New Roman" w:hint="eastAsia"/>
                <w:sz w:val="24"/>
                <w:szCs w:val="24"/>
              </w:rPr>
              <w:t>未来</w:t>
            </w:r>
            <w:r>
              <w:rPr>
                <w:rFonts w:ascii="Times New Roman" w:hAnsi="Times New Roman" w:cs="Times New Roman" w:hint="eastAsia"/>
                <w:sz w:val="24"/>
                <w:szCs w:val="24"/>
              </w:rPr>
              <w:t>的成长体量以及市场占有率将会如何？</w:t>
            </w:r>
          </w:p>
          <w:p w14:paraId="621A9E61" w14:textId="3BE82CC7" w:rsidR="00356A77" w:rsidRDefault="005F3508">
            <w:pPr>
              <w:pStyle w:val="TableParagraph"/>
              <w:ind w:firstLine="480"/>
              <w:rPr>
                <w:rFonts w:ascii="Times New Roman" w:hAnsi="Times New Roman" w:cs="Times New Roman"/>
                <w:b w:val="0"/>
                <w:sz w:val="24"/>
                <w:szCs w:val="24"/>
              </w:rPr>
            </w:pPr>
            <w:r>
              <w:rPr>
                <w:rFonts w:ascii="Times New Roman" w:hAnsi="Times New Roman" w:cs="Times New Roman"/>
                <w:b w:val="0"/>
                <w:color w:val="auto"/>
                <w:sz w:val="24"/>
                <w:szCs w:val="24"/>
              </w:rPr>
              <w:t>答：</w:t>
            </w:r>
            <w:r>
              <w:rPr>
                <w:rFonts w:ascii="Times New Roman" w:hAnsi="Times New Roman" w:cs="Times New Roman" w:hint="eastAsia"/>
                <w:b w:val="0"/>
                <w:color w:val="auto"/>
                <w:sz w:val="24"/>
                <w:szCs w:val="24"/>
              </w:rPr>
              <w:t>近年来，公司充分发挥“应用创新能力”“规模效益”“整体解决方案”“全球化服务”等核心竞争优势，改性塑料销量稳步提升</w:t>
            </w:r>
            <w:r>
              <w:rPr>
                <w:rFonts w:ascii="Times New Roman" w:hAnsi="Times New Roman" w:cs="Times New Roman"/>
                <w:b w:val="0"/>
                <w:color w:val="auto"/>
                <w:sz w:val="24"/>
                <w:szCs w:val="24"/>
              </w:rPr>
              <w:t>。</w:t>
            </w:r>
            <w:r>
              <w:rPr>
                <w:rFonts w:ascii="Times New Roman" w:hAnsi="Times New Roman" w:cs="Times New Roman" w:hint="eastAsia"/>
                <w:b w:val="0"/>
                <w:color w:val="auto"/>
                <w:sz w:val="24"/>
                <w:szCs w:val="24"/>
              </w:rPr>
              <w:t>现阶段改性塑料行业市场集中度整体偏低，竞争格局仍较为分</w:t>
            </w:r>
            <w:r>
              <w:rPr>
                <w:rFonts w:ascii="Times New Roman" w:hAnsi="Times New Roman" w:cs="Times New Roman" w:hint="eastAsia"/>
                <w:b w:val="0"/>
                <w:sz w:val="24"/>
                <w:szCs w:val="24"/>
              </w:rPr>
              <w:t>散，公司改性塑料</w:t>
            </w:r>
            <w:r w:rsidR="00347147">
              <w:rPr>
                <w:rFonts w:ascii="Times New Roman" w:hAnsi="Times New Roman" w:cs="Times New Roman" w:hint="eastAsia"/>
                <w:b w:val="0"/>
                <w:sz w:val="24"/>
                <w:szCs w:val="24"/>
              </w:rPr>
              <w:t>业务</w:t>
            </w:r>
            <w:bookmarkStart w:id="0" w:name="_GoBack"/>
            <w:bookmarkEnd w:id="0"/>
            <w:r>
              <w:rPr>
                <w:rFonts w:ascii="Times New Roman" w:hAnsi="Times New Roman" w:cs="Times New Roman" w:hint="eastAsia"/>
                <w:b w:val="0"/>
                <w:sz w:val="24"/>
                <w:szCs w:val="24"/>
              </w:rPr>
              <w:t>未来的市场拓展空间依然广阔。随着公司新材料新技术的创新升级、全球化</w:t>
            </w:r>
            <w:r w:rsidR="00111026">
              <w:rPr>
                <w:rFonts w:ascii="Times New Roman" w:hAnsi="Times New Roman" w:cs="Times New Roman" w:hint="eastAsia"/>
                <w:b w:val="0"/>
                <w:sz w:val="24"/>
                <w:szCs w:val="24"/>
              </w:rPr>
              <w:t>产能</w:t>
            </w:r>
            <w:r>
              <w:rPr>
                <w:rFonts w:ascii="Times New Roman" w:hAnsi="Times New Roman" w:cs="Times New Roman" w:hint="eastAsia"/>
                <w:b w:val="0"/>
                <w:sz w:val="24"/>
                <w:szCs w:val="24"/>
              </w:rPr>
              <w:t>布局</w:t>
            </w:r>
            <w:r w:rsidR="00AF6A32">
              <w:rPr>
                <w:rFonts w:ascii="Times New Roman" w:hAnsi="Times New Roman" w:cs="Times New Roman" w:hint="eastAsia"/>
                <w:b w:val="0"/>
                <w:sz w:val="24"/>
                <w:szCs w:val="24"/>
              </w:rPr>
              <w:t>进一步深化</w:t>
            </w:r>
            <w:r>
              <w:rPr>
                <w:rFonts w:ascii="Times New Roman" w:hAnsi="Times New Roman" w:cs="Times New Roman" w:hint="eastAsia"/>
                <w:b w:val="0"/>
                <w:sz w:val="24"/>
                <w:szCs w:val="24"/>
              </w:rPr>
              <w:t>，公司改性塑料的体量以及海内外的</w:t>
            </w:r>
            <w:r>
              <w:rPr>
                <w:rFonts w:ascii="Times New Roman" w:hAnsi="Times New Roman" w:cs="Times New Roman" w:hint="eastAsia"/>
                <w:b w:val="0"/>
                <w:sz w:val="24"/>
                <w:szCs w:val="24"/>
                <w:lang w:val="en-US"/>
              </w:rPr>
              <w:t>市场占有</w:t>
            </w:r>
            <w:r>
              <w:rPr>
                <w:rFonts w:ascii="Times New Roman" w:hAnsi="Times New Roman" w:cs="Times New Roman" w:hint="eastAsia"/>
                <w:b w:val="0"/>
                <w:sz w:val="24"/>
                <w:szCs w:val="24"/>
              </w:rPr>
              <w:t>率有望进一步</w:t>
            </w:r>
            <w:r w:rsidR="00AF6A32">
              <w:rPr>
                <w:rFonts w:ascii="Times New Roman" w:hAnsi="Times New Roman" w:cs="Times New Roman" w:hint="eastAsia"/>
                <w:b w:val="0"/>
                <w:sz w:val="24"/>
                <w:szCs w:val="24"/>
              </w:rPr>
              <w:t>提升</w:t>
            </w:r>
            <w:r>
              <w:rPr>
                <w:rFonts w:ascii="Times New Roman" w:hAnsi="Times New Roman" w:cs="Times New Roman" w:hint="eastAsia"/>
                <w:b w:val="0"/>
                <w:sz w:val="24"/>
                <w:szCs w:val="24"/>
              </w:rPr>
              <w:t>。</w:t>
            </w:r>
          </w:p>
          <w:p w14:paraId="06EE6DA1" w14:textId="77777777" w:rsidR="00356A77" w:rsidRDefault="00356A77">
            <w:pPr>
              <w:pStyle w:val="TableParagraph"/>
              <w:ind w:firstLine="482"/>
              <w:rPr>
                <w:rFonts w:ascii="Times New Roman" w:hAnsi="Times New Roman" w:cs="Times New Roman"/>
                <w:sz w:val="24"/>
                <w:szCs w:val="24"/>
              </w:rPr>
            </w:pPr>
          </w:p>
          <w:p w14:paraId="03F07EE0" w14:textId="77777777" w:rsidR="00356A77" w:rsidRDefault="005F3508">
            <w:pPr>
              <w:pStyle w:val="TableParagraph"/>
              <w:ind w:firstLine="482"/>
              <w:rPr>
                <w:rFonts w:ascii="Times New Roman" w:hAnsi="Times New Roman" w:cs="Times New Roman"/>
                <w:color w:val="auto"/>
                <w:sz w:val="24"/>
                <w:szCs w:val="24"/>
              </w:rPr>
            </w:pPr>
            <w:r>
              <w:rPr>
                <w:rFonts w:ascii="Times New Roman" w:hAnsi="Times New Roman" w:cs="Times New Roman"/>
                <w:sz w:val="24"/>
                <w:szCs w:val="24"/>
              </w:rPr>
              <w:t>问题</w:t>
            </w:r>
            <w:r>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hint="eastAsia"/>
                <w:sz w:val="24"/>
                <w:szCs w:val="24"/>
              </w:rPr>
              <w:t>公司去年发布的股份回购方案，计划回购</w:t>
            </w:r>
            <w:r>
              <w:rPr>
                <w:rFonts w:ascii="Times New Roman" w:hAnsi="Times New Roman" w:cs="Times New Roman" w:hint="eastAsia"/>
                <w:sz w:val="24"/>
                <w:szCs w:val="24"/>
              </w:rPr>
              <w:t>3</w:t>
            </w:r>
            <w:r>
              <w:rPr>
                <w:rFonts w:ascii="Times New Roman" w:hAnsi="Times New Roman" w:cs="Times New Roman"/>
                <w:sz w:val="24"/>
                <w:szCs w:val="24"/>
              </w:rPr>
              <w:t>-5</w:t>
            </w:r>
            <w:r>
              <w:rPr>
                <w:rFonts w:ascii="Times New Roman" w:hAnsi="Times New Roman" w:cs="Times New Roman" w:hint="eastAsia"/>
                <w:sz w:val="24"/>
                <w:szCs w:val="24"/>
              </w:rPr>
              <w:t>亿元，目前</w:t>
            </w:r>
            <w:r>
              <w:rPr>
                <w:rFonts w:ascii="Times New Roman" w:hAnsi="Times New Roman" w:cs="Times New Roman" w:hint="eastAsia"/>
                <w:color w:val="auto"/>
                <w:sz w:val="24"/>
                <w:szCs w:val="24"/>
              </w:rPr>
              <w:t>回购金额未达到上限，是否会继续回购到上限？</w:t>
            </w:r>
          </w:p>
          <w:p w14:paraId="5B9D7B0F" w14:textId="77777777" w:rsidR="00356A77" w:rsidRDefault="005F3508">
            <w:pPr>
              <w:pStyle w:val="TableParagraph"/>
              <w:ind w:firstLine="480"/>
              <w:rPr>
                <w:rFonts w:ascii="Times New Roman" w:hAnsi="Times New Roman" w:cs="Times New Roman"/>
                <w:b w:val="0"/>
                <w:color w:val="auto"/>
                <w:sz w:val="24"/>
                <w:szCs w:val="24"/>
              </w:rPr>
            </w:pPr>
            <w:r>
              <w:rPr>
                <w:rFonts w:ascii="Times New Roman" w:hAnsi="Times New Roman" w:cs="Times New Roman"/>
                <w:b w:val="0"/>
                <w:color w:val="auto"/>
                <w:sz w:val="24"/>
                <w:szCs w:val="24"/>
              </w:rPr>
              <w:t>答：公司于</w:t>
            </w:r>
            <w:r>
              <w:rPr>
                <w:rFonts w:ascii="Times New Roman" w:hAnsi="Times New Roman" w:cs="Times New Roman"/>
                <w:b w:val="0"/>
                <w:color w:val="auto"/>
                <w:sz w:val="24"/>
                <w:szCs w:val="24"/>
              </w:rPr>
              <w:t>2024</w:t>
            </w:r>
            <w:r>
              <w:rPr>
                <w:rFonts w:ascii="Times New Roman" w:hAnsi="Times New Roman" w:cs="Times New Roman"/>
                <w:b w:val="0"/>
                <w:color w:val="auto"/>
                <w:sz w:val="24"/>
                <w:szCs w:val="24"/>
              </w:rPr>
              <w:t>年</w:t>
            </w:r>
            <w:r>
              <w:rPr>
                <w:rFonts w:ascii="Times New Roman" w:hAnsi="Times New Roman" w:cs="Times New Roman"/>
                <w:b w:val="0"/>
                <w:color w:val="auto"/>
                <w:sz w:val="24"/>
                <w:szCs w:val="24"/>
              </w:rPr>
              <w:t>7</w:t>
            </w:r>
            <w:r>
              <w:rPr>
                <w:rFonts w:ascii="Times New Roman" w:hAnsi="Times New Roman" w:cs="Times New Roman"/>
                <w:b w:val="0"/>
                <w:color w:val="auto"/>
                <w:sz w:val="24"/>
                <w:szCs w:val="24"/>
              </w:rPr>
              <w:t>月披露了预计回购金额</w:t>
            </w:r>
            <w:r>
              <w:rPr>
                <w:rFonts w:ascii="Times New Roman" w:hAnsi="Times New Roman" w:cs="Times New Roman"/>
                <w:b w:val="0"/>
                <w:color w:val="auto"/>
                <w:sz w:val="24"/>
                <w:szCs w:val="24"/>
              </w:rPr>
              <w:t>3~5</w:t>
            </w:r>
            <w:r>
              <w:rPr>
                <w:rFonts w:ascii="Times New Roman" w:hAnsi="Times New Roman" w:cs="Times New Roman"/>
                <w:b w:val="0"/>
                <w:color w:val="auto"/>
                <w:sz w:val="24"/>
                <w:szCs w:val="24"/>
              </w:rPr>
              <w:t>亿元的回购方案，</w:t>
            </w:r>
            <w:r>
              <w:rPr>
                <w:rFonts w:ascii="Times New Roman" w:hAnsi="Times New Roman" w:cs="Times New Roman" w:hint="eastAsia"/>
                <w:b w:val="0"/>
                <w:color w:val="auto"/>
                <w:sz w:val="24"/>
                <w:szCs w:val="24"/>
              </w:rPr>
              <w:t>回购价格上限为</w:t>
            </w:r>
            <w:r>
              <w:rPr>
                <w:rFonts w:ascii="Times New Roman" w:hAnsi="Times New Roman" w:cs="Times New Roman" w:hint="eastAsia"/>
                <w:b w:val="0"/>
                <w:color w:val="auto"/>
                <w:sz w:val="24"/>
                <w:szCs w:val="24"/>
              </w:rPr>
              <w:t>9</w:t>
            </w:r>
            <w:r>
              <w:rPr>
                <w:rFonts w:ascii="Times New Roman" w:hAnsi="Times New Roman" w:cs="Times New Roman"/>
                <w:b w:val="0"/>
                <w:color w:val="auto"/>
                <w:sz w:val="24"/>
                <w:szCs w:val="24"/>
              </w:rPr>
              <w:t>.58</w:t>
            </w:r>
            <w:r>
              <w:rPr>
                <w:rFonts w:ascii="Times New Roman" w:hAnsi="Times New Roman" w:cs="Times New Roman" w:hint="eastAsia"/>
                <w:b w:val="0"/>
                <w:color w:val="auto"/>
                <w:sz w:val="24"/>
                <w:szCs w:val="24"/>
              </w:rPr>
              <w:t>元</w:t>
            </w:r>
            <w:r>
              <w:rPr>
                <w:rFonts w:ascii="Times New Roman" w:hAnsi="Times New Roman" w:cs="Times New Roman" w:hint="eastAsia"/>
                <w:b w:val="0"/>
                <w:color w:val="auto"/>
                <w:sz w:val="24"/>
                <w:szCs w:val="24"/>
              </w:rPr>
              <w:t>/</w:t>
            </w:r>
            <w:r>
              <w:rPr>
                <w:rFonts w:ascii="Times New Roman" w:hAnsi="Times New Roman" w:cs="Times New Roman" w:hint="eastAsia"/>
                <w:b w:val="0"/>
                <w:color w:val="auto"/>
                <w:sz w:val="24"/>
                <w:szCs w:val="24"/>
              </w:rPr>
              <w:t>股，回购期限为</w:t>
            </w:r>
            <w:r>
              <w:rPr>
                <w:rFonts w:ascii="Times New Roman" w:hAnsi="Times New Roman" w:cs="Times New Roman" w:hint="eastAsia"/>
                <w:b w:val="0"/>
                <w:color w:val="auto"/>
                <w:sz w:val="24"/>
                <w:szCs w:val="24"/>
              </w:rPr>
              <w:t>2</w:t>
            </w:r>
            <w:r>
              <w:rPr>
                <w:rFonts w:ascii="Times New Roman" w:hAnsi="Times New Roman" w:cs="Times New Roman"/>
                <w:b w:val="0"/>
                <w:color w:val="auto"/>
                <w:sz w:val="24"/>
                <w:szCs w:val="24"/>
              </w:rPr>
              <w:t>024</w:t>
            </w:r>
            <w:r>
              <w:rPr>
                <w:rFonts w:ascii="Times New Roman" w:hAnsi="Times New Roman" w:cs="Times New Roman" w:hint="eastAsia"/>
                <w:b w:val="0"/>
                <w:color w:val="auto"/>
                <w:sz w:val="24"/>
                <w:szCs w:val="24"/>
              </w:rPr>
              <w:t>年</w:t>
            </w:r>
            <w:r>
              <w:rPr>
                <w:rFonts w:ascii="Times New Roman" w:hAnsi="Times New Roman" w:cs="Times New Roman" w:hint="eastAsia"/>
                <w:b w:val="0"/>
                <w:color w:val="auto"/>
                <w:sz w:val="24"/>
                <w:szCs w:val="24"/>
              </w:rPr>
              <w:t>7</w:t>
            </w:r>
            <w:r>
              <w:rPr>
                <w:rFonts w:ascii="Times New Roman" w:hAnsi="Times New Roman" w:cs="Times New Roman" w:hint="eastAsia"/>
                <w:b w:val="0"/>
                <w:color w:val="auto"/>
                <w:sz w:val="24"/>
                <w:szCs w:val="24"/>
              </w:rPr>
              <w:t>月至</w:t>
            </w:r>
            <w:r>
              <w:rPr>
                <w:rFonts w:ascii="Times New Roman" w:hAnsi="Times New Roman" w:cs="Times New Roman" w:hint="eastAsia"/>
                <w:b w:val="0"/>
                <w:color w:val="auto"/>
                <w:sz w:val="24"/>
                <w:szCs w:val="24"/>
              </w:rPr>
              <w:t>2</w:t>
            </w:r>
            <w:r>
              <w:rPr>
                <w:rFonts w:ascii="Times New Roman" w:hAnsi="Times New Roman" w:cs="Times New Roman"/>
                <w:b w:val="0"/>
                <w:color w:val="auto"/>
                <w:sz w:val="24"/>
                <w:szCs w:val="24"/>
              </w:rPr>
              <w:t>025</w:t>
            </w:r>
            <w:r>
              <w:rPr>
                <w:rFonts w:ascii="Times New Roman" w:hAnsi="Times New Roman" w:cs="Times New Roman" w:hint="eastAsia"/>
                <w:b w:val="0"/>
                <w:color w:val="auto"/>
                <w:sz w:val="24"/>
                <w:szCs w:val="24"/>
              </w:rPr>
              <w:t>年</w:t>
            </w:r>
            <w:r>
              <w:rPr>
                <w:rFonts w:ascii="Times New Roman" w:hAnsi="Times New Roman" w:cs="Times New Roman" w:hint="eastAsia"/>
                <w:b w:val="0"/>
                <w:color w:val="auto"/>
                <w:sz w:val="24"/>
                <w:szCs w:val="24"/>
              </w:rPr>
              <w:t>7</w:t>
            </w:r>
            <w:r>
              <w:rPr>
                <w:rFonts w:ascii="Times New Roman" w:hAnsi="Times New Roman" w:cs="Times New Roman" w:hint="eastAsia"/>
                <w:b w:val="0"/>
                <w:color w:val="auto"/>
                <w:sz w:val="24"/>
                <w:szCs w:val="24"/>
              </w:rPr>
              <w:t>月。</w:t>
            </w:r>
            <w:r>
              <w:rPr>
                <w:rFonts w:ascii="Times New Roman" w:hAnsi="Times New Roman" w:cs="Times New Roman"/>
                <w:b w:val="0"/>
                <w:color w:val="auto"/>
                <w:sz w:val="24"/>
                <w:szCs w:val="24"/>
              </w:rPr>
              <w:t>截至</w:t>
            </w:r>
            <w:r>
              <w:rPr>
                <w:rFonts w:ascii="Times New Roman" w:hAnsi="Times New Roman" w:cs="Times New Roman"/>
                <w:b w:val="0"/>
                <w:color w:val="auto"/>
                <w:sz w:val="24"/>
                <w:szCs w:val="24"/>
              </w:rPr>
              <w:t>2025</w:t>
            </w:r>
            <w:r>
              <w:rPr>
                <w:rFonts w:ascii="Times New Roman" w:hAnsi="Times New Roman" w:cs="Times New Roman"/>
                <w:b w:val="0"/>
                <w:color w:val="auto"/>
                <w:sz w:val="24"/>
                <w:szCs w:val="24"/>
              </w:rPr>
              <w:t>年</w:t>
            </w:r>
            <w:r>
              <w:rPr>
                <w:rFonts w:ascii="Times New Roman" w:hAnsi="Times New Roman" w:cs="Times New Roman"/>
                <w:b w:val="0"/>
                <w:color w:val="auto"/>
                <w:sz w:val="24"/>
                <w:szCs w:val="24"/>
              </w:rPr>
              <w:t>2</w:t>
            </w:r>
            <w:r>
              <w:rPr>
                <w:rFonts w:ascii="Times New Roman" w:hAnsi="Times New Roman" w:cs="Times New Roman"/>
                <w:b w:val="0"/>
                <w:color w:val="auto"/>
                <w:sz w:val="24"/>
                <w:szCs w:val="24"/>
              </w:rPr>
              <w:t>月</w:t>
            </w:r>
            <w:r>
              <w:rPr>
                <w:rFonts w:ascii="Times New Roman" w:hAnsi="Times New Roman" w:cs="Times New Roman"/>
                <w:b w:val="0"/>
                <w:color w:val="auto"/>
                <w:sz w:val="24"/>
                <w:szCs w:val="24"/>
              </w:rPr>
              <w:t>28</w:t>
            </w:r>
            <w:r>
              <w:rPr>
                <w:rFonts w:ascii="Times New Roman" w:hAnsi="Times New Roman" w:cs="Times New Roman"/>
                <w:b w:val="0"/>
                <w:color w:val="auto"/>
                <w:sz w:val="24"/>
                <w:szCs w:val="24"/>
              </w:rPr>
              <w:t>日，公司通过集中竞价交易方式已累计回购股份</w:t>
            </w:r>
            <w:r>
              <w:rPr>
                <w:rFonts w:ascii="Times New Roman" w:hAnsi="Times New Roman" w:cs="Times New Roman"/>
                <w:b w:val="0"/>
                <w:color w:val="auto"/>
                <w:sz w:val="24"/>
                <w:szCs w:val="24"/>
              </w:rPr>
              <w:t>53,247,953</w:t>
            </w:r>
            <w:r>
              <w:rPr>
                <w:rFonts w:ascii="Times New Roman" w:hAnsi="Times New Roman" w:cs="Times New Roman"/>
                <w:b w:val="0"/>
                <w:color w:val="auto"/>
                <w:sz w:val="24"/>
                <w:szCs w:val="24"/>
              </w:rPr>
              <w:t>股</w:t>
            </w:r>
            <w:r>
              <w:rPr>
                <w:rFonts w:ascii="Times New Roman" w:hAnsi="Times New Roman" w:cs="Times New Roman" w:hint="eastAsia"/>
                <w:b w:val="0"/>
                <w:color w:val="auto"/>
                <w:sz w:val="24"/>
                <w:szCs w:val="24"/>
              </w:rPr>
              <w:t>，已支付的总金额为</w:t>
            </w:r>
            <w:r>
              <w:rPr>
                <w:rFonts w:ascii="Times New Roman" w:hAnsi="Times New Roman" w:cs="Times New Roman" w:hint="eastAsia"/>
                <w:b w:val="0"/>
                <w:color w:val="auto"/>
                <w:sz w:val="24"/>
                <w:szCs w:val="24"/>
              </w:rPr>
              <w:t>3</w:t>
            </w:r>
            <w:r>
              <w:rPr>
                <w:rFonts w:ascii="Times New Roman" w:hAnsi="Times New Roman" w:cs="Times New Roman"/>
                <w:b w:val="0"/>
                <w:color w:val="auto"/>
                <w:sz w:val="24"/>
                <w:szCs w:val="24"/>
              </w:rPr>
              <w:t>.69</w:t>
            </w:r>
            <w:r>
              <w:rPr>
                <w:rFonts w:ascii="Times New Roman" w:hAnsi="Times New Roman" w:cs="Times New Roman" w:hint="eastAsia"/>
                <w:b w:val="0"/>
                <w:color w:val="auto"/>
                <w:sz w:val="24"/>
                <w:szCs w:val="24"/>
              </w:rPr>
              <w:t>亿元。</w:t>
            </w:r>
            <w:r>
              <w:rPr>
                <w:rFonts w:ascii="Times New Roman" w:hAnsi="Times New Roman" w:cs="Times New Roman"/>
                <w:b w:val="0"/>
                <w:color w:val="auto"/>
                <w:sz w:val="24"/>
                <w:szCs w:val="24"/>
              </w:rPr>
              <w:t>对于后续回购</w:t>
            </w:r>
            <w:r>
              <w:rPr>
                <w:rFonts w:ascii="Times New Roman" w:hAnsi="Times New Roman" w:cs="Times New Roman" w:hint="eastAsia"/>
                <w:b w:val="0"/>
                <w:color w:val="auto"/>
                <w:sz w:val="24"/>
                <w:szCs w:val="24"/>
              </w:rPr>
              <w:t>计划</w:t>
            </w:r>
            <w:r>
              <w:rPr>
                <w:rFonts w:ascii="Times New Roman" w:hAnsi="Times New Roman" w:cs="Times New Roman"/>
                <w:b w:val="0"/>
                <w:color w:val="auto"/>
                <w:sz w:val="24"/>
                <w:szCs w:val="24"/>
              </w:rPr>
              <w:t>，公司</w:t>
            </w:r>
            <w:r>
              <w:rPr>
                <w:rFonts w:ascii="Times New Roman" w:hAnsi="Times New Roman" w:cs="Times New Roman" w:hint="eastAsia"/>
                <w:b w:val="0"/>
                <w:color w:val="auto"/>
                <w:sz w:val="24"/>
                <w:szCs w:val="24"/>
              </w:rPr>
              <w:t>将</w:t>
            </w:r>
            <w:r>
              <w:rPr>
                <w:rFonts w:ascii="Times New Roman" w:hAnsi="Times New Roman" w:cs="Times New Roman"/>
                <w:b w:val="0"/>
                <w:color w:val="auto"/>
                <w:sz w:val="24"/>
                <w:szCs w:val="24"/>
              </w:rPr>
              <w:t>综合考虑企业发展状态和市场情况择机决策。</w:t>
            </w:r>
          </w:p>
          <w:p w14:paraId="4A3A9697" w14:textId="77777777" w:rsidR="00356A77" w:rsidRDefault="00356A77">
            <w:pPr>
              <w:pStyle w:val="TableParagraph"/>
              <w:ind w:firstLineChars="0" w:firstLine="0"/>
              <w:rPr>
                <w:rFonts w:ascii="Times New Roman" w:hAnsi="Times New Roman" w:cs="Times New Roman"/>
                <w:b w:val="0"/>
                <w:sz w:val="24"/>
                <w:szCs w:val="24"/>
              </w:rPr>
            </w:pPr>
          </w:p>
          <w:p w14:paraId="17B42623" w14:textId="77777777" w:rsidR="00356A77" w:rsidRDefault="005F3508">
            <w:pPr>
              <w:pStyle w:val="TableParagraph"/>
              <w:ind w:firstLine="482"/>
              <w:rPr>
                <w:rFonts w:ascii="Times New Roman" w:hAnsi="Times New Roman" w:cs="Times New Roman"/>
                <w:sz w:val="24"/>
                <w:szCs w:val="24"/>
              </w:rPr>
            </w:pPr>
            <w:r>
              <w:rPr>
                <w:rFonts w:ascii="Times New Roman" w:hAnsi="Times New Roman" w:cs="Times New Roman"/>
                <w:sz w:val="24"/>
                <w:szCs w:val="24"/>
              </w:rPr>
              <w:t>问题</w:t>
            </w:r>
            <w:r>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hint="eastAsia"/>
                <w:sz w:val="24"/>
                <w:szCs w:val="24"/>
              </w:rPr>
              <w:t>新一届董监高的持股数量偏低，为保障公司行稳致远，未来在股权激励设计上是否有更进一步的安排？研发团队的激励机制处在行业的什么水平？</w:t>
            </w:r>
          </w:p>
          <w:p w14:paraId="7527CA14" w14:textId="357B0A89" w:rsidR="00356A77" w:rsidRDefault="005F3508">
            <w:pPr>
              <w:pStyle w:val="TableParagraph"/>
              <w:ind w:firstLine="480"/>
              <w:rPr>
                <w:rFonts w:ascii="Times New Roman" w:hAnsi="Times New Roman" w:cs="Times New Roman"/>
                <w:b w:val="0"/>
                <w:sz w:val="24"/>
                <w:szCs w:val="24"/>
              </w:rPr>
            </w:pPr>
            <w:r>
              <w:rPr>
                <w:rFonts w:ascii="Times New Roman" w:hAnsi="Times New Roman" w:cs="Times New Roman"/>
                <w:b w:val="0"/>
                <w:sz w:val="24"/>
                <w:szCs w:val="24"/>
              </w:rPr>
              <w:t>答：</w:t>
            </w:r>
            <w:r>
              <w:rPr>
                <w:rFonts w:ascii="Times New Roman" w:hAnsi="Times New Roman" w:cs="Times New Roman" w:hint="eastAsia"/>
                <w:b w:val="0"/>
                <w:sz w:val="24"/>
                <w:szCs w:val="24"/>
                <w:lang w:val="en-US"/>
              </w:rPr>
              <w:t>1</w:t>
            </w:r>
            <w:r>
              <w:rPr>
                <w:rFonts w:ascii="Times New Roman" w:hAnsi="Times New Roman" w:cs="Times New Roman" w:hint="eastAsia"/>
                <w:b w:val="0"/>
                <w:sz w:val="24"/>
                <w:szCs w:val="24"/>
                <w:lang w:val="en-US"/>
              </w:rPr>
              <w:t>、</w:t>
            </w:r>
            <w:r>
              <w:rPr>
                <w:rFonts w:ascii="Times New Roman" w:hAnsi="Times New Roman" w:cs="Times New Roman" w:hint="eastAsia"/>
                <w:b w:val="0"/>
                <w:sz w:val="24"/>
                <w:szCs w:val="24"/>
              </w:rPr>
              <w:t>自新一届董监高团队履职以来，公司已于</w:t>
            </w:r>
            <w:r>
              <w:rPr>
                <w:rFonts w:ascii="Times New Roman" w:hAnsi="Times New Roman" w:cs="Times New Roman" w:hint="eastAsia"/>
                <w:b w:val="0"/>
                <w:sz w:val="24"/>
                <w:szCs w:val="24"/>
              </w:rPr>
              <w:t>2</w:t>
            </w:r>
            <w:r>
              <w:rPr>
                <w:rFonts w:ascii="Times New Roman" w:hAnsi="Times New Roman" w:cs="Times New Roman"/>
                <w:b w:val="0"/>
                <w:sz w:val="24"/>
                <w:szCs w:val="24"/>
              </w:rPr>
              <w:t>0</w:t>
            </w:r>
            <w:r>
              <w:rPr>
                <w:rFonts w:ascii="Times New Roman" w:hAnsi="Times New Roman" w:cs="Times New Roman" w:hint="eastAsia"/>
                <w:b w:val="0"/>
                <w:sz w:val="24"/>
                <w:szCs w:val="24"/>
              </w:rPr>
              <w:t>2</w:t>
            </w:r>
            <w:r>
              <w:rPr>
                <w:rFonts w:ascii="Times New Roman" w:hAnsi="Times New Roman" w:cs="Times New Roman"/>
                <w:b w:val="0"/>
                <w:sz w:val="24"/>
                <w:szCs w:val="24"/>
              </w:rPr>
              <w:t>4</w:t>
            </w:r>
            <w:r>
              <w:rPr>
                <w:rFonts w:ascii="Times New Roman" w:hAnsi="Times New Roman" w:cs="Times New Roman" w:hint="eastAsia"/>
                <w:b w:val="0"/>
                <w:sz w:val="24"/>
                <w:szCs w:val="24"/>
              </w:rPr>
              <w:t>年</w:t>
            </w:r>
            <w:r>
              <w:rPr>
                <w:rFonts w:ascii="Times New Roman" w:hAnsi="Times New Roman" w:cs="Times New Roman" w:hint="eastAsia"/>
                <w:b w:val="0"/>
                <w:sz w:val="24"/>
                <w:szCs w:val="24"/>
              </w:rPr>
              <w:t>7</w:t>
            </w:r>
            <w:r>
              <w:rPr>
                <w:rFonts w:ascii="Times New Roman" w:hAnsi="Times New Roman" w:cs="Times New Roman" w:hint="eastAsia"/>
                <w:b w:val="0"/>
                <w:sz w:val="24"/>
                <w:szCs w:val="24"/>
              </w:rPr>
              <w:t>月实施了董监高增持计划，并于同年</w:t>
            </w:r>
            <w:r>
              <w:rPr>
                <w:rFonts w:ascii="Times New Roman" w:hAnsi="Times New Roman" w:cs="Times New Roman" w:hint="eastAsia"/>
                <w:b w:val="0"/>
                <w:sz w:val="24"/>
                <w:szCs w:val="24"/>
              </w:rPr>
              <w:t>1</w:t>
            </w:r>
            <w:r>
              <w:rPr>
                <w:rFonts w:ascii="Times New Roman" w:hAnsi="Times New Roman" w:cs="Times New Roman"/>
                <w:b w:val="0"/>
                <w:sz w:val="24"/>
                <w:szCs w:val="24"/>
              </w:rPr>
              <w:t>0</w:t>
            </w:r>
            <w:r>
              <w:rPr>
                <w:rFonts w:ascii="Times New Roman" w:hAnsi="Times New Roman" w:cs="Times New Roman" w:hint="eastAsia"/>
                <w:b w:val="0"/>
                <w:sz w:val="24"/>
                <w:szCs w:val="24"/>
              </w:rPr>
              <w:t>月完成增持。此外，</w:t>
            </w:r>
            <w:r>
              <w:rPr>
                <w:rFonts w:ascii="Times New Roman" w:hAnsi="Times New Roman" w:cs="Times New Roman" w:hint="eastAsia"/>
                <w:b w:val="0"/>
                <w:sz w:val="24"/>
                <w:szCs w:val="24"/>
              </w:rPr>
              <w:t>2</w:t>
            </w:r>
            <w:r>
              <w:rPr>
                <w:rFonts w:ascii="Times New Roman" w:hAnsi="Times New Roman" w:cs="Times New Roman"/>
                <w:b w:val="0"/>
                <w:sz w:val="24"/>
                <w:szCs w:val="24"/>
              </w:rPr>
              <w:t>024</w:t>
            </w:r>
            <w:r>
              <w:rPr>
                <w:rFonts w:ascii="Times New Roman" w:hAnsi="Times New Roman" w:cs="Times New Roman" w:hint="eastAsia"/>
                <w:b w:val="0"/>
                <w:sz w:val="24"/>
                <w:szCs w:val="24"/>
              </w:rPr>
              <w:t>年</w:t>
            </w:r>
            <w:r>
              <w:rPr>
                <w:rFonts w:ascii="Times New Roman" w:hAnsi="Times New Roman" w:cs="Times New Roman" w:hint="eastAsia"/>
                <w:b w:val="0"/>
                <w:sz w:val="24"/>
                <w:szCs w:val="24"/>
              </w:rPr>
              <w:t>1</w:t>
            </w:r>
            <w:r>
              <w:rPr>
                <w:rFonts w:ascii="Times New Roman" w:hAnsi="Times New Roman" w:cs="Times New Roman"/>
                <w:b w:val="0"/>
                <w:sz w:val="24"/>
                <w:szCs w:val="24"/>
              </w:rPr>
              <w:t>1</w:t>
            </w:r>
            <w:r>
              <w:rPr>
                <w:rFonts w:ascii="Times New Roman" w:hAnsi="Times New Roman" w:cs="Times New Roman" w:hint="eastAsia"/>
                <w:b w:val="0"/>
                <w:sz w:val="24"/>
                <w:szCs w:val="24"/>
              </w:rPr>
              <w:t>月</w:t>
            </w:r>
            <w:r w:rsidR="00753A8C">
              <w:rPr>
                <w:rFonts w:ascii="Times New Roman" w:hAnsi="Times New Roman" w:cs="Times New Roman" w:hint="eastAsia"/>
                <w:b w:val="0"/>
                <w:sz w:val="24"/>
                <w:szCs w:val="24"/>
              </w:rPr>
              <w:t>公司</w:t>
            </w:r>
            <w:r>
              <w:rPr>
                <w:rFonts w:ascii="Times New Roman" w:hAnsi="Times New Roman" w:cs="Times New Roman" w:hint="eastAsia"/>
                <w:b w:val="0"/>
                <w:sz w:val="24"/>
                <w:szCs w:val="24"/>
              </w:rPr>
              <w:t>子公司珠海万通特种工程塑料有限公司股权激励对象也包含了董监高在内的一批核心员工。未来，公司将根据整体发展情况，适时实施新的激励计划，逐步实现核心人员的激励额度与其价值贡献相匹配。</w:t>
            </w:r>
            <w:r>
              <w:rPr>
                <w:rFonts w:ascii="Times New Roman" w:hAnsi="Times New Roman" w:cs="Times New Roman" w:hint="eastAsia"/>
                <w:b w:val="0"/>
                <w:sz w:val="24"/>
                <w:szCs w:val="24"/>
              </w:rPr>
              <w:t>2</w:t>
            </w:r>
            <w:r>
              <w:rPr>
                <w:rFonts w:ascii="Times New Roman" w:hAnsi="Times New Roman" w:cs="Times New Roman" w:hint="eastAsia"/>
                <w:b w:val="0"/>
                <w:sz w:val="24"/>
                <w:szCs w:val="24"/>
              </w:rPr>
              <w:t>、金发科技以技术创新为核心驱动力，高度重视研发创新和技术资源投入，对技术研发团队实施</w:t>
            </w:r>
            <w:r w:rsidR="00326C23">
              <w:rPr>
                <w:rFonts w:ascii="Times New Roman" w:hAnsi="Times New Roman" w:cs="Times New Roman" w:hint="eastAsia"/>
                <w:b w:val="0"/>
                <w:sz w:val="24"/>
                <w:szCs w:val="24"/>
              </w:rPr>
              <w:t>了具有行业竞争力的</w:t>
            </w:r>
            <w:r>
              <w:rPr>
                <w:rFonts w:ascii="Times New Roman" w:hAnsi="Times New Roman" w:cs="Times New Roman" w:hint="eastAsia"/>
                <w:b w:val="0"/>
                <w:sz w:val="24"/>
                <w:szCs w:val="24"/>
              </w:rPr>
              <w:t>激励机制，</w:t>
            </w:r>
            <w:r w:rsidR="00326C23" w:rsidRPr="00326C23">
              <w:rPr>
                <w:rFonts w:ascii="Times New Roman" w:hAnsi="Times New Roman" w:cs="Times New Roman" w:hint="eastAsia"/>
                <w:b w:val="0"/>
                <w:sz w:val="24"/>
                <w:szCs w:val="24"/>
              </w:rPr>
              <w:t>充分激发研发人员的创新潜能</w:t>
            </w:r>
            <w:r>
              <w:rPr>
                <w:rFonts w:ascii="Times New Roman" w:hAnsi="Times New Roman" w:cs="Times New Roman" w:hint="eastAsia"/>
                <w:b w:val="0"/>
                <w:sz w:val="24"/>
                <w:szCs w:val="24"/>
              </w:rPr>
              <w:t>。</w:t>
            </w:r>
          </w:p>
          <w:p w14:paraId="4EBF0A14" w14:textId="77777777" w:rsidR="00356A77" w:rsidRDefault="00356A77">
            <w:pPr>
              <w:pStyle w:val="TableParagraph"/>
              <w:ind w:firstLineChars="0" w:firstLine="0"/>
              <w:rPr>
                <w:rFonts w:ascii="Times New Roman" w:hAnsi="Times New Roman" w:cs="Times New Roman"/>
                <w:sz w:val="24"/>
                <w:szCs w:val="24"/>
              </w:rPr>
            </w:pPr>
          </w:p>
        </w:tc>
      </w:tr>
      <w:tr w:rsidR="00356A77" w14:paraId="44B688F4" w14:textId="77777777">
        <w:trPr>
          <w:trHeight w:val="558"/>
          <w:jc w:val="center"/>
        </w:trPr>
        <w:tc>
          <w:tcPr>
            <w:tcW w:w="1413" w:type="dxa"/>
            <w:vAlign w:val="center"/>
          </w:tcPr>
          <w:p w14:paraId="20F32F41" w14:textId="77777777" w:rsidR="00356A77" w:rsidRDefault="005F3508">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lastRenderedPageBreak/>
              <w:t>附件清单</w:t>
            </w:r>
          </w:p>
        </w:tc>
        <w:tc>
          <w:tcPr>
            <w:tcW w:w="7112" w:type="dxa"/>
            <w:vAlign w:val="center"/>
          </w:tcPr>
          <w:p w14:paraId="15799D44" w14:textId="77777777" w:rsidR="00356A77" w:rsidRDefault="005F3508">
            <w:pPr>
              <w:pStyle w:val="TableParagraph"/>
              <w:spacing w:line="240" w:lineRule="auto"/>
              <w:ind w:firstLineChars="0" w:firstLine="0"/>
              <w:rPr>
                <w:rFonts w:ascii="Times New Roman" w:hAnsi="Times New Roman" w:cs="Times New Roman"/>
                <w:b w:val="0"/>
                <w:sz w:val="24"/>
                <w:szCs w:val="24"/>
              </w:rPr>
            </w:pPr>
            <w:r>
              <w:rPr>
                <w:rFonts w:ascii="Times New Roman" w:hAnsi="Times New Roman" w:cs="Times New Roman"/>
                <w:b w:val="0"/>
                <w:sz w:val="24"/>
                <w:szCs w:val="24"/>
              </w:rPr>
              <w:t>参与交流的机构及人员（排名不分先后）</w:t>
            </w:r>
          </w:p>
          <w:tbl>
            <w:tblPr>
              <w:tblW w:w="6980" w:type="dxa"/>
              <w:tblLook w:val="04A0" w:firstRow="1" w:lastRow="0" w:firstColumn="1" w:lastColumn="0" w:noHBand="0" w:noVBand="1"/>
            </w:tblPr>
            <w:tblGrid>
              <w:gridCol w:w="783"/>
              <w:gridCol w:w="1537"/>
              <w:gridCol w:w="1040"/>
              <w:gridCol w:w="900"/>
              <w:gridCol w:w="1626"/>
              <w:gridCol w:w="1094"/>
            </w:tblGrid>
            <w:tr w:rsidR="00356A77" w14:paraId="7260FC94" w14:textId="77777777">
              <w:trPr>
                <w:trHeight w:val="300"/>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7A02C" w14:textId="77777777" w:rsidR="00356A77" w:rsidRDefault="005F3508">
                  <w:pPr>
                    <w:widowControl/>
                    <w:autoSpaceDE/>
                    <w:autoSpaceDN/>
                    <w:jc w:val="center"/>
                    <w:rPr>
                      <w:rFonts w:ascii="Times New Roman" w:eastAsia="宋体" w:hAnsi="Times New Roman" w:cs="Times New Roman"/>
                      <w:b/>
                      <w:bCs/>
                      <w:sz w:val="24"/>
                      <w:szCs w:val="24"/>
                      <w:lang w:val="en-US" w:bidi="ar-SA"/>
                    </w:rPr>
                  </w:pPr>
                  <w:r>
                    <w:rPr>
                      <w:rFonts w:ascii="Times New Roman" w:eastAsia="宋体" w:hAnsi="Times New Roman" w:cs="Times New Roman"/>
                      <w:b/>
                      <w:bCs/>
                      <w:sz w:val="24"/>
                      <w:szCs w:val="24"/>
                      <w:lang w:val="en-US" w:bidi="ar-SA"/>
                    </w:rPr>
                    <w:t>序号</w:t>
                  </w:r>
                </w:p>
              </w:tc>
              <w:tc>
                <w:tcPr>
                  <w:tcW w:w="1537" w:type="dxa"/>
                  <w:tcBorders>
                    <w:top w:val="single" w:sz="4" w:space="0" w:color="auto"/>
                    <w:left w:val="nil"/>
                    <w:bottom w:val="single" w:sz="4" w:space="0" w:color="auto"/>
                    <w:right w:val="single" w:sz="4" w:space="0" w:color="auto"/>
                  </w:tcBorders>
                  <w:shd w:val="clear" w:color="auto" w:fill="auto"/>
                  <w:vAlign w:val="center"/>
                </w:tcPr>
                <w:p w14:paraId="3518B1AB" w14:textId="77777777" w:rsidR="00356A77" w:rsidRDefault="005F3508">
                  <w:pPr>
                    <w:widowControl/>
                    <w:autoSpaceDE/>
                    <w:autoSpaceDN/>
                    <w:jc w:val="center"/>
                    <w:rPr>
                      <w:rFonts w:ascii="Times New Roman" w:eastAsia="宋体" w:hAnsi="Times New Roman" w:cs="Times New Roman"/>
                      <w:b/>
                      <w:bCs/>
                      <w:sz w:val="24"/>
                      <w:szCs w:val="24"/>
                      <w:lang w:val="en-US" w:bidi="ar-SA"/>
                    </w:rPr>
                  </w:pPr>
                  <w:r>
                    <w:rPr>
                      <w:rFonts w:ascii="Times New Roman" w:eastAsia="宋体" w:hAnsi="Times New Roman" w:cs="Times New Roman"/>
                      <w:b/>
                      <w:bCs/>
                      <w:sz w:val="24"/>
                      <w:szCs w:val="24"/>
                      <w:lang w:val="en-US" w:bidi="ar-SA"/>
                    </w:rPr>
                    <w:t>公司</w:t>
                  </w:r>
                </w:p>
              </w:tc>
              <w:tc>
                <w:tcPr>
                  <w:tcW w:w="1040" w:type="dxa"/>
                  <w:tcBorders>
                    <w:top w:val="single" w:sz="4" w:space="0" w:color="auto"/>
                    <w:left w:val="nil"/>
                    <w:bottom w:val="single" w:sz="4" w:space="0" w:color="auto"/>
                    <w:right w:val="single" w:sz="4" w:space="0" w:color="auto"/>
                  </w:tcBorders>
                  <w:shd w:val="clear" w:color="auto" w:fill="auto"/>
                  <w:vAlign w:val="center"/>
                </w:tcPr>
                <w:p w14:paraId="0F64C65D" w14:textId="77777777" w:rsidR="00356A77" w:rsidRDefault="005F3508">
                  <w:pPr>
                    <w:widowControl/>
                    <w:autoSpaceDE/>
                    <w:autoSpaceDN/>
                    <w:jc w:val="center"/>
                    <w:rPr>
                      <w:rFonts w:ascii="Times New Roman" w:eastAsia="宋体" w:hAnsi="Times New Roman" w:cs="Times New Roman"/>
                      <w:b/>
                      <w:bCs/>
                      <w:sz w:val="24"/>
                      <w:szCs w:val="24"/>
                      <w:lang w:val="en-US" w:bidi="ar-SA"/>
                    </w:rPr>
                  </w:pPr>
                  <w:r>
                    <w:rPr>
                      <w:rFonts w:ascii="Times New Roman" w:eastAsia="宋体" w:hAnsi="Times New Roman" w:cs="Times New Roman"/>
                      <w:b/>
                      <w:bCs/>
                      <w:sz w:val="24"/>
                      <w:szCs w:val="24"/>
                      <w:lang w:val="en-US" w:bidi="ar-SA"/>
                    </w:rPr>
                    <w:t>姓名</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81A9E13" w14:textId="77777777" w:rsidR="00356A77" w:rsidRDefault="005F3508">
                  <w:pPr>
                    <w:widowControl/>
                    <w:autoSpaceDE/>
                    <w:autoSpaceDN/>
                    <w:jc w:val="center"/>
                    <w:rPr>
                      <w:rFonts w:ascii="Times New Roman" w:eastAsia="宋体" w:hAnsi="Times New Roman" w:cs="Times New Roman"/>
                      <w:b/>
                      <w:bCs/>
                      <w:sz w:val="24"/>
                      <w:szCs w:val="24"/>
                      <w:lang w:val="en-US" w:bidi="ar-SA"/>
                    </w:rPr>
                  </w:pPr>
                  <w:r>
                    <w:rPr>
                      <w:rFonts w:ascii="Times New Roman" w:eastAsia="宋体" w:hAnsi="Times New Roman" w:cs="Times New Roman"/>
                      <w:b/>
                      <w:bCs/>
                      <w:sz w:val="24"/>
                      <w:szCs w:val="24"/>
                      <w:lang w:val="en-US" w:bidi="ar-SA"/>
                    </w:rPr>
                    <w:t>序号</w:t>
                  </w:r>
                </w:p>
              </w:tc>
              <w:tc>
                <w:tcPr>
                  <w:tcW w:w="1626" w:type="dxa"/>
                  <w:tcBorders>
                    <w:top w:val="single" w:sz="4" w:space="0" w:color="auto"/>
                    <w:left w:val="nil"/>
                    <w:bottom w:val="single" w:sz="4" w:space="0" w:color="auto"/>
                    <w:right w:val="single" w:sz="4" w:space="0" w:color="auto"/>
                  </w:tcBorders>
                  <w:shd w:val="clear" w:color="auto" w:fill="auto"/>
                  <w:vAlign w:val="center"/>
                </w:tcPr>
                <w:p w14:paraId="202F12E6" w14:textId="77777777" w:rsidR="00356A77" w:rsidRDefault="005F3508">
                  <w:pPr>
                    <w:widowControl/>
                    <w:autoSpaceDE/>
                    <w:autoSpaceDN/>
                    <w:jc w:val="center"/>
                    <w:rPr>
                      <w:rFonts w:ascii="Times New Roman" w:eastAsia="宋体" w:hAnsi="Times New Roman" w:cs="Times New Roman"/>
                      <w:b/>
                      <w:bCs/>
                      <w:sz w:val="24"/>
                      <w:szCs w:val="24"/>
                      <w:lang w:val="en-US" w:bidi="ar-SA"/>
                    </w:rPr>
                  </w:pPr>
                  <w:r>
                    <w:rPr>
                      <w:rFonts w:ascii="Times New Roman" w:eastAsia="宋体" w:hAnsi="Times New Roman" w:cs="Times New Roman"/>
                      <w:b/>
                      <w:bCs/>
                      <w:sz w:val="24"/>
                      <w:szCs w:val="24"/>
                      <w:lang w:val="en-US" w:bidi="ar-SA"/>
                    </w:rPr>
                    <w:t>公司</w:t>
                  </w:r>
                </w:p>
              </w:tc>
              <w:tc>
                <w:tcPr>
                  <w:tcW w:w="1094" w:type="dxa"/>
                  <w:tcBorders>
                    <w:top w:val="single" w:sz="4" w:space="0" w:color="auto"/>
                    <w:left w:val="nil"/>
                    <w:bottom w:val="single" w:sz="4" w:space="0" w:color="auto"/>
                    <w:right w:val="single" w:sz="4" w:space="0" w:color="auto"/>
                  </w:tcBorders>
                  <w:shd w:val="clear" w:color="auto" w:fill="auto"/>
                  <w:vAlign w:val="center"/>
                </w:tcPr>
                <w:p w14:paraId="48F4CCC8" w14:textId="77777777" w:rsidR="00356A77" w:rsidRDefault="005F3508">
                  <w:pPr>
                    <w:widowControl/>
                    <w:autoSpaceDE/>
                    <w:autoSpaceDN/>
                    <w:jc w:val="center"/>
                    <w:rPr>
                      <w:rFonts w:ascii="Times New Roman" w:eastAsia="宋体" w:hAnsi="Times New Roman" w:cs="Times New Roman"/>
                      <w:b/>
                      <w:bCs/>
                      <w:sz w:val="24"/>
                      <w:szCs w:val="24"/>
                      <w:lang w:val="en-US" w:bidi="ar-SA"/>
                    </w:rPr>
                  </w:pPr>
                  <w:r>
                    <w:rPr>
                      <w:rFonts w:ascii="Times New Roman" w:eastAsia="宋体" w:hAnsi="Times New Roman" w:cs="Times New Roman"/>
                      <w:b/>
                      <w:bCs/>
                      <w:sz w:val="24"/>
                      <w:szCs w:val="24"/>
                      <w:lang w:val="en-US" w:bidi="ar-SA"/>
                    </w:rPr>
                    <w:t>姓名</w:t>
                  </w:r>
                </w:p>
              </w:tc>
            </w:tr>
            <w:tr w:rsidR="00356A77" w14:paraId="6C4C7241" w14:textId="77777777">
              <w:trPr>
                <w:trHeight w:val="300"/>
              </w:trPr>
              <w:tc>
                <w:tcPr>
                  <w:tcW w:w="783" w:type="dxa"/>
                  <w:tcBorders>
                    <w:top w:val="nil"/>
                    <w:left w:val="single" w:sz="4" w:space="0" w:color="auto"/>
                    <w:bottom w:val="single" w:sz="4" w:space="0" w:color="auto"/>
                    <w:right w:val="single" w:sz="4" w:space="0" w:color="auto"/>
                  </w:tcBorders>
                  <w:shd w:val="clear" w:color="auto" w:fill="auto"/>
                  <w:noWrap/>
                  <w:vAlign w:val="center"/>
                </w:tcPr>
                <w:p w14:paraId="0DC6B780"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1</w:t>
                  </w:r>
                </w:p>
              </w:tc>
              <w:tc>
                <w:tcPr>
                  <w:tcW w:w="1537" w:type="dxa"/>
                  <w:tcBorders>
                    <w:top w:val="nil"/>
                    <w:left w:val="nil"/>
                    <w:bottom w:val="single" w:sz="4" w:space="0" w:color="auto"/>
                    <w:right w:val="single" w:sz="4" w:space="0" w:color="auto"/>
                  </w:tcBorders>
                  <w:shd w:val="clear" w:color="auto" w:fill="auto"/>
                  <w:noWrap/>
                  <w:vAlign w:val="bottom"/>
                </w:tcPr>
                <w:p w14:paraId="1B7A5530"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平安证券</w:t>
                  </w:r>
                </w:p>
              </w:tc>
              <w:tc>
                <w:tcPr>
                  <w:tcW w:w="1040" w:type="dxa"/>
                  <w:tcBorders>
                    <w:top w:val="nil"/>
                    <w:left w:val="nil"/>
                    <w:bottom w:val="single" w:sz="4" w:space="0" w:color="auto"/>
                    <w:right w:val="single" w:sz="4" w:space="0" w:color="auto"/>
                  </w:tcBorders>
                  <w:shd w:val="clear" w:color="auto" w:fill="auto"/>
                  <w:noWrap/>
                  <w:vAlign w:val="bottom"/>
                </w:tcPr>
                <w:p w14:paraId="3F22C1F1"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马书蕾</w:t>
                  </w:r>
                </w:p>
              </w:tc>
              <w:tc>
                <w:tcPr>
                  <w:tcW w:w="900" w:type="dxa"/>
                  <w:tcBorders>
                    <w:top w:val="nil"/>
                    <w:left w:val="nil"/>
                    <w:bottom w:val="single" w:sz="4" w:space="0" w:color="auto"/>
                    <w:right w:val="single" w:sz="4" w:space="0" w:color="auto"/>
                  </w:tcBorders>
                  <w:shd w:val="clear" w:color="auto" w:fill="auto"/>
                  <w:noWrap/>
                  <w:vAlign w:val="center"/>
                </w:tcPr>
                <w:p w14:paraId="33771A89"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16</w:t>
                  </w:r>
                </w:p>
              </w:tc>
              <w:tc>
                <w:tcPr>
                  <w:tcW w:w="1626" w:type="dxa"/>
                  <w:tcBorders>
                    <w:top w:val="nil"/>
                    <w:left w:val="nil"/>
                    <w:bottom w:val="single" w:sz="4" w:space="0" w:color="auto"/>
                    <w:right w:val="single" w:sz="4" w:space="0" w:color="auto"/>
                  </w:tcBorders>
                  <w:shd w:val="clear" w:color="auto" w:fill="auto"/>
                  <w:noWrap/>
                  <w:vAlign w:val="bottom"/>
                </w:tcPr>
                <w:p w14:paraId="7B41C764"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中信建投证券</w:t>
                  </w:r>
                </w:p>
              </w:tc>
              <w:tc>
                <w:tcPr>
                  <w:tcW w:w="1094" w:type="dxa"/>
                  <w:tcBorders>
                    <w:top w:val="nil"/>
                    <w:left w:val="nil"/>
                    <w:bottom w:val="single" w:sz="4" w:space="0" w:color="auto"/>
                    <w:right w:val="single" w:sz="4" w:space="0" w:color="auto"/>
                  </w:tcBorders>
                  <w:shd w:val="clear" w:color="auto" w:fill="auto"/>
                  <w:noWrap/>
                  <w:vAlign w:val="bottom"/>
                </w:tcPr>
                <w:p w14:paraId="258B4E6D"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郭阿禄</w:t>
                  </w:r>
                </w:p>
              </w:tc>
            </w:tr>
            <w:tr w:rsidR="00356A77" w14:paraId="02844919" w14:textId="77777777">
              <w:trPr>
                <w:trHeight w:val="300"/>
              </w:trPr>
              <w:tc>
                <w:tcPr>
                  <w:tcW w:w="783" w:type="dxa"/>
                  <w:tcBorders>
                    <w:top w:val="nil"/>
                    <w:left w:val="single" w:sz="4" w:space="0" w:color="auto"/>
                    <w:bottom w:val="single" w:sz="4" w:space="0" w:color="auto"/>
                    <w:right w:val="single" w:sz="4" w:space="0" w:color="auto"/>
                  </w:tcBorders>
                  <w:shd w:val="clear" w:color="auto" w:fill="auto"/>
                  <w:noWrap/>
                  <w:vAlign w:val="center"/>
                </w:tcPr>
                <w:p w14:paraId="4BC80C77"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2</w:t>
                  </w:r>
                </w:p>
              </w:tc>
              <w:tc>
                <w:tcPr>
                  <w:tcW w:w="1537" w:type="dxa"/>
                  <w:tcBorders>
                    <w:top w:val="nil"/>
                    <w:left w:val="nil"/>
                    <w:bottom w:val="single" w:sz="4" w:space="0" w:color="auto"/>
                    <w:right w:val="single" w:sz="4" w:space="0" w:color="auto"/>
                  </w:tcBorders>
                  <w:shd w:val="clear" w:color="auto" w:fill="auto"/>
                  <w:noWrap/>
                  <w:vAlign w:val="bottom"/>
                </w:tcPr>
                <w:p w14:paraId="54931DF3"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信达证券</w:t>
                  </w:r>
                </w:p>
              </w:tc>
              <w:tc>
                <w:tcPr>
                  <w:tcW w:w="1040" w:type="dxa"/>
                  <w:tcBorders>
                    <w:top w:val="nil"/>
                    <w:left w:val="nil"/>
                    <w:bottom w:val="single" w:sz="4" w:space="0" w:color="auto"/>
                    <w:right w:val="single" w:sz="4" w:space="0" w:color="auto"/>
                  </w:tcBorders>
                  <w:shd w:val="clear" w:color="auto" w:fill="auto"/>
                  <w:noWrap/>
                  <w:vAlign w:val="bottom"/>
                </w:tcPr>
                <w:p w14:paraId="2AF0E29F"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刘红光</w:t>
                  </w:r>
                </w:p>
              </w:tc>
              <w:tc>
                <w:tcPr>
                  <w:tcW w:w="900" w:type="dxa"/>
                  <w:tcBorders>
                    <w:top w:val="nil"/>
                    <w:left w:val="nil"/>
                    <w:bottom w:val="single" w:sz="4" w:space="0" w:color="auto"/>
                    <w:right w:val="single" w:sz="4" w:space="0" w:color="auto"/>
                  </w:tcBorders>
                  <w:shd w:val="clear" w:color="auto" w:fill="auto"/>
                  <w:noWrap/>
                  <w:vAlign w:val="center"/>
                </w:tcPr>
                <w:p w14:paraId="7632C473"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17</w:t>
                  </w:r>
                </w:p>
              </w:tc>
              <w:tc>
                <w:tcPr>
                  <w:tcW w:w="1626" w:type="dxa"/>
                  <w:tcBorders>
                    <w:top w:val="nil"/>
                    <w:left w:val="nil"/>
                    <w:bottom w:val="single" w:sz="4" w:space="0" w:color="auto"/>
                    <w:right w:val="single" w:sz="4" w:space="0" w:color="auto"/>
                  </w:tcBorders>
                  <w:shd w:val="clear" w:color="auto" w:fill="auto"/>
                  <w:noWrap/>
                  <w:vAlign w:val="bottom"/>
                </w:tcPr>
                <w:p w14:paraId="14A7760D"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中信建投证券</w:t>
                  </w:r>
                </w:p>
              </w:tc>
              <w:tc>
                <w:tcPr>
                  <w:tcW w:w="1094" w:type="dxa"/>
                  <w:tcBorders>
                    <w:top w:val="nil"/>
                    <w:left w:val="nil"/>
                    <w:bottom w:val="single" w:sz="4" w:space="0" w:color="auto"/>
                    <w:right w:val="single" w:sz="4" w:space="0" w:color="auto"/>
                  </w:tcBorders>
                  <w:shd w:val="clear" w:color="auto" w:fill="auto"/>
                  <w:noWrap/>
                  <w:vAlign w:val="bottom"/>
                </w:tcPr>
                <w:p w14:paraId="77689761"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余畅鸿</w:t>
                  </w:r>
                </w:p>
              </w:tc>
            </w:tr>
            <w:tr w:rsidR="00356A77" w14:paraId="1EFD8369" w14:textId="77777777">
              <w:trPr>
                <w:trHeight w:val="300"/>
              </w:trPr>
              <w:tc>
                <w:tcPr>
                  <w:tcW w:w="783" w:type="dxa"/>
                  <w:tcBorders>
                    <w:top w:val="nil"/>
                    <w:left w:val="single" w:sz="4" w:space="0" w:color="auto"/>
                    <w:bottom w:val="single" w:sz="4" w:space="0" w:color="auto"/>
                    <w:right w:val="single" w:sz="4" w:space="0" w:color="auto"/>
                  </w:tcBorders>
                  <w:shd w:val="clear" w:color="auto" w:fill="auto"/>
                  <w:noWrap/>
                  <w:vAlign w:val="center"/>
                </w:tcPr>
                <w:p w14:paraId="27F4E414"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3</w:t>
                  </w:r>
                </w:p>
              </w:tc>
              <w:tc>
                <w:tcPr>
                  <w:tcW w:w="1537" w:type="dxa"/>
                  <w:tcBorders>
                    <w:top w:val="nil"/>
                    <w:left w:val="nil"/>
                    <w:bottom w:val="single" w:sz="4" w:space="0" w:color="auto"/>
                    <w:right w:val="single" w:sz="4" w:space="0" w:color="auto"/>
                  </w:tcBorders>
                  <w:shd w:val="clear" w:color="auto" w:fill="auto"/>
                  <w:noWrap/>
                  <w:vAlign w:val="bottom"/>
                </w:tcPr>
                <w:p w14:paraId="78DE9C3F"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信达证券</w:t>
                  </w:r>
                </w:p>
              </w:tc>
              <w:tc>
                <w:tcPr>
                  <w:tcW w:w="1040" w:type="dxa"/>
                  <w:tcBorders>
                    <w:top w:val="nil"/>
                    <w:left w:val="nil"/>
                    <w:bottom w:val="single" w:sz="4" w:space="0" w:color="auto"/>
                    <w:right w:val="single" w:sz="4" w:space="0" w:color="auto"/>
                  </w:tcBorders>
                  <w:shd w:val="clear" w:color="auto" w:fill="auto"/>
                  <w:noWrap/>
                  <w:vAlign w:val="bottom"/>
                </w:tcPr>
                <w:p w14:paraId="0F1D0A96"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刘奕麟</w:t>
                  </w:r>
                </w:p>
              </w:tc>
              <w:tc>
                <w:tcPr>
                  <w:tcW w:w="900" w:type="dxa"/>
                  <w:tcBorders>
                    <w:top w:val="nil"/>
                    <w:left w:val="nil"/>
                    <w:bottom w:val="single" w:sz="4" w:space="0" w:color="auto"/>
                    <w:right w:val="single" w:sz="4" w:space="0" w:color="auto"/>
                  </w:tcBorders>
                  <w:shd w:val="clear" w:color="auto" w:fill="auto"/>
                  <w:noWrap/>
                  <w:vAlign w:val="center"/>
                </w:tcPr>
                <w:p w14:paraId="682BCCF8"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18</w:t>
                  </w:r>
                </w:p>
              </w:tc>
              <w:tc>
                <w:tcPr>
                  <w:tcW w:w="1626" w:type="dxa"/>
                  <w:tcBorders>
                    <w:top w:val="nil"/>
                    <w:left w:val="nil"/>
                    <w:bottom w:val="single" w:sz="4" w:space="0" w:color="auto"/>
                    <w:right w:val="single" w:sz="4" w:space="0" w:color="auto"/>
                  </w:tcBorders>
                  <w:shd w:val="clear" w:color="auto" w:fill="auto"/>
                  <w:noWrap/>
                  <w:vAlign w:val="bottom"/>
                </w:tcPr>
                <w:p w14:paraId="736333F0"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个人投资者</w:t>
                  </w:r>
                </w:p>
              </w:tc>
              <w:tc>
                <w:tcPr>
                  <w:tcW w:w="1094" w:type="dxa"/>
                  <w:tcBorders>
                    <w:top w:val="nil"/>
                    <w:left w:val="nil"/>
                    <w:bottom w:val="single" w:sz="4" w:space="0" w:color="auto"/>
                    <w:right w:val="single" w:sz="4" w:space="0" w:color="auto"/>
                  </w:tcBorders>
                  <w:shd w:val="clear" w:color="auto" w:fill="auto"/>
                  <w:noWrap/>
                  <w:vAlign w:val="bottom"/>
                </w:tcPr>
                <w:p w14:paraId="3FCC62F7"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杨卫东</w:t>
                  </w:r>
                </w:p>
              </w:tc>
            </w:tr>
            <w:tr w:rsidR="00356A77" w14:paraId="2540AB8C" w14:textId="77777777">
              <w:trPr>
                <w:trHeight w:val="300"/>
              </w:trPr>
              <w:tc>
                <w:tcPr>
                  <w:tcW w:w="783" w:type="dxa"/>
                  <w:tcBorders>
                    <w:top w:val="nil"/>
                    <w:left w:val="single" w:sz="4" w:space="0" w:color="auto"/>
                    <w:bottom w:val="single" w:sz="4" w:space="0" w:color="auto"/>
                    <w:right w:val="single" w:sz="4" w:space="0" w:color="auto"/>
                  </w:tcBorders>
                  <w:shd w:val="clear" w:color="auto" w:fill="auto"/>
                  <w:noWrap/>
                  <w:vAlign w:val="center"/>
                </w:tcPr>
                <w:p w14:paraId="7EA71946"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4</w:t>
                  </w:r>
                </w:p>
              </w:tc>
              <w:tc>
                <w:tcPr>
                  <w:tcW w:w="1537" w:type="dxa"/>
                  <w:tcBorders>
                    <w:top w:val="nil"/>
                    <w:left w:val="nil"/>
                    <w:bottom w:val="single" w:sz="4" w:space="0" w:color="auto"/>
                    <w:right w:val="single" w:sz="4" w:space="0" w:color="auto"/>
                  </w:tcBorders>
                  <w:shd w:val="clear" w:color="auto" w:fill="auto"/>
                  <w:noWrap/>
                  <w:vAlign w:val="bottom"/>
                </w:tcPr>
                <w:p w14:paraId="6B81933B"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信达证券</w:t>
                  </w:r>
                </w:p>
              </w:tc>
              <w:tc>
                <w:tcPr>
                  <w:tcW w:w="1040" w:type="dxa"/>
                  <w:tcBorders>
                    <w:top w:val="nil"/>
                    <w:left w:val="nil"/>
                    <w:bottom w:val="single" w:sz="4" w:space="0" w:color="auto"/>
                    <w:right w:val="single" w:sz="4" w:space="0" w:color="auto"/>
                  </w:tcBorders>
                  <w:shd w:val="clear" w:color="auto" w:fill="auto"/>
                  <w:noWrap/>
                  <w:vAlign w:val="bottom"/>
                </w:tcPr>
                <w:p w14:paraId="64FA2190"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胡晓艺</w:t>
                  </w:r>
                </w:p>
              </w:tc>
              <w:tc>
                <w:tcPr>
                  <w:tcW w:w="900" w:type="dxa"/>
                  <w:tcBorders>
                    <w:top w:val="nil"/>
                    <w:left w:val="nil"/>
                    <w:bottom w:val="single" w:sz="4" w:space="0" w:color="auto"/>
                    <w:right w:val="single" w:sz="4" w:space="0" w:color="auto"/>
                  </w:tcBorders>
                  <w:shd w:val="clear" w:color="auto" w:fill="auto"/>
                  <w:noWrap/>
                  <w:vAlign w:val="center"/>
                </w:tcPr>
                <w:p w14:paraId="6AE67723"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19</w:t>
                  </w:r>
                </w:p>
              </w:tc>
              <w:tc>
                <w:tcPr>
                  <w:tcW w:w="1626" w:type="dxa"/>
                  <w:tcBorders>
                    <w:top w:val="nil"/>
                    <w:left w:val="nil"/>
                    <w:bottom w:val="single" w:sz="4" w:space="0" w:color="auto"/>
                    <w:right w:val="single" w:sz="4" w:space="0" w:color="auto"/>
                  </w:tcBorders>
                  <w:shd w:val="clear" w:color="auto" w:fill="auto"/>
                  <w:noWrap/>
                  <w:vAlign w:val="bottom"/>
                </w:tcPr>
                <w:p w14:paraId="26757426"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个人投资者</w:t>
                  </w:r>
                </w:p>
              </w:tc>
              <w:tc>
                <w:tcPr>
                  <w:tcW w:w="1094" w:type="dxa"/>
                  <w:tcBorders>
                    <w:top w:val="nil"/>
                    <w:left w:val="nil"/>
                    <w:bottom w:val="single" w:sz="4" w:space="0" w:color="auto"/>
                    <w:right w:val="single" w:sz="4" w:space="0" w:color="auto"/>
                  </w:tcBorders>
                  <w:shd w:val="clear" w:color="auto" w:fill="auto"/>
                  <w:noWrap/>
                  <w:vAlign w:val="bottom"/>
                </w:tcPr>
                <w:p w14:paraId="02F5A828"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迟继功</w:t>
                  </w:r>
                </w:p>
              </w:tc>
            </w:tr>
            <w:tr w:rsidR="00356A77" w14:paraId="7076EBB0" w14:textId="77777777">
              <w:trPr>
                <w:trHeight w:val="300"/>
              </w:trPr>
              <w:tc>
                <w:tcPr>
                  <w:tcW w:w="783" w:type="dxa"/>
                  <w:tcBorders>
                    <w:top w:val="nil"/>
                    <w:left w:val="single" w:sz="4" w:space="0" w:color="auto"/>
                    <w:bottom w:val="single" w:sz="4" w:space="0" w:color="auto"/>
                    <w:right w:val="single" w:sz="4" w:space="0" w:color="auto"/>
                  </w:tcBorders>
                  <w:shd w:val="clear" w:color="auto" w:fill="auto"/>
                  <w:noWrap/>
                  <w:vAlign w:val="center"/>
                </w:tcPr>
                <w:p w14:paraId="3D01E95C"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5</w:t>
                  </w:r>
                </w:p>
              </w:tc>
              <w:tc>
                <w:tcPr>
                  <w:tcW w:w="1537" w:type="dxa"/>
                  <w:tcBorders>
                    <w:top w:val="nil"/>
                    <w:left w:val="nil"/>
                    <w:bottom w:val="single" w:sz="4" w:space="0" w:color="auto"/>
                    <w:right w:val="single" w:sz="4" w:space="0" w:color="auto"/>
                  </w:tcBorders>
                  <w:shd w:val="clear" w:color="auto" w:fill="auto"/>
                  <w:noWrap/>
                  <w:vAlign w:val="bottom"/>
                </w:tcPr>
                <w:p w14:paraId="0D62548D"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信达资管</w:t>
                  </w:r>
                </w:p>
              </w:tc>
              <w:tc>
                <w:tcPr>
                  <w:tcW w:w="1040" w:type="dxa"/>
                  <w:tcBorders>
                    <w:top w:val="nil"/>
                    <w:left w:val="nil"/>
                    <w:bottom w:val="single" w:sz="4" w:space="0" w:color="auto"/>
                    <w:right w:val="single" w:sz="4" w:space="0" w:color="auto"/>
                  </w:tcBorders>
                  <w:shd w:val="clear" w:color="auto" w:fill="auto"/>
                  <w:noWrap/>
                  <w:vAlign w:val="bottom"/>
                </w:tcPr>
                <w:p w14:paraId="10526ECE"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段光荣</w:t>
                  </w:r>
                </w:p>
              </w:tc>
              <w:tc>
                <w:tcPr>
                  <w:tcW w:w="900" w:type="dxa"/>
                  <w:tcBorders>
                    <w:top w:val="nil"/>
                    <w:left w:val="nil"/>
                    <w:bottom w:val="single" w:sz="4" w:space="0" w:color="auto"/>
                    <w:right w:val="single" w:sz="4" w:space="0" w:color="auto"/>
                  </w:tcBorders>
                  <w:shd w:val="clear" w:color="auto" w:fill="auto"/>
                  <w:noWrap/>
                  <w:vAlign w:val="center"/>
                </w:tcPr>
                <w:p w14:paraId="4571968C"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20</w:t>
                  </w:r>
                </w:p>
              </w:tc>
              <w:tc>
                <w:tcPr>
                  <w:tcW w:w="1626" w:type="dxa"/>
                  <w:tcBorders>
                    <w:top w:val="nil"/>
                    <w:left w:val="nil"/>
                    <w:bottom w:val="single" w:sz="4" w:space="0" w:color="auto"/>
                    <w:right w:val="single" w:sz="4" w:space="0" w:color="auto"/>
                  </w:tcBorders>
                  <w:shd w:val="clear" w:color="auto" w:fill="auto"/>
                  <w:noWrap/>
                  <w:vAlign w:val="bottom"/>
                </w:tcPr>
                <w:p w14:paraId="31A95E2A"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个人投资者</w:t>
                  </w:r>
                </w:p>
              </w:tc>
              <w:tc>
                <w:tcPr>
                  <w:tcW w:w="1094" w:type="dxa"/>
                  <w:tcBorders>
                    <w:top w:val="nil"/>
                    <w:left w:val="nil"/>
                    <w:bottom w:val="single" w:sz="4" w:space="0" w:color="auto"/>
                    <w:right w:val="single" w:sz="4" w:space="0" w:color="auto"/>
                  </w:tcBorders>
                  <w:shd w:val="clear" w:color="auto" w:fill="auto"/>
                  <w:noWrap/>
                  <w:vAlign w:val="bottom"/>
                </w:tcPr>
                <w:p w14:paraId="498E3AE9"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张明雀</w:t>
                  </w:r>
                </w:p>
              </w:tc>
            </w:tr>
            <w:tr w:rsidR="00356A77" w14:paraId="1C9A75BA" w14:textId="77777777">
              <w:trPr>
                <w:trHeight w:val="300"/>
              </w:trPr>
              <w:tc>
                <w:tcPr>
                  <w:tcW w:w="783" w:type="dxa"/>
                  <w:tcBorders>
                    <w:top w:val="nil"/>
                    <w:left w:val="single" w:sz="4" w:space="0" w:color="auto"/>
                    <w:bottom w:val="single" w:sz="4" w:space="0" w:color="auto"/>
                    <w:right w:val="single" w:sz="4" w:space="0" w:color="auto"/>
                  </w:tcBorders>
                  <w:shd w:val="clear" w:color="auto" w:fill="auto"/>
                  <w:noWrap/>
                  <w:vAlign w:val="center"/>
                </w:tcPr>
                <w:p w14:paraId="1D3CA01F"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6</w:t>
                  </w:r>
                </w:p>
              </w:tc>
              <w:tc>
                <w:tcPr>
                  <w:tcW w:w="1537" w:type="dxa"/>
                  <w:tcBorders>
                    <w:top w:val="nil"/>
                    <w:left w:val="nil"/>
                    <w:bottom w:val="single" w:sz="4" w:space="0" w:color="auto"/>
                    <w:right w:val="single" w:sz="4" w:space="0" w:color="auto"/>
                  </w:tcBorders>
                  <w:shd w:val="clear" w:color="auto" w:fill="auto"/>
                  <w:noWrap/>
                  <w:vAlign w:val="bottom"/>
                </w:tcPr>
                <w:p w14:paraId="39D78F5E"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信达资管</w:t>
                  </w:r>
                </w:p>
              </w:tc>
              <w:tc>
                <w:tcPr>
                  <w:tcW w:w="1040" w:type="dxa"/>
                  <w:tcBorders>
                    <w:top w:val="nil"/>
                    <w:left w:val="nil"/>
                    <w:bottom w:val="single" w:sz="4" w:space="0" w:color="auto"/>
                    <w:right w:val="single" w:sz="4" w:space="0" w:color="auto"/>
                  </w:tcBorders>
                  <w:shd w:val="clear" w:color="auto" w:fill="auto"/>
                  <w:noWrap/>
                  <w:vAlign w:val="bottom"/>
                </w:tcPr>
                <w:p w14:paraId="1DA3D547"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马书赫</w:t>
                  </w:r>
                </w:p>
              </w:tc>
              <w:tc>
                <w:tcPr>
                  <w:tcW w:w="900" w:type="dxa"/>
                  <w:tcBorders>
                    <w:top w:val="nil"/>
                    <w:left w:val="nil"/>
                    <w:bottom w:val="single" w:sz="4" w:space="0" w:color="auto"/>
                    <w:right w:val="single" w:sz="4" w:space="0" w:color="auto"/>
                  </w:tcBorders>
                  <w:shd w:val="clear" w:color="auto" w:fill="auto"/>
                  <w:noWrap/>
                  <w:vAlign w:val="center"/>
                </w:tcPr>
                <w:p w14:paraId="3139CD40"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21</w:t>
                  </w:r>
                </w:p>
              </w:tc>
              <w:tc>
                <w:tcPr>
                  <w:tcW w:w="1626" w:type="dxa"/>
                  <w:tcBorders>
                    <w:top w:val="nil"/>
                    <w:left w:val="nil"/>
                    <w:bottom w:val="single" w:sz="4" w:space="0" w:color="auto"/>
                    <w:right w:val="single" w:sz="4" w:space="0" w:color="auto"/>
                  </w:tcBorders>
                  <w:shd w:val="clear" w:color="auto" w:fill="auto"/>
                  <w:noWrap/>
                  <w:vAlign w:val="bottom"/>
                </w:tcPr>
                <w:p w14:paraId="1183DC88"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个人投资者</w:t>
                  </w:r>
                </w:p>
              </w:tc>
              <w:tc>
                <w:tcPr>
                  <w:tcW w:w="1094" w:type="dxa"/>
                  <w:tcBorders>
                    <w:top w:val="nil"/>
                    <w:left w:val="nil"/>
                    <w:bottom w:val="single" w:sz="4" w:space="0" w:color="auto"/>
                    <w:right w:val="single" w:sz="4" w:space="0" w:color="auto"/>
                  </w:tcBorders>
                  <w:shd w:val="clear" w:color="auto" w:fill="auto"/>
                  <w:noWrap/>
                  <w:vAlign w:val="bottom"/>
                </w:tcPr>
                <w:p w14:paraId="0AAFFD70"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周阳福</w:t>
                  </w:r>
                </w:p>
              </w:tc>
            </w:tr>
            <w:tr w:rsidR="00356A77" w14:paraId="009F4678" w14:textId="77777777">
              <w:trPr>
                <w:trHeight w:val="300"/>
              </w:trPr>
              <w:tc>
                <w:tcPr>
                  <w:tcW w:w="783" w:type="dxa"/>
                  <w:tcBorders>
                    <w:top w:val="nil"/>
                    <w:left w:val="single" w:sz="4" w:space="0" w:color="auto"/>
                    <w:bottom w:val="single" w:sz="4" w:space="0" w:color="auto"/>
                    <w:right w:val="single" w:sz="4" w:space="0" w:color="auto"/>
                  </w:tcBorders>
                  <w:shd w:val="clear" w:color="auto" w:fill="auto"/>
                  <w:noWrap/>
                  <w:vAlign w:val="center"/>
                </w:tcPr>
                <w:p w14:paraId="6CA31159"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7</w:t>
                  </w:r>
                </w:p>
              </w:tc>
              <w:tc>
                <w:tcPr>
                  <w:tcW w:w="1537" w:type="dxa"/>
                  <w:tcBorders>
                    <w:top w:val="nil"/>
                    <w:left w:val="nil"/>
                    <w:bottom w:val="single" w:sz="4" w:space="0" w:color="auto"/>
                    <w:right w:val="single" w:sz="4" w:space="0" w:color="auto"/>
                  </w:tcBorders>
                  <w:shd w:val="clear" w:color="auto" w:fill="auto"/>
                  <w:noWrap/>
                  <w:vAlign w:val="bottom"/>
                </w:tcPr>
                <w:p w14:paraId="46DD66B0"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海富通基金</w:t>
                  </w:r>
                </w:p>
              </w:tc>
              <w:tc>
                <w:tcPr>
                  <w:tcW w:w="1040" w:type="dxa"/>
                  <w:tcBorders>
                    <w:top w:val="nil"/>
                    <w:left w:val="nil"/>
                    <w:bottom w:val="single" w:sz="4" w:space="0" w:color="auto"/>
                    <w:right w:val="single" w:sz="4" w:space="0" w:color="auto"/>
                  </w:tcBorders>
                  <w:shd w:val="clear" w:color="auto" w:fill="auto"/>
                  <w:noWrap/>
                  <w:vAlign w:val="bottom"/>
                </w:tcPr>
                <w:p w14:paraId="36B94262"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潘滨海</w:t>
                  </w:r>
                </w:p>
              </w:tc>
              <w:tc>
                <w:tcPr>
                  <w:tcW w:w="900" w:type="dxa"/>
                  <w:tcBorders>
                    <w:top w:val="nil"/>
                    <w:left w:val="nil"/>
                    <w:bottom w:val="single" w:sz="4" w:space="0" w:color="auto"/>
                    <w:right w:val="single" w:sz="4" w:space="0" w:color="auto"/>
                  </w:tcBorders>
                  <w:shd w:val="clear" w:color="auto" w:fill="auto"/>
                  <w:noWrap/>
                  <w:vAlign w:val="center"/>
                </w:tcPr>
                <w:p w14:paraId="7C347846"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22</w:t>
                  </w:r>
                </w:p>
              </w:tc>
              <w:tc>
                <w:tcPr>
                  <w:tcW w:w="1626" w:type="dxa"/>
                  <w:tcBorders>
                    <w:top w:val="nil"/>
                    <w:left w:val="nil"/>
                    <w:bottom w:val="single" w:sz="4" w:space="0" w:color="auto"/>
                    <w:right w:val="single" w:sz="4" w:space="0" w:color="auto"/>
                  </w:tcBorders>
                  <w:shd w:val="clear" w:color="auto" w:fill="auto"/>
                  <w:noWrap/>
                  <w:vAlign w:val="bottom"/>
                </w:tcPr>
                <w:p w14:paraId="03F70AFF"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个人投资者</w:t>
                  </w:r>
                </w:p>
              </w:tc>
              <w:tc>
                <w:tcPr>
                  <w:tcW w:w="1094" w:type="dxa"/>
                  <w:tcBorders>
                    <w:top w:val="nil"/>
                    <w:left w:val="nil"/>
                    <w:bottom w:val="single" w:sz="4" w:space="0" w:color="auto"/>
                    <w:right w:val="single" w:sz="4" w:space="0" w:color="auto"/>
                  </w:tcBorders>
                  <w:shd w:val="clear" w:color="auto" w:fill="auto"/>
                  <w:noWrap/>
                  <w:vAlign w:val="bottom"/>
                </w:tcPr>
                <w:p w14:paraId="376D8BF7"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徐慧珊</w:t>
                  </w:r>
                </w:p>
              </w:tc>
            </w:tr>
            <w:tr w:rsidR="00356A77" w14:paraId="3D451DE5" w14:textId="77777777">
              <w:trPr>
                <w:trHeight w:val="300"/>
              </w:trPr>
              <w:tc>
                <w:tcPr>
                  <w:tcW w:w="783" w:type="dxa"/>
                  <w:tcBorders>
                    <w:top w:val="nil"/>
                    <w:left w:val="single" w:sz="4" w:space="0" w:color="auto"/>
                    <w:bottom w:val="single" w:sz="4" w:space="0" w:color="auto"/>
                    <w:right w:val="single" w:sz="4" w:space="0" w:color="auto"/>
                  </w:tcBorders>
                  <w:shd w:val="clear" w:color="auto" w:fill="auto"/>
                  <w:noWrap/>
                  <w:vAlign w:val="center"/>
                </w:tcPr>
                <w:p w14:paraId="795F24DC"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8</w:t>
                  </w:r>
                </w:p>
              </w:tc>
              <w:tc>
                <w:tcPr>
                  <w:tcW w:w="1537" w:type="dxa"/>
                  <w:tcBorders>
                    <w:top w:val="nil"/>
                    <w:left w:val="nil"/>
                    <w:bottom w:val="single" w:sz="4" w:space="0" w:color="auto"/>
                    <w:right w:val="single" w:sz="4" w:space="0" w:color="auto"/>
                  </w:tcBorders>
                  <w:shd w:val="clear" w:color="auto" w:fill="auto"/>
                  <w:noWrap/>
                  <w:vAlign w:val="bottom"/>
                </w:tcPr>
                <w:p w14:paraId="5215FFC3"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山西证券</w:t>
                  </w:r>
                </w:p>
              </w:tc>
              <w:tc>
                <w:tcPr>
                  <w:tcW w:w="1040" w:type="dxa"/>
                  <w:tcBorders>
                    <w:top w:val="nil"/>
                    <w:left w:val="nil"/>
                    <w:bottom w:val="single" w:sz="4" w:space="0" w:color="auto"/>
                    <w:right w:val="single" w:sz="4" w:space="0" w:color="auto"/>
                  </w:tcBorders>
                  <w:shd w:val="clear" w:color="auto" w:fill="auto"/>
                  <w:noWrap/>
                  <w:vAlign w:val="bottom"/>
                </w:tcPr>
                <w:p w14:paraId="3101BA2D"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李旋坤</w:t>
                  </w:r>
                </w:p>
              </w:tc>
              <w:tc>
                <w:tcPr>
                  <w:tcW w:w="900" w:type="dxa"/>
                  <w:tcBorders>
                    <w:top w:val="nil"/>
                    <w:left w:val="nil"/>
                    <w:bottom w:val="single" w:sz="4" w:space="0" w:color="auto"/>
                    <w:right w:val="single" w:sz="4" w:space="0" w:color="auto"/>
                  </w:tcBorders>
                  <w:shd w:val="clear" w:color="auto" w:fill="auto"/>
                  <w:noWrap/>
                  <w:vAlign w:val="center"/>
                </w:tcPr>
                <w:p w14:paraId="2A501E20"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23</w:t>
                  </w:r>
                </w:p>
              </w:tc>
              <w:tc>
                <w:tcPr>
                  <w:tcW w:w="1626" w:type="dxa"/>
                  <w:tcBorders>
                    <w:top w:val="nil"/>
                    <w:left w:val="nil"/>
                    <w:bottom w:val="single" w:sz="4" w:space="0" w:color="auto"/>
                    <w:right w:val="single" w:sz="4" w:space="0" w:color="auto"/>
                  </w:tcBorders>
                  <w:shd w:val="clear" w:color="auto" w:fill="auto"/>
                  <w:noWrap/>
                  <w:vAlign w:val="bottom"/>
                </w:tcPr>
                <w:p w14:paraId="5EA079EE"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个人投资者</w:t>
                  </w:r>
                </w:p>
              </w:tc>
              <w:tc>
                <w:tcPr>
                  <w:tcW w:w="1094" w:type="dxa"/>
                  <w:tcBorders>
                    <w:top w:val="nil"/>
                    <w:left w:val="nil"/>
                    <w:bottom w:val="single" w:sz="4" w:space="0" w:color="auto"/>
                    <w:right w:val="single" w:sz="4" w:space="0" w:color="auto"/>
                  </w:tcBorders>
                  <w:shd w:val="clear" w:color="auto" w:fill="auto"/>
                  <w:noWrap/>
                  <w:vAlign w:val="bottom"/>
                </w:tcPr>
                <w:p w14:paraId="4D72842A"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李伟楷</w:t>
                  </w:r>
                </w:p>
              </w:tc>
            </w:tr>
            <w:tr w:rsidR="00356A77" w14:paraId="04C52E8A" w14:textId="77777777">
              <w:trPr>
                <w:trHeight w:val="300"/>
              </w:trPr>
              <w:tc>
                <w:tcPr>
                  <w:tcW w:w="783" w:type="dxa"/>
                  <w:tcBorders>
                    <w:top w:val="nil"/>
                    <w:left w:val="single" w:sz="4" w:space="0" w:color="auto"/>
                    <w:bottom w:val="single" w:sz="4" w:space="0" w:color="auto"/>
                    <w:right w:val="single" w:sz="4" w:space="0" w:color="auto"/>
                  </w:tcBorders>
                  <w:shd w:val="clear" w:color="auto" w:fill="auto"/>
                  <w:noWrap/>
                  <w:vAlign w:val="center"/>
                </w:tcPr>
                <w:p w14:paraId="1F989D7B"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9</w:t>
                  </w:r>
                </w:p>
              </w:tc>
              <w:tc>
                <w:tcPr>
                  <w:tcW w:w="1537" w:type="dxa"/>
                  <w:tcBorders>
                    <w:top w:val="nil"/>
                    <w:left w:val="nil"/>
                    <w:bottom w:val="single" w:sz="4" w:space="0" w:color="auto"/>
                    <w:right w:val="single" w:sz="4" w:space="0" w:color="auto"/>
                  </w:tcBorders>
                  <w:shd w:val="clear" w:color="auto" w:fill="auto"/>
                  <w:noWrap/>
                  <w:vAlign w:val="bottom"/>
                </w:tcPr>
                <w:p w14:paraId="3CDE2F81"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华泰证券</w:t>
                  </w:r>
                </w:p>
              </w:tc>
              <w:tc>
                <w:tcPr>
                  <w:tcW w:w="1040" w:type="dxa"/>
                  <w:tcBorders>
                    <w:top w:val="nil"/>
                    <w:left w:val="nil"/>
                    <w:bottom w:val="single" w:sz="4" w:space="0" w:color="auto"/>
                    <w:right w:val="single" w:sz="4" w:space="0" w:color="auto"/>
                  </w:tcBorders>
                  <w:shd w:val="clear" w:color="auto" w:fill="auto"/>
                  <w:noWrap/>
                  <w:vAlign w:val="bottom"/>
                </w:tcPr>
                <w:p w14:paraId="32D14E11"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陈爽</w:t>
                  </w:r>
                </w:p>
              </w:tc>
              <w:tc>
                <w:tcPr>
                  <w:tcW w:w="900" w:type="dxa"/>
                  <w:tcBorders>
                    <w:top w:val="nil"/>
                    <w:left w:val="nil"/>
                    <w:bottom w:val="single" w:sz="4" w:space="0" w:color="auto"/>
                    <w:right w:val="single" w:sz="4" w:space="0" w:color="auto"/>
                  </w:tcBorders>
                  <w:shd w:val="clear" w:color="auto" w:fill="auto"/>
                  <w:noWrap/>
                  <w:vAlign w:val="center"/>
                </w:tcPr>
                <w:p w14:paraId="22ACB2BA"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24</w:t>
                  </w:r>
                </w:p>
              </w:tc>
              <w:tc>
                <w:tcPr>
                  <w:tcW w:w="1626" w:type="dxa"/>
                  <w:tcBorders>
                    <w:top w:val="nil"/>
                    <w:left w:val="nil"/>
                    <w:bottom w:val="single" w:sz="4" w:space="0" w:color="auto"/>
                    <w:right w:val="single" w:sz="4" w:space="0" w:color="auto"/>
                  </w:tcBorders>
                  <w:shd w:val="clear" w:color="auto" w:fill="auto"/>
                  <w:noWrap/>
                  <w:vAlign w:val="bottom"/>
                </w:tcPr>
                <w:p w14:paraId="56514729"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个人投资者</w:t>
                  </w:r>
                </w:p>
              </w:tc>
              <w:tc>
                <w:tcPr>
                  <w:tcW w:w="1094" w:type="dxa"/>
                  <w:tcBorders>
                    <w:top w:val="nil"/>
                    <w:left w:val="nil"/>
                    <w:bottom w:val="single" w:sz="4" w:space="0" w:color="auto"/>
                    <w:right w:val="single" w:sz="4" w:space="0" w:color="auto"/>
                  </w:tcBorders>
                  <w:shd w:val="clear" w:color="auto" w:fill="auto"/>
                  <w:noWrap/>
                  <w:vAlign w:val="bottom"/>
                </w:tcPr>
                <w:p w14:paraId="0723D593"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秦成初</w:t>
                  </w:r>
                </w:p>
              </w:tc>
            </w:tr>
            <w:tr w:rsidR="00356A77" w14:paraId="0D7517B8" w14:textId="77777777">
              <w:trPr>
                <w:trHeight w:val="300"/>
              </w:trPr>
              <w:tc>
                <w:tcPr>
                  <w:tcW w:w="783" w:type="dxa"/>
                  <w:tcBorders>
                    <w:top w:val="nil"/>
                    <w:left w:val="single" w:sz="4" w:space="0" w:color="auto"/>
                    <w:bottom w:val="single" w:sz="4" w:space="0" w:color="auto"/>
                    <w:right w:val="single" w:sz="4" w:space="0" w:color="auto"/>
                  </w:tcBorders>
                  <w:shd w:val="clear" w:color="auto" w:fill="auto"/>
                  <w:noWrap/>
                  <w:vAlign w:val="center"/>
                </w:tcPr>
                <w:p w14:paraId="1B971836"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10</w:t>
                  </w:r>
                </w:p>
              </w:tc>
              <w:tc>
                <w:tcPr>
                  <w:tcW w:w="1537" w:type="dxa"/>
                  <w:tcBorders>
                    <w:top w:val="nil"/>
                    <w:left w:val="nil"/>
                    <w:bottom w:val="single" w:sz="4" w:space="0" w:color="auto"/>
                    <w:right w:val="single" w:sz="4" w:space="0" w:color="auto"/>
                  </w:tcBorders>
                  <w:shd w:val="clear" w:color="auto" w:fill="auto"/>
                  <w:noWrap/>
                  <w:vAlign w:val="bottom"/>
                </w:tcPr>
                <w:p w14:paraId="0E888C50"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中信证券</w:t>
                  </w:r>
                </w:p>
              </w:tc>
              <w:tc>
                <w:tcPr>
                  <w:tcW w:w="1040" w:type="dxa"/>
                  <w:tcBorders>
                    <w:top w:val="nil"/>
                    <w:left w:val="nil"/>
                    <w:bottom w:val="single" w:sz="4" w:space="0" w:color="auto"/>
                    <w:right w:val="single" w:sz="4" w:space="0" w:color="auto"/>
                  </w:tcBorders>
                  <w:shd w:val="clear" w:color="auto" w:fill="auto"/>
                  <w:noWrap/>
                  <w:vAlign w:val="bottom"/>
                </w:tcPr>
                <w:p w14:paraId="277B917C"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王喆</w:t>
                  </w:r>
                </w:p>
              </w:tc>
              <w:tc>
                <w:tcPr>
                  <w:tcW w:w="900" w:type="dxa"/>
                  <w:tcBorders>
                    <w:top w:val="nil"/>
                    <w:left w:val="nil"/>
                    <w:bottom w:val="single" w:sz="4" w:space="0" w:color="auto"/>
                    <w:right w:val="single" w:sz="4" w:space="0" w:color="auto"/>
                  </w:tcBorders>
                  <w:shd w:val="clear" w:color="auto" w:fill="auto"/>
                  <w:noWrap/>
                  <w:vAlign w:val="center"/>
                </w:tcPr>
                <w:p w14:paraId="4A891345"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25</w:t>
                  </w:r>
                </w:p>
              </w:tc>
              <w:tc>
                <w:tcPr>
                  <w:tcW w:w="1626" w:type="dxa"/>
                  <w:tcBorders>
                    <w:top w:val="nil"/>
                    <w:left w:val="nil"/>
                    <w:bottom w:val="single" w:sz="4" w:space="0" w:color="auto"/>
                    <w:right w:val="single" w:sz="4" w:space="0" w:color="auto"/>
                  </w:tcBorders>
                  <w:shd w:val="clear" w:color="auto" w:fill="auto"/>
                  <w:noWrap/>
                  <w:vAlign w:val="bottom"/>
                </w:tcPr>
                <w:p w14:paraId="07B51403"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个人投资者</w:t>
                  </w:r>
                </w:p>
              </w:tc>
              <w:tc>
                <w:tcPr>
                  <w:tcW w:w="1094" w:type="dxa"/>
                  <w:tcBorders>
                    <w:top w:val="nil"/>
                    <w:left w:val="nil"/>
                    <w:bottom w:val="single" w:sz="4" w:space="0" w:color="auto"/>
                    <w:right w:val="single" w:sz="4" w:space="0" w:color="auto"/>
                  </w:tcBorders>
                  <w:shd w:val="clear" w:color="auto" w:fill="auto"/>
                  <w:noWrap/>
                  <w:vAlign w:val="bottom"/>
                </w:tcPr>
                <w:p w14:paraId="48CD77AE"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吕超</w:t>
                  </w:r>
                </w:p>
              </w:tc>
            </w:tr>
            <w:tr w:rsidR="00356A77" w14:paraId="3A55A221" w14:textId="77777777">
              <w:trPr>
                <w:trHeight w:val="300"/>
              </w:trPr>
              <w:tc>
                <w:tcPr>
                  <w:tcW w:w="783" w:type="dxa"/>
                  <w:tcBorders>
                    <w:top w:val="nil"/>
                    <w:left w:val="single" w:sz="4" w:space="0" w:color="auto"/>
                    <w:bottom w:val="single" w:sz="4" w:space="0" w:color="auto"/>
                    <w:right w:val="single" w:sz="4" w:space="0" w:color="auto"/>
                  </w:tcBorders>
                  <w:shd w:val="clear" w:color="auto" w:fill="auto"/>
                  <w:noWrap/>
                  <w:vAlign w:val="center"/>
                </w:tcPr>
                <w:p w14:paraId="601BA896"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11</w:t>
                  </w:r>
                </w:p>
              </w:tc>
              <w:tc>
                <w:tcPr>
                  <w:tcW w:w="1537" w:type="dxa"/>
                  <w:tcBorders>
                    <w:top w:val="nil"/>
                    <w:left w:val="nil"/>
                    <w:bottom w:val="single" w:sz="4" w:space="0" w:color="auto"/>
                    <w:right w:val="single" w:sz="4" w:space="0" w:color="auto"/>
                  </w:tcBorders>
                  <w:shd w:val="clear" w:color="auto" w:fill="auto"/>
                  <w:noWrap/>
                  <w:vAlign w:val="bottom"/>
                </w:tcPr>
                <w:p w14:paraId="201F6BEB"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中信证券</w:t>
                  </w:r>
                </w:p>
              </w:tc>
              <w:tc>
                <w:tcPr>
                  <w:tcW w:w="1040" w:type="dxa"/>
                  <w:tcBorders>
                    <w:top w:val="nil"/>
                    <w:left w:val="nil"/>
                    <w:bottom w:val="single" w:sz="4" w:space="0" w:color="auto"/>
                    <w:right w:val="single" w:sz="4" w:space="0" w:color="auto"/>
                  </w:tcBorders>
                  <w:shd w:val="clear" w:color="auto" w:fill="auto"/>
                  <w:noWrap/>
                  <w:vAlign w:val="bottom"/>
                </w:tcPr>
                <w:p w14:paraId="707BDFA6"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赵宇航</w:t>
                  </w:r>
                </w:p>
              </w:tc>
              <w:tc>
                <w:tcPr>
                  <w:tcW w:w="900" w:type="dxa"/>
                  <w:tcBorders>
                    <w:top w:val="nil"/>
                    <w:left w:val="nil"/>
                    <w:bottom w:val="single" w:sz="4" w:space="0" w:color="auto"/>
                    <w:right w:val="single" w:sz="4" w:space="0" w:color="auto"/>
                  </w:tcBorders>
                  <w:shd w:val="clear" w:color="auto" w:fill="auto"/>
                  <w:noWrap/>
                  <w:vAlign w:val="center"/>
                </w:tcPr>
                <w:p w14:paraId="5B3FD5DE"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26</w:t>
                  </w:r>
                </w:p>
              </w:tc>
              <w:tc>
                <w:tcPr>
                  <w:tcW w:w="1626" w:type="dxa"/>
                  <w:tcBorders>
                    <w:top w:val="nil"/>
                    <w:left w:val="nil"/>
                    <w:bottom w:val="single" w:sz="4" w:space="0" w:color="auto"/>
                    <w:right w:val="single" w:sz="4" w:space="0" w:color="auto"/>
                  </w:tcBorders>
                  <w:shd w:val="clear" w:color="auto" w:fill="auto"/>
                  <w:noWrap/>
                  <w:vAlign w:val="bottom"/>
                </w:tcPr>
                <w:p w14:paraId="3AFC9B83"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个人投资者</w:t>
                  </w:r>
                </w:p>
              </w:tc>
              <w:tc>
                <w:tcPr>
                  <w:tcW w:w="1094" w:type="dxa"/>
                  <w:tcBorders>
                    <w:top w:val="nil"/>
                    <w:left w:val="nil"/>
                    <w:bottom w:val="single" w:sz="4" w:space="0" w:color="auto"/>
                    <w:right w:val="single" w:sz="4" w:space="0" w:color="auto"/>
                  </w:tcBorders>
                  <w:shd w:val="clear" w:color="auto" w:fill="auto"/>
                  <w:noWrap/>
                  <w:vAlign w:val="bottom"/>
                </w:tcPr>
                <w:p w14:paraId="07E6BFB8"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何慈榕</w:t>
                  </w:r>
                </w:p>
              </w:tc>
            </w:tr>
            <w:tr w:rsidR="00356A77" w14:paraId="2F2704F8" w14:textId="77777777">
              <w:trPr>
                <w:trHeight w:val="300"/>
              </w:trPr>
              <w:tc>
                <w:tcPr>
                  <w:tcW w:w="783" w:type="dxa"/>
                  <w:tcBorders>
                    <w:top w:val="nil"/>
                    <w:left w:val="single" w:sz="4" w:space="0" w:color="auto"/>
                    <w:bottom w:val="single" w:sz="4" w:space="0" w:color="auto"/>
                    <w:right w:val="single" w:sz="4" w:space="0" w:color="auto"/>
                  </w:tcBorders>
                  <w:shd w:val="clear" w:color="auto" w:fill="auto"/>
                  <w:noWrap/>
                  <w:vAlign w:val="center"/>
                </w:tcPr>
                <w:p w14:paraId="02398CE1"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12</w:t>
                  </w:r>
                </w:p>
              </w:tc>
              <w:tc>
                <w:tcPr>
                  <w:tcW w:w="1537" w:type="dxa"/>
                  <w:tcBorders>
                    <w:top w:val="nil"/>
                    <w:left w:val="nil"/>
                    <w:bottom w:val="single" w:sz="4" w:space="0" w:color="auto"/>
                    <w:right w:val="single" w:sz="4" w:space="0" w:color="auto"/>
                  </w:tcBorders>
                  <w:shd w:val="clear" w:color="auto" w:fill="auto"/>
                  <w:noWrap/>
                  <w:vAlign w:val="bottom"/>
                </w:tcPr>
                <w:p w14:paraId="74DE52C0"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汇添富基金</w:t>
                  </w:r>
                </w:p>
              </w:tc>
              <w:tc>
                <w:tcPr>
                  <w:tcW w:w="1040" w:type="dxa"/>
                  <w:tcBorders>
                    <w:top w:val="nil"/>
                    <w:left w:val="nil"/>
                    <w:bottom w:val="single" w:sz="4" w:space="0" w:color="auto"/>
                    <w:right w:val="single" w:sz="4" w:space="0" w:color="auto"/>
                  </w:tcBorders>
                  <w:shd w:val="clear" w:color="auto" w:fill="auto"/>
                  <w:noWrap/>
                  <w:vAlign w:val="bottom"/>
                </w:tcPr>
                <w:p w14:paraId="101986BE"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刘高晓</w:t>
                  </w:r>
                </w:p>
              </w:tc>
              <w:tc>
                <w:tcPr>
                  <w:tcW w:w="900" w:type="dxa"/>
                  <w:tcBorders>
                    <w:top w:val="nil"/>
                    <w:left w:val="nil"/>
                    <w:bottom w:val="single" w:sz="4" w:space="0" w:color="auto"/>
                    <w:right w:val="single" w:sz="4" w:space="0" w:color="auto"/>
                  </w:tcBorders>
                  <w:shd w:val="clear" w:color="auto" w:fill="auto"/>
                  <w:noWrap/>
                  <w:vAlign w:val="center"/>
                </w:tcPr>
                <w:p w14:paraId="3E52DC4C"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27</w:t>
                  </w:r>
                </w:p>
              </w:tc>
              <w:tc>
                <w:tcPr>
                  <w:tcW w:w="1626" w:type="dxa"/>
                  <w:tcBorders>
                    <w:top w:val="nil"/>
                    <w:left w:val="nil"/>
                    <w:bottom w:val="single" w:sz="4" w:space="0" w:color="auto"/>
                    <w:right w:val="single" w:sz="4" w:space="0" w:color="auto"/>
                  </w:tcBorders>
                  <w:shd w:val="clear" w:color="auto" w:fill="auto"/>
                  <w:noWrap/>
                  <w:vAlign w:val="bottom"/>
                </w:tcPr>
                <w:p w14:paraId="0BDA2F12"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个人投资者</w:t>
                  </w:r>
                </w:p>
              </w:tc>
              <w:tc>
                <w:tcPr>
                  <w:tcW w:w="1094" w:type="dxa"/>
                  <w:tcBorders>
                    <w:top w:val="nil"/>
                    <w:left w:val="nil"/>
                    <w:bottom w:val="single" w:sz="4" w:space="0" w:color="auto"/>
                    <w:right w:val="single" w:sz="4" w:space="0" w:color="auto"/>
                  </w:tcBorders>
                  <w:shd w:val="clear" w:color="auto" w:fill="auto"/>
                  <w:noWrap/>
                  <w:vAlign w:val="bottom"/>
                </w:tcPr>
                <w:p w14:paraId="4C4C88C0"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李晓丽</w:t>
                  </w:r>
                </w:p>
              </w:tc>
            </w:tr>
            <w:tr w:rsidR="00356A77" w14:paraId="7AD6C17B" w14:textId="77777777">
              <w:trPr>
                <w:trHeight w:val="300"/>
              </w:trPr>
              <w:tc>
                <w:tcPr>
                  <w:tcW w:w="783" w:type="dxa"/>
                  <w:tcBorders>
                    <w:top w:val="nil"/>
                    <w:left w:val="single" w:sz="4" w:space="0" w:color="auto"/>
                    <w:bottom w:val="single" w:sz="4" w:space="0" w:color="auto"/>
                    <w:right w:val="single" w:sz="4" w:space="0" w:color="auto"/>
                  </w:tcBorders>
                  <w:shd w:val="clear" w:color="auto" w:fill="auto"/>
                  <w:noWrap/>
                  <w:vAlign w:val="center"/>
                </w:tcPr>
                <w:p w14:paraId="06F6620F"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13</w:t>
                  </w:r>
                </w:p>
              </w:tc>
              <w:tc>
                <w:tcPr>
                  <w:tcW w:w="1537" w:type="dxa"/>
                  <w:tcBorders>
                    <w:top w:val="nil"/>
                    <w:left w:val="nil"/>
                    <w:bottom w:val="single" w:sz="4" w:space="0" w:color="auto"/>
                    <w:right w:val="single" w:sz="4" w:space="0" w:color="auto"/>
                  </w:tcBorders>
                  <w:shd w:val="clear" w:color="auto" w:fill="auto"/>
                  <w:noWrap/>
                  <w:vAlign w:val="bottom"/>
                </w:tcPr>
                <w:p w14:paraId="351C8343"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汇添富基金</w:t>
                  </w:r>
                </w:p>
              </w:tc>
              <w:tc>
                <w:tcPr>
                  <w:tcW w:w="1040" w:type="dxa"/>
                  <w:tcBorders>
                    <w:top w:val="nil"/>
                    <w:left w:val="nil"/>
                    <w:bottom w:val="single" w:sz="4" w:space="0" w:color="auto"/>
                    <w:right w:val="single" w:sz="4" w:space="0" w:color="auto"/>
                  </w:tcBorders>
                  <w:shd w:val="clear" w:color="auto" w:fill="auto"/>
                  <w:noWrap/>
                  <w:vAlign w:val="bottom"/>
                </w:tcPr>
                <w:p w14:paraId="21E46274"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高田昊</w:t>
                  </w:r>
                </w:p>
              </w:tc>
              <w:tc>
                <w:tcPr>
                  <w:tcW w:w="900" w:type="dxa"/>
                  <w:tcBorders>
                    <w:top w:val="nil"/>
                    <w:left w:val="nil"/>
                    <w:bottom w:val="single" w:sz="4" w:space="0" w:color="auto"/>
                    <w:right w:val="single" w:sz="4" w:space="0" w:color="auto"/>
                  </w:tcBorders>
                  <w:shd w:val="clear" w:color="auto" w:fill="auto"/>
                  <w:noWrap/>
                  <w:vAlign w:val="center"/>
                </w:tcPr>
                <w:p w14:paraId="51A1D00F"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28</w:t>
                  </w:r>
                </w:p>
              </w:tc>
              <w:tc>
                <w:tcPr>
                  <w:tcW w:w="1626" w:type="dxa"/>
                  <w:tcBorders>
                    <w:top w:val="nil"/>
                    <w:left w:val="nil"/>
                    <w:bottom w:val="single" w:sz="4" w:space="0" w:color="auto"/>
                    <w:right w:val="single" w:sz="4" w:space="0" w:color="auto"/>
                  </w:tcBorders>
                  <w:shd w:val="clear" w:color="auto" w:fill="auto"/>
                  <w:noWrap/>
                  <w:vAlign w:val="bottom"/>
                </w:tcPr>
                <w:p w14:paraId="47B7BA12"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个人投资者</w:t>
                  </w:r>
                </w:p>
              </w:tc>
              <w:tc>
                <w:tcPr>
                  <w:tcW w:w="1094" w:type="dxa"/>
                  <w:tcBorders>
                    <w:top w:val="nil"/>
                    <w:left w:val="nil"/>
                    <w:bottom w:val="single" w:sz="4" w:space="0" w:color="auto"/>
                    <w:right w:val="single" w:sz="4" w:space="0" w:color="auto"/>
                  </w:tcBorders>
                  <w:shd w:val="clear" w:color="auto" w:fill="auto"/>
                  <w:noWrap/>
                  <w:vAlign w:val="bottom"/>
                </w:tcPr>
                <w:p w14:paraId="6E6A3095"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周重阳</w:t>
                  </w:r>
                </w:p>
              </w:tc>
            </w:tr>
            <w:tr w:rsidR="00356A77" w14:paraId="1AD19B1B" w14:textId="77777777">
              <w:trPr>
                <w:trHeight w:val="300"/>
              </w:trPr>
              <w:tc>
                <w:tcPr>
                  <w:tcW w:w="783" w:type="dxa"/>
                  <w:tcBorders>
                    <w:top w:val="nil"/>
                    <w:left w:val="single" w:sz="4" w:space="0" w:color="auto"/>
                    <w:bottom w:val="single" w:sz="4" w:space="0" w:color="auto"/>
                    <w:right w:val="single" w:sz="4" w:space="0" w:color="auto"/>
                  </w:tcBorders>
                  <w:shd w:val="clear" w:color="auto" w:fill="auto"/>
                  <w:noWrap/>
                  <w:vAlign w:val="center"/>
                </w:tcPr>
                <w:p w14:paraId="1BC9878B"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14</w:t>
                  </w:r>
                </w:p>
              </w:tc>
              <w:tc>
                <w:tcPr>
                  <w:tcW w:w="1537" w:type="dxa"/>
                  <w:tcBorders>
                    <w:top w:val="nil"/>
                    <w:left w:val="nil"/>
                    <w:bottom w:val="single" w:sz="4" w:space="0" w:color="auto"/>
                    <w:right w:val="single" w:sz="4" w:space="0" w:color="auto"/>
                  </w:tcBorders>
                  <w:shd w:val="clear" w:color="auto" w:fill="auto"/>
                  <w:noWrap/>
                  <w:vAlign w:val="bottom"/>
                </w:tcPr>
                <w:p w14:paraId="1D619CB7"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中信建投证券</w:t>
                  </w:r>
                </w:p>
              </w:tc>
              <w:tc>
                <w:tcPr>
                  <w:tcW w:w="1040" w:type="dxa"/>
                  <w:tcBorders>
                    <w:top w:val="nil"/>
                    <w:left w:val="nil"/>
                    <w:bottom w:val="single" w:sz="4" w:space="0" w:color="auto"/>
                    <w:right w:val="single" w:sz="4" w:space="0" w:color="auto"/>
                  </w:tcBorders>
                  <w:shd w:val="clear" w:color="auto" w:fill="auto"/>
                  <w:noWrap/>
                  <w:vAlign w:val="bottom"/>
                </w:tcPr>
                <w:p w14:paraId="44C5DB51"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卜禹铭</w:t>
                  </w:r>
                </w:p>
              </w:tc>
              <w:tc>
                <w:tcPr>
                  <w:tcW w:w="900" w:type="dxa"/>
                  <w:tcBorders>
                    <w:top w:val="nil"/>
                    <w:left w:val="nil"/>
                    <w:bottom w:val="single" w:sz="4" w:space="0" w:color="auto"/>
                    <w:right w:val="single" w:sz="4" w:space="0" w:color="auto"/>
                  </w:tcBorders>
                  <w:shd w:val="clear" w:color="auto" w:fill="auto"/>
                  <w:noWrap/>
                  <w:vAlign w:val="center"/>
                </w:tcPr>
                <w:p w14:paraId="757B8D29"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29</w:t>
                  </w:r>
                </w:p>
              </w:tc>
              <w:tc>
                <w:tcPr>
                  <w:tcW w:w="1626" w:type="dxa"/>
                  <w:tcBorders>
                    <w:top w:val="nil"/>
                    <w:left w:val="nil"/>
                    <w:bottom w:val="single" w:sz="4" w:space="0" w:color="auto"/>
                    <w:right w:val="single" w:sz="4" w:space="0" w:color="auto"/>
                  </w:tcBorders>
                  <w:shd w:val="clear" w:color="auto" w:fill="auto"/>
                  <w:noWrap/>
                  <w:vAlign w:val="bottom"/>
                </w:tcPr>
                <w:p w14:paraId="1FE35CD3"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个人投资者</w:t>
                  </w:r>
                </w:p>
              </w:tc>
              <w:tc>
                <w:tcPr>
                  <w:tcW w:w="1094" w:type="dxa"/>
                  <w:tcBorders>
                    <w:top w:val="nil"/>
                    <w:left w:val="nil"/>
                    <w:bottom w:val="single" w:sz="4" w:space="0" w:color="auto"/>
                    <w:right w:val="single" w:sz="4" w:space="0" w:color="auto"/>
                  </w:tcBorders>
                  <w:shd w:val="clear" w:color="auto" w:fill="auto"/>
                  <w:noWrap/>
                  <w:vAlign w:val="bottom"/>
                </w:tcPr>
                <w:p w14:paraId="706CD91A"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彭均</w:t>
                  </w:r>
                </w:p>
              </w:tc>
            </w:tr>
            <w:tr w:rsidR="00356A77" w14:paraId="41618572" w14:textId="77777777">
              <w:trPr>
                <w:trHeight w:val="300"/>
              </w:trPr>
              <w:tc>
                <w:tcPr>
                  <w:tcW w:w="783" w:type="dxa"/>
                  <w:tcBorders>
                    <w:top w:val="nil"/>
                    <w:left w:val="single" w:sz="4" w:space="0" w:color="auto"/>
                    <w:bottom w:val="single" w:sz="4" w:space="0" w:color="auto"/>
                    <w:right w:val="single" w:sz="4" w:space="0" w:color="auto"/>
                  </w:tcBorders>
                  <w:shd w:val="clear" w:color="auto" w:fill="auto"/>
                  <w:noWrap/>
                  <w:vAlign w:val="center"/>
                </w:tcPr>
                <w:p w14:paraId="76381A92" w14:textId="77777777" w:rsidR="00356A77" w:rsidRDefault="005F3508">
                  <w:pPr>
                    <w:widowControl/>
                    <w:autoSpaceDE/>
                    <w:autoSpaceDN/>
                    <w:jc w:val="center"/>
                    <w:rPr>
                      <w:rFonts w:ascii="Times New Roman" w:eastAsia="宋体" w:hAnsi="Times New Roman" w:cs="Times New Roman"/>
                      <w:sz w:val="24"/>
                      <w:szCs w:val="24"/>
                      <w:lang w:val="en-US" w:bidi="ar-SA"/>
                    </w:rPr>
                  </w:pPr>
                  <w:r>
                    <w:rPr>
                      <w:rFonts w:ascii="Times New Roman" w:eastAsia="宋体" w:hAnsi="Times New Roman" w:cs="Times New Roman"/>
                      <w:sz w:val="24"/>
                      <w:szCs w:val="24"/>
                      <w:lang w:val="en-US" w:bidi="ar-SA"/>
                    </w:rPr>
                    <w:t>15</w:t>
                  </w:r>
                </w:p>
              </w:tc>
              <w:tc>
                <w:tcPr>
                  <w:tcW w:w="1537" w:type="dxa"/>
                  <w:tcBorders>
                    <w:top w:val="nil"/>
                    <w:left w:val="nil"/>
                    <w:bottom w:val="single" w:sz="4" w:space="0" w:color="auto"/>
                    <w:right w:val="single" w:sz="4" w:space="0" w:color="auto"/>
                  </w:tcBorders>
                  <w:shd w:val="clear" w:color="auto" w:fill="auto"/>
                  <w:noWrap/>
                  <w:vAlign w:val="bottom"/>
                </w:tcPr>
                <w:p w14:paraId="616042FB"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中信建投证券</w:t>
                  </w:r>
                </w:p>
              </w:tc>
              <w:tc>
                <w:tcPr>
                  <w:tcW w:w="1040" w:type="dxa"/>
                  <w:tcBorders>
                    <w:top w:val="nil"/>
                    <w:left w:val="nil"/>
                    <w:bottom w:val="single" w:sz="4" w:space="0" w:color="auto"/>
                    <w:right w:val="single" w:sz="4" w:space="0" w:color="auto"/>
                  </w:tcBorders>
                  <w:shd w:val="clear" w:color="auto" w:fill="auto"/>
                  <w:noWrap/>
                  <w:vAlign w:val="bottom"/>
                </w:tcPr>
                <w:p w14:paraId="44F67F69" w14:textId="77777777" w:rsidR="00356A77" w:rsidRDefault="005F3508">
                  <w:pPr>
                    <w:widowControl/>
                    <w:autoSpaceDE/>
                    <w:autoSpaceDN/>
                    <w:jc w:val="center"/>
                    <w:rPr>
                      <w:rFonts w:ascii="Times New Roman" w:eastAsia="宋体" w:hAnsi="Times New Roman" w:cs="Times New Roman"/>
                      <w:lang w:val="en-US" w:bidi="ar-SA"/>
                    </w:rPr>
                  </w:pPr>
                  <w:r>
                    <w:rPr>
                      <w:rFonts w:ascii="Times New Roman" w:eastAsia="宋体" w:hAnsi="Times New Roman" w:cs="Times New Roman"/>
                      <w:lang w:val="en-US" w:bidi="ar-SA"/>
                    </w:rPr>
                    <w:t>张耀成</w:t>
                  </w:r>
                </w:p>
              </w:tc>
              <w:tc>
                <w:tcPr>
                  <w:tcW w:w="900" w:type="dxa"/>
                  <w:tcBorders>
                    <w:top w:val="nil"/>
                    <w:left w:val="nil"/>
                    <w:bottom w:val="single" w:sz="4" w:space="0" w:color="auto"/>
                    <w:right w:val="single" w:sz="4" w:space="0" w:color="auto"/>
                  </w:tcBorders>
                  <w:shd w:val="clear" w:color="auto" w:fill="auto"/>
                  <w:noWrap/>
                  <w:vAlign w:val="bottom"/>
                </w:tcPr>
                <w:p w14:paraId="3F82AC05" w14:textId="77777777" w:rsidR="00356A77" w:rsidRDefault="00356A77">
                  <w:pPr>
                    <w:widowControl/>
                    <w:autoSpaceDE/>
                    <w:autoSpaceDN/>
                    <w:jc w:val="center"/>
                    <w:rPr>
                      <w:rFonts w:ascii="Times New Roman" w:eastAsia="宋体" w:hAnsi="Times New Roman" w:cs="Times New Roman"/>
                      <w:lang w:val="en-US" w:bidi="ar-SA"/>
                    </w:rPr>
                  </w:pPr>
                </w:p>
              </w:tc>
              <w:tc>
                <w:tcPr>
                  <w:tcW w:w="1626" w:type="dxa"/>
                  <w:tcBorders>
                    <w:top w:val="nil"/>
                    <w:left w:val="nil"/>
                    <w:bottom w:val="single" w:sz="4" w:space="0" w:color="auto"/>
                    <w:right w:val="single" w:sz="4" w:space="0" w:color="auto"/>
                  </w:tcBorders>
                  <w:shd w:val="clear" w:color="auto" w:fill="auto"/>
                  <w:noWrap/>
                  <w:vAlign w:val="bottom"/>
                </w:tcPr>
                <w:p w14:paraId="130E2398" w14:textId="77777777" w:rsidR="00356A77" w:rsidRDefault="00356A77">
                  <w:pPr>
                    <w:widowControl/>
                    <w:autoSpaceDE/>
                    <w:autoSpaceDN/>
                    <w:jc w:val="center"/>
                    <w:rPr>
                      <w:rFonts w:ascii="Times New Roman" w:eastAsia="宋体" w:hAnsi="Times New Roman" w:cs="Times New Roman"/>
                      <w:lang w:val="en-US" w:bidi="ar-SA"/>
                    </w:rPr>
                  </w:pPr>
                </w:p>
              </w:tc>
              <w:tc>
                <w:tcPr>
                  <w:tcW w:w="1094" w:type="dxa"/>
                  <w:tcBorders>
                    <w:top w:val="nil"/>
                    <w:left w:val="nil"/>
                    <w:bottom w:val="single" w:sz="4" w:space="0" w:color="auto"/>
                    <w:right w:val="single" w:sz="4" w:space="0" w:color="auto"/>
                  </w:tcBorders>
                  <w:shd w:val="clear" w:color="auto" w:fill="auto"/>
                  <w:noWrap/>
                  <w:vAlign w:val="bottom"/>
                </w:tcPr>
                <w:p w14:paraId="207847A7" w14:textId="77777777" w:rsidR="00356A77" w:rsidRDefault="00356A77">
                  <w:pPr>
                    <w:widowControl/>
                    <w:autoSpaceDE/>
                    <w:autoSpaceDN/>
                    <w:jc w:val="center"/>
                    <w:rPr>
                      <w:rFonts w:ascii="Times New Roman" w:eastAsia="宋体" w:hAnsi="Times New Roman" w:cs="Times New Roman"/>
                      <w:lang w:val="en-US" w:bidi="ar-SA"/>
                    </w:rPr>
                  </w:pPr>
                </w:p>
              </w:tc>
            </w:tr>
          </w:tbl>
          <w:p w14:paraId="2C689F5D" w14:textId="77777777" w:rsidR="00356A77" w:rsidRDefault="00356A77">
            <w:pPr>
              <w:pStyle w:val="TableParagraph"/>
              <w:spacing w:line="240" w:lineRule="auto"/>
              <w:ind w:firstLineChars="0" w:firstLine="0"/>
              <w:rPr>
                <w:rFonts w:ascii="Times New Roman" w:hAnsi="Times New Roman" w:cs="Times New Roman"/>
                <w:b w:val="0"/>
                <w:sz w:val="24"/>
                <w:szCs w:val="24"/>
              </w:rPr>
            </w:pPr>
          </w:p>
        </w:tc>
      </w:tr>
    </w:tbl>
    <w:p w14:paraId="4B284451" w14:textId="77777777" w:rsidR="00356A77" w:rsidRDefault="00356A77">
      <w:pPr>
        <w:spacing w:beforeLines="50" w:before="120" w:line="360" w:lineRule="auto"/>
        <w:rPr>
          <w:rFonts w:ascii="宋体" w:eastAsia="宋体" w:hAnsi="宋体" w:cs="宋体"/>
          <w:color w:val="000000" w:themeColor="text1"/>
          <w:sz w:val="20"/>
        </w:rPr>
      </w:pPr>
    </w:p>
    <w:sectPr w:rsidR="00356A77">
      <w:footerReference w:type="default" r:id="rId7"/>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4077C" w14:textId="77777777" w:rsidR="00866F9C" w:rsidRDefault="00866F9C">
      <w:r>
        <w:separator/>
      </w:r>
    </w:p>
  </w:endnote>
  <w:endnote w:type="continuationSeparator" w:id="0">
    <w:p w14:paraId="04E88B83" w14:textId="77777777" w:rsidR="00866F9C" w:rsidRDefault="0086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688960"/>
    </w:sdtPr>
    <w:sdtEndPr/>
    <w:sdtContent>
      <w:sdt>
        <w:sdtPr>
          <w:id w:val="1728636285"/>
        </w:sdtPr>
        <w:sdtEndPr/>
        <w:sdtContent>
          <w:p w14:paraId="1AE690BD" w14:textId="21D0B748" w:rsidR="00356A77" w:rsidRDefault="005F3508">
            <w:pPr>
              <w:pStyle w:val="a9"/>
              <w:jc w:val="center"/>
            </w:pPr>
            <w:r>
              <w:t xml:space="preserve"> </w:t>
            </w:r>
            <w:r>
              <w:rPr>
                <w:b/>
                <w:bCs/>
                <w:sz w:val="24"/>
                <w:szCs w:val="24"/>
              </w:rPr>
              <w:fldChar w:fldCharType="begin"/>
            </w:r>
            <w:r>
              <w:rPr>
                <w:b/>
                <w:bCs/>
              </w:rPr>
              <w:instrText>PAGE</w:instrText>
            </w:r>
            <w:r>
              <w:rPr>
                <w:b/>
                <w:bCs/>
                <w:sz w:val="24"/>
                <w:szCs w:val="24"/>
              </w:rPr>
              <w:fldChar w:fldCharType="separate"/>
            </w:r>
            <w:r w:rsidR="00866F9C">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66F9C">
              <w:rPr>
                <w:b/>
                <w:bCs/>
                <w:noProof/>
              </w:rPr>
              <w:t>1</w:t>
            </w:r>
            <w:r>
              <w:rPr>
                <w:b/>
                <w:bCs/>
                <w:sz w:val="24"/>
                <w:szCs w:val="24"/>
              </w:rPr>
              <w:fldChar w:fldCharType="end"/>
            </w:r>
          </w:p>
        </w:sdtContent>
      </w:sdt>
    </w:sdtContent>
  </w:sdt>
  <w:p w14:paraId="6169CAD0" w14:textId="77777777" w:rsidR="00356A77" w:rsidRDefault="00356A7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BDA55" w14:textId="77777777" w:rsidR="00866F9C" w:rsidRDefault="00866F9C">
      <w:r>
        <w:separator/>
      </w:r>
    </w:p>
  </w:footnote>
  <w:footnote w:type="continuationSeparator" w:id="0">
    <w:p w14:paraId="410B498F" w14:textId="77777777" w:rsidR="00866F9C" w:rsidRDefault="00866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1YTZjNTZkZWVlYjQyNDg3MTIxZmE5N2ViNGM5ZmQifQ=="/>
  </w:docVars>
  <w:rsids>
    <w:rsidRoot w:val="00301D32"/>
    <w:rsid w:val="00001C36"/>
    <w:rsid w:val="000031FF"/>
    <w:rsid w:val="00005FDF"/>
    <w:rsid w:val="000110A5"/>
    <w:rsid w:val="00015683"/>
    <w:rsid w:val="00016EFA"/>
    <w:rsid w:val="0002579A"/>
    <w:rsid w:val="00026CC3"/>
    <w:rsid w:val="00030733"/>
    <w:rsid w:val="00033BA4"/>
    <w:rsid w:val="00034192"/>
    <w:rsid w:val="00036089"/>
    <w:rsid w:val="00046DBD"/>
    <w:rsid w:val="000473E5"/>
    <w:rsid w:val="00050D42"/>
    <w:rsid w:val="00050E81"/>
    <w:rsid w:val="00051504"/>
    <w:rsid w:val="00051995"/>
    <w:rsid w:val="00053129"/>
    <w:rsid w:val="00053CFA"/>
    <w:rsid w:val="000548CE"/>
    <w:rsid w:val="00057003"/>
    <w:rsid w:val="000629F1"/>
    <w:rsid w:val="000633EC"/>
    <w:rsid w:val="00063804"/>
    <w:rsid w:val="00065536"/>
    <w:rsid w:val="000665A2"/>
    <w:rsid w:val="0006761B"/>
    <w:rsid w:val="00070037"/>
    <w:rsid w:val="00070A21"/>
    <w:rsid w:val="000724CE"/>
    <w:rsid w:val="00077C57"/>
    <w:rsid w:val="000809FC"/>
    <w:rsid w:val="00081187"/>
    <w:rsid w:val="00084F59"/>
    <w:rsid w:val="000861AC"/>
    <w:rsid w:val="000877AB"/>
    <w:rsid w:val="00092ED6"/>
    <w:rsid w:val="00093D17"/>
    <w:rsid w:val="000A049A"/>
    <w:rsid w:val="000A4B85"/>
    <w:rsid w:val="000A5464"/>
    <w:rsid w:val="000A5F76"/>
    <w:rsid w:val="000B0BE7"/>
    <w:rsid w:val="000B4C21"/>
    <w:rsid w:val="000B6628"/>
    <w:rsid w:val="000B7C08"/>
    <w:rsid w:val="000C0EB6"/>
    <w:rsid w:val="000C0F33"/>
    <w:rsid w:val="000C1DC4"/>
    <w:rsid w:val="000C564C"/>
    <w:rsid w:val="000D12CF"/>
    <w:rsid w:val="000D2C64"/>
    <w:rsid w:val="000D2D88"/>
    <w:rsid w:val="000D4BCA"/>
    <w:rsid w:val="000D4E20"/>
    <w:rsid w:val="000D704A"/>
    <w:rsid w:val="000D7617"/>
    <w:rsid w:val="000E0774"/>
    <w:rsid w:val="000E117A"/>
    <w:rsid w:val="000E3437"/>
    <w:rsid w:val="000E448A"/>
    <w:rsid w:val="000E4B20"/>
    <w:rsid w:val="000E6DCF"/>
    <w:rsid w:val="001025FF"/>
    <w:rsid w:val="001057BB"/>
    <w:rsid w:val="0010640F"/>
    <w:rsid w:val="0010711D"/>
    <w:rsid w:val="00111026"/>
    <w:rsid w:val="00111248"/>
    <w:rsid w:val="0011178B"/>
    <w:rsid w:val="00111BDB"/>
    <w:rsid w:val="00111EE9"/>
    <w:rsid w:val="00113A52"/>
    <w:rsid w:val="0011418F"/>
    <w:rsid w:val="00115A83"/>
    <w:rsid w:val="00116C15"/>
    <w:rsid w:val="00121418"/>
    <w:rsid w:val="001226A8"/>
    <w:rsid w:val="00124A42"/>
    <w:rsid w:val="00124F99"/>
    <w:rsid w:val="00125132"/>
    <w:rsid w:val="001312CC"/>
    <w:rsid w:val="00131ECB"/>
    <w:rsid w:val="001347F8"/>
    <w:rsid w:val="001409A7"/>
    <w:rsid w:val="001477B8"/>
    <w:rsid w:val="001530C0"/>
    <w:rsid w:val="00153CCD"/>
    <w:rsid w:val="001542AC"/>
    <w:rsid w:val="00155820"/>
    <w:rsid w:val="001602DA"/>
    <w:rsid w:val="0016200F"/>
    <w:rsid w:val="0016380B"/>
    <w:rsid w:val="0016438A"/>
    <w:rsid w:val="001652A2"/>
    <w:rsid w:val="00165EBC"/>
    <w:rsid w:val="00171EEB"/>
    <w:rsid w:val="00172270"/>
    <w:rsid w:val="001723B7"/>
    <w:rsid w:val="00172C24"/>
    <w:rsid w:val="001840D2"/>
    <w:rsid w:val="00190C40"/>
    <w:rsid w:val="001933EC"/>
    <w:rsid w:val="00196BE8"/>
    <w:rsid w:val="00197867"/>
    <w:rsid w:val="001A5C17"/>
    <w:rsid w:val="001A6688"/>
    <w:rsid w:val="001A6C6A"/>
    <w:rsid w:val="001B01D8"/>
    <w:rsid w:val="001B0277"/>
    <w:rsid w:val="001B0D11"/>
    <w:rsid w:val="001B0ED7"/>
    <w:rsid w:val="001B2E4B"/>
    <w:rsid w:val="001B3867"/>
    <w:rsid w:val="001B66E1"/>
    <w:rsid w:val="001B6C89"/>
    <w:rsid w:val="001B726D"/>
    <w:rsid w:val="001B7978"/>
    <w:rsid w:val="001C10B2"/>
    <w:rsid w:val="001C12A7"/>
    <w:rsid w:val="001C247C"/>
    <w:rsid w:val="001C5A3B"/>
    <w:rsid w:val="001C5C98"/>
    <w:rsid w:val="001C619A"/>
    <w:rsid w:val="001D34C2"/>
    <w:rsid w:val="001D34F5"/>
    <w:rsid w:val="001D62EB"/>
    <w:rsid w:val="001D7162"/>
    <w:rsid w:val="001E3182"/>
    <w:rsid w:val="001E42C3"/>
    <w:rsid w:val="001E4707"/>
    <w:rsid w:val="001E59D1"/>
    <w:rsid w:val="001E5EA4"/>
    <w:rsid w:val="002042A7"/>
    <w:rsid w:val="00204AEB"/>
    <w:rsid w:val="00204E41"/>
    <w:rsid w:val="00205911"/>
    <w:rsid w:val="002063CA"/>
    <w:rsid w:val="00206AE1"/>
    <w:rsid w:val="002070EF"/>
    <w:rsid w:val="00211637"/>
    <w:rsid w:val="00212A0E"/>
    <w:rsid w:val="002146AD"/>
    <w:rsid w:val="00215AC9"/>
    <w:rsid w:val="002201A5"/>
    <w:rsid w:val="00220BBC"/>
    <w:rsid w:val="00221D76"/>
    <w:rsid w:val="00222E61"/>
    <w:rsid w:val="00224202"/>
    <w:rsid w:val="00225813"/>
    <w:rsid w:val="0023082D"/>
    <w:rsid w:val="002354BE"/>
    <w:rsid w:val="00243F61"/>
    <w:rsid w:val="0024475B"/>
    <w:rsid w:val="00244BE6"/>
    <w:rsid w:val="00247260"/>
    <w:rsid w:val="00247C15"/>
    <w:rsid w:val="00250556"/>
    <w:rsid w:val="002526EE"/>
    <w:rsid w:val="00252C6A"/>
    <w:rsid w:val="00254300"/>
    <w:rsid w:val="0025486C"/>
    <w:rsid w:val="00257700"/>
    <w:rsid w:val="00257C67"/>
    <w:rsid w:val="0026268B"/>
    <w:rsid w:val="00262E3F"/>
    <w:rsid w:val="00265067"/>
    <w:rsid w:val="002651D7"/>
    <w:rsid w:val="00265339"/>
    <w:rsid w:val="00266A2E"/>
    <w:rsid w:val="00270076"/>
    <w:rsid w:val="00271433"/>
    <w:rsid w:val="00271C21"/>
    <w:rsid w:val="00274EB5"/>
    <w:rsid w:val="00275CB6"/>
    <w:rsid w:val="002800B5"/>
    <w:rsid w:val="00282F34"/>
    <w:rsid w:val="002835BD"/>
    <w:rsid w:val="002878E3"/>
    <w:rsid w:val="00293370"/>
    <w:rsid w:val="002946C6"/>
    <w:rsid w:val="00294AF8"/>
    <w:rsid w:val="00295B29"/>
    <w:rsid w:val="0029766C"/>
    <w:rsid w:val="002A168F"/>
    <w:rsid w:val="002A1E57"/>
    <w:rsid w:val="002A3226"/>
    <w:rsid w:val="002B0E4C"/>
    <w:rsid w:val="002B17D6"/>
    <w:rsid w:val="002B227F"/>
    <w:rsid w:val="002B3833"/>
    <w:rsid w:val="002B3C29"/>
    <w:rsid w:val="002B4010"/>
    <w:rsid w:val="002B413D"/>
    <w:rsid w:val="002B548F"/>
    <w:rsid w:val="002C00C1"/>
    <w:rsid w:val="002C2E9E"/>
    <w:rsid w:val="002C6DC3"/>
    <w:rsid w:val="002C772C"/>
    <w:rsid w:val="002D1AE4"/>
    <w:rsid w:val="002D4073"/>
    <w:rsid w:val="002D4412"/>
    <w:rsid w:val="002D4DF5"/>
    <w:rsid w:val="002D4FBA"/>
    <w:rsid w:val="002D5D49"/>
    <w:rsid w:val="002E566F"/>
    <w:rsid w:val="002E7098"/>
    <w:rsid w:val="002E7863"/>
    <w:rsid w:val="002F0FCE"/>
    <w:rsid w:val="002F194F"/>
    <w:rsid w:val="002F2998"/>
    <w:rsid w:val="002F4A02"/>
    <w:rsid w:val="002F581C"/>
    <w:rsid w:val="002F650A"/>
    <w:rsid w:val="002F71F9"/>
    <w:rsid w:val="00301859"/>
    <w:rsid w:val="00301D32"/>
    <w:rsid w:val="00301E47"/>
    <w:rsid w:val="00302C6C"/>
    <w:rsid w:val="003034BC"/>
    <w:rsid w:val="00306C04"/>
    <w:rsid w:val="0031119C"/>
    <w:rsid w:val="00312BF0"/>
    <w:rsid w:val="003144A6"/>
    <w:rsid w:val="003156EB"/>
    <w:rsid w:val="0031606E"/>
    <w:rsid w:val="00322245"/>
    <w:rsid w:val="00322ACF"/>
    <w:rsid w:val="00323DEA"/>
    <w:rsid w:val="0032431E"/>
    <w:rsid w:val="003243B1"/>
    <w:rsid w:val="00326014"/>
    <w:rsid w:val="00326C23"/>
    <w:rsid w:val="003274A0"/>
    <w:rsid w:val="00331C8C"/>
    <w:rsid w:val="003327F2"/>
    <w:rsid w:val="003345D4"/>
    <w:rsid w:val="0033767C"/>
    <w:rsid w:val="00340F0E"/>
    <w:rsid w:val="00341F7A"/>
    <w:rsid w:val="00347147"/>
    <w:rsid w:val="003517E2"/>
    <w:rsid w:val="00351A71"/>
    <w:rsid w:val="00353A02"/>
    <w:rsid w:val="00353DD9"/>
    <w:rsid w:val="00354A7C"/>
    <w:rsid w:val="00354C87"/>
    <w:rsid w:val="00354CDA"/>
    <w:rsid w:val="00356A77"/>
    <w:rsid w:val="00362905"/>
    <w:rsid w:val="0036352C"/>
    <w:rsid w:val="00366FAD"/>
    <w:rsid w:val="00370A5D"/>
    <w:rsid w:val="0037105B"/>
    <w:rsid w:val="0037338D"/>
    <w:rsid w:val="0037372E"/>
    <w:rsid w:val="00374AE2"/>
    <w:rsid w:val="00381D5A"/>
    <w:rsid w:val="00391F1E"/>
    <w:rsid w:val="0039722E"/>
    <w:rsid w:val="003975BA"/>
    <w:rsid w:val="003A6785"/>
    <w:rsid w:val="003A74E6"/>
    <w:rsid w:val="003B33F9"/>
    <w:rsid w:val="003B3E2E"/>
    <w:rsid w:val="003B49E3"/>
    <w:rsid w:val="003B5312"/>
    <w:rsid w:val="003B5FC2"/>
    <w:rsid w:val="003B6B40"/>
    <w:rsid w:val="003B6EA8"/>
    <w:rsid w:val="003B73DD"/>
    <w:rsid w:val="003C2682"/>
    <w:rsid w:val="003C5505"/>
    <w:rsid w:val="003C7764"/>
    <w:rsid w:val="003D011C"/>
    <w:rsid w:val="003D07D2"/>
    <w:rsid w:val="003D09EB"/>
    <w:rsid w:val="003D2B89"/>
    <w:rsid w:val="003D3BB6"/>
    <w:rsid w:val="003D4878"/>
    <w:rsid w:val="003D62EF"/>
    <w:rsid w:val="003E3C61"/>
    <w:rsid w:val="003E65A6"/>
    <w:rsid w:val="003E7F7F"/>
    <w:rsid w:val="003F06C9"/>
    <w:rsid w:val="003F40A3"/>
    <w:rsid w:val="003F5173"/>
    <w:rsid w:val="003F5580"/>
    <w:rsid w:val="003F5641"/>
    <w:rsid w:val="004053B5"/>
    <w:rsid w:val="004108C7"/>
    <w:rsid w:val="00410C56"/>
    <w:rsid w:val="004128BA"/>
    <w:rsid w:val="00412DC2"/>
    <w:rsid w:val="0041331A"/>
    <w:rsid w:val="00413A01"/>
    <w:rsid w:val="00415378"/>
    <w:rsid w:val="00417BD7"/>
    <w:rsid w:val="004237C2"/>
    <w:rsid w:val="0042566C"/>
    <w:rsid w:val="004259E2"/>
    <w:rsid w:val="0042644B"/>
    <w:rsid w:val="004274E7"/>
    <w:rsid w:val="00431CBF"/>
    <w:rsid w:val="004328E0"/>
    <w:rsid w:val="004351A5"/>
    <w:rsid w:val="00435481"/>
    <w:rsid w:val="00436411"/>
    <w:rsid w:val="004370EB"/>
    <w:rsid w:val="00437B17"/>
    <w:rsid w:val="00440041"/>
    <w:rsid w:val="00445A60"/>
    <w:rsid w:val="004462A8"/>
    <w:rsid w:val="00451268"/>
    <w:rsid w:val="004512D5"/>
    <w:rsid w:val="004515AD"/>
    <w:rsid w:val="00451857"/>
    <w:rsid w:val="004522D5"/>
    <w:rsid w:val="0045300A"/>
    <w:rsid w:val="00453516"/>
    <w:rsid w:val="0045385F"/>
    <w:rsid w:val="00456E88"/>
    <w:rsid w:val="00457548"/>
    <w:rsid w:val="0046136E"/>
    <w:rsid w:val="00462E7F"/>
    <w:rsid w:val="00464489"/>
    <w:rsid w:val="00467A0B"/>
    <w:rsid w:val="00470DB2"/>
    <w:rsid w:val="00471E3D"/>
    <w:rsid w:val="004731A4"/>
    <w:rsid w:val="00474E22"/>
    <w:rsid w:val="00477FD7"/>
    <w:rsid w:val="004803E1"/>
    <w:rsid w:val="00481661"/>
    <w:rsid w:val="004837A5"/>
    <w:rsid w:val="00484692"/>
    <w:rsid w:val="00484740"/>
    <w:rsid w:val="00490C82"/>
    <w:rsid w:val="004911DF"/>
    <w:rsid w:val="00491677"/>
    <w:rsid w:val="004925E7"/>
    <w:rsid w:val="00495355"/>
    <w:rsid w:val="00495B11"/>
    <w:rsid w:val="00496CB5"/>
    <w:rsid w:val="00497750"/>
    <w:rsid w:val="004A0BF9"/>
    <w:rsid w:val="004A1918"/>
    <w:rsid w:val="004A223B"/>
    <w:rsid w:val="004A3471"/>
    <w:rsid w:val="004B17FC"/>
    <w:rsid w:val="004B216A"/>
    <w:rsid w:val="004B4C91"/>
    <w:rsid w:val="004B7F24"/>
    <w:rsid w:val="004C0006"/>
    <w:rsid w:val="004C027A"/>
    <w:rsid w:val="004C027E"/>
    <w:rsid w:val="004C03E7"/>
    <w:rsid w:val="004D2E5D"/>
    <w:rsid w:val="004D6FB1"/>
    <w:rsid w:val="004D7235"/>
    <w:rsid w:val="004E59EA"/>
    <w:rsid w:val="004F0190"/>
    <w:rsid w:val="004F115C"/>
    <w:rsid w:val="004F4F31"/>
    <w:rsid w:val="004F6198"/>
    <w:rsid w:val="004F6318"/>
    <w:rsid w:val="004F6785"/>
    <w:rsid w:val="004F6FF3"/>
    <w:rsid w:val="004F711F"/>
    <w:rsid w:val="0050220F"/>
    <w:rsid w:val="005116C1"/>
    <w:rsid w:val="00515AC2"/>
    <w:rsid w:val="0052064F"/>
    <w:rsid w:val="005214A7"/>
    <w:rsid w:val="0052381D"/>
    <w:rsid w:val="005254EB"/>
    <w:rsid w:val="00530FCE"/>
    <w:rsid w:val="00531F09"/>
    <w:rsid w:val="0053559B"/>
    <w:rsid w:val="00542FCB"/>
    <w:rsid w:val="0054339B"/>
    <w:rsid w:val="00544C54"/>
    <w:rsid w:val="00545231"/>
    <w:rsid w:val="00546BFC"/>
    <w:rsid w:val="00547167"/>
    <w:rsid w:val="005500F2"/>
    <w:rsid w:val="00551704"/>
    <w:rsid w:val="0055404F"/>
    <w:rsid w:val="005557BC"/>
    <w:rsid w:val="00561A27"/>
    <w:rsid w:val="00561A55"/>
    <w:rsid w:val="005627C5"/>
    <w:rsid w:val="00563B42"/>
    <w:rsid w:val="00564743"/>
    <w:rsid w:val="00564F96"/>
    <w:rsid w:val="005654CD"/>
    <w:rsid w:val="005707ED"/>
    <w:rsid w:val="00571B49"/>
    <w:rsid w:val="005726EB"/>
    <w:rsid w:val="005743AE"/>
    <w:rsid w:val="00574649"/>
    <w:rsid w:val="005818E3"/>
    <w:rsid w:val="00587659"/>
    <w:rsid w:val="005877C3"/>
    <w:rsid w:val="00587FB6"/>
    <w:rsid w:val="005902BC"/>
    <w:rsid w:val="00594182"/>
    <w:rsid w:val="0059434A"/>
    <w:rsid w:val="00594648"/>
    <w:rsid w:val="005966E6"/>
    <w:rsid w:val="005A1A5E"/>
    <w:rsid w:val="005A69F3"/>
    <w:rsid w:val="005A7046"/>
    <w:rsid w:val="005B06D5"/>
    <w:rsid w:val="005B1A12"/>
    <w:rsid w:val="005B3831"/>
    <w:rsid w:val="005B4362"/>
    <w:rsid w:val="005B4E32"/>
    <w:rsid w:val="005B50E0"/>
    <w:rsid w:val="005B5111"/>
    <w:rsid w:val="005B6F77"/>
    <w:rsid w:val="005B7030"/>
    <w:rsid w:val="005B7348"/>
    <w:rsid w:val="005B7EBD"/>
    <w:rsid w:val="005C2254"/>
    <w:rsid w:val="005C304B"/>
    <w:rsid w:val="005C4B4A"/>
    <w:rsid w:val="005C6C13"/>
    <w:rsid w:val="005C7F55"/>
    <w:rsid w:val="005D0137"/>
    <w:rsid w:val="005D20C0"/>
    <w:rsid w:val="005D3A92"/>
    <w:rsid w:val="005D64CA"/>
    <w:rsid w:val="005E1CE0"/>
    <w:rsid w:val="005E30BE"/>
    <w:rsid w:val="005E5717"/>
    <w:rsid w:val="005E6DB2"/>
    <w:rsid w:val="005E7652"/>
    <w:rsid w:val="005F2FC8"/>
    <w:rsid w:val="005F3508"/>
    <w:rsid w:val="005F47B5"/>
    <w:rsid w:val="0060003C"/>
    <w:rsid w:val="00601F24"/>
    <w:rsid w:val="00603B29"/>
    <w:rsid w:val="006047FF"/>
    <w:rsid w:val="00604F96"/>
    <w:rsid w:val="00612110"/>
    <w:rsid w:val="006121A4"/>
    <w:rsid w:val="0061433E"/>
    <w:rsid w:val="00614AFD"/>
    <w:rsid w:val="00617B46"/>
    <w:rsid w:val="00623386"/>
    <w:rsid w:val="0062457B"/>
    <w:rsid w:val="0062751D"/>
    <w:rsid w:val="00627E59"/>
    <w:rsid w:val="00632E09"/>
    <w:rsid w:val="00634CD0"/>
    <w:rsid w:val="006354AA"/>
    <w:rsid w:val="00635CDA"/>
    <w:rsid w:val="00637FE8"/>
    <w:rsid w:val="00640ED2"/>
    <w:rsid w:val="00643E98"/>
    <w:rsid w:val="0064495B"/>
    <w:rsid w:val="00644D9D"/>
    <w:rsid w:val="00645F3C"/>
    <w:rsid w:val="0064626D"/>
    <w:rsid w:val="00646932"/>
    <w:rsid w:val="00650499"/>
    <w:rsid w:val="00650F56"/>
    <w:rsid w:val="006518E2"/>
    <w:rsid w:val="0065266E"/>
    <w:rsid w:val="006610BE"/>
    <w:rsid w:val="00661AFA"/>
    <w:rsid w:val="006623E2"/>
    <w:rsid w:val="00666199"/>
    <w:rsid w:val="0067235A"/>
    <w:rsid w:val="006726BF"/>
    <w:rsid w:val="00672FA1"/>
    <w:rsid w:val="00677B77"/>
    <w:rsid w:val="00682589"/>
    <w:rsid w:val="00683FC3"/>
    <w:rsid w:val="00685125"/>
    <w:rsid w:val="0068557D"/>
    <w:rsid w:val="0068718A"/>
    <w:rsid w:val="00687CBC"/>
    <w:rsid w:val="00690D9F"/>
    <w:rsid w:val="00692FDF"/>
    <w:rsid w:val="00695BF4"/>
    <w:rsid w:val="006A2739"/>
    <w:rsid w:val="006A36E8"/>
    <w:rsid w:val="006A3EBE"/>
    <w:rsid w:val="006A44A1"/>
    <w:rsid w:val="006A6990"/>
    <w:rsid w:val="006A77DC"/>
    <w:rsid w:val="006A7A2A"/>
    <w:rsid w:val="006B0AFE"/>
    <w:rsid w:val="006B0D81"/>
    <w:rsid w:val="006B1DB5"/>
    <w:rsid w:val="006B3CF5"/>
    <w:rsid w:val="006B5C95"/>
    <w:rsid w:val="006B637E"/>
    <w:rsid w:val="006C0A63"/>
    <w:rsid w:val="006C1023"/>
    <w:rsid w:val="006C2D83"/>
    <w:rsid w:val="006C4BF6"/>
    <w:rsid w:val="006C5623"/>
    <w:rsid w:val="006C7113"/>
    <w:rsid w:val="006C79F0"/>
    <w:rsid w:val="006D0306"/>
    <w:rsid w:val="006D164B"/>
    <w:rsid w:val="006D1C34"/>
    <w:rsid w:val="006D2441"/>
    <w:rsid w:val="006D2A3A"/>
    <w:rsid w:val="006D2C1F"/>
    <w:rsid w:val="006D3316"/>
    <w:rsid w:val="006D6E67"/>
    <w:rsid w:val="006D731E"/>
    <w:rsid w:val="006E14B0"/>
    <w:rsid w:val="006E1CC5"/>
    <w:rsid w:val="006E5EE7"/>
    <w:rsid w:val="006F0108"/>
    <w:rsid w:val="006F3D84"/>
    <w:rsid w:val="006F68CA"/>
    <w:rsid w:val="006F71CE"/>
    <w:rsid w:val="007019A0"/>
    <w:rsid w:val="00704AE6"/>
    <w:rsid w:val="00707709"/>
    <w:rsid w:val="00707EAC"/>
    <w:rsid w:val="007108EB"/>
    <w:rsid w:val="00710A23"/>
    <w:rsid w:val="00713F24"/>
    <w:rsid w:val="007153A2"/>
    <w:rsid w:val="00715FAB"/>
    <w:rsid w:val="00716B29"/>
    <w:rsid w:val="00716CF7"/>
    <w:rsid w:val="007172CE"/>
    <w:rsid w:val="00723CC4"/>
    <w:rsid w:val="00724A68"/>
    <w:rsid w:val="00724D51"/>
    <w:rsid w:val="0072696D"/>
    <w:rsid w:val="007271BF"/>
    <w:rsid w:val="0073022B"/>
    <w:rsid w:val="00730DD3"/>
    <w:rsid w:val="00733224"/>
    <w:rsid w:val="0073376F"/>
    <w:rsid w:val="007338E6"/>
    <w:rsid w:val="007348F8"/>
    <w:rsid w:val="00735656"/>
    <w:rsid w:val="00735CB6"/>
    <w:rsid w:val="00737DEC"/>
    <w:rsid w:val="00737F22"/>
    <w:rsid w:val="00740F49"/>
    <w:rsid w:val="007411DA"/>
    <w:rsid w:val="007424A3"/>
    <w:rsid w:val="007424F7"/>
    <w:rsid w:val="00743948"/>
    <w:rsid w:val="00744C26"/>
    <w:rsid w:val="00745958"/>
    <w:rsid w:val="00750841"/>
    <w:rsid w:val="0075168F"/>
    <w:rsid w:val="00752419"/>
    <w:rsid w:val="0075265E"/>
    <w:rsid w:val="00753A8C"/>
    <w:rsid w:val="007556E1"/>
    <w:rsid w:val="00764128"/>
    <w:rsid w:val="00765363"/>
    <w:rsid w:val="007655C0"/>
    <w:rsid w:val="0077096D"/>
    <w:rsid w:val="00774FC1"/>
    <w:rsid w:val="007751AC"/>
    <w:rsid w:val="007753AF"/>
    <w:rsid w:val="00775B12"/>
    <w:rsid w:val="00780867"/>
    <w:rsid w:val="007824B8"/>
    <w:rsid w:val="00782FF9"/>
    <w:rsid w:val="00783E9A"/>
    <w:rsid w:val="0078430E"/>
    <w:rsid w:val="007910DD"/>
    <w:rsid w:val="00791D65"/>
    <w:rsid w:val="00793963"/>
    <w:rsid w:val="00794B94"/>
    <w:rsid w:val="00794D7E"/>
    <w:rsid w:val="00794DB1"/>
    <w:rsid w:val="0079524B"/>
    <w:rsid w:val="007A18B7"/>
    <w:rsid w:val="007A19D0"/>
    <w:rsid w:val="007A2560"/>
    <w:rsid w:val="007A3EC1"/>
    <w:rsid w:val="007A419B"/>
    <w:rsid w:val="007B3368"/>
    <w:rsid w:val="007B78D8"/>
    <w:rsid w:val="007B7F99"/>
    <w:rsid w:val="007C2C2F"/>
    <w:rsid w:val="007C4E09"/>
    <w:rsid w:val="007C4EFF"/>
    <w:rsid w:val="007C62BD"/>
    <w:rsid w:val="007C6398"/>
    <w:rsid w:val="007C7E0A"/>
    <w:rsid w:val="007D0A69"/>
    <w:rsid w:val="007D1046"/>
    <w:rsid w:val="007D196E"/>
    <w:rsid w:val="007D1F15"/>
    <w:rsid w:val="007D3199"/>
    <w:rsid w:val="007D4A70"/>
    <w:rsid w:val="007D6607"/>
    <w:rsid w:val="007D6DC4"/>
    <w:rsid w:val="007E14F9"/>
    <w:rsid w:val="007E285E"/>
    <w:rsid w:val="007E428E"/>
    <w:rsid w:val="007E5C03"/>
    <w:rsid w:val="007F1C02"/>
    <w:rsid w:val="007F31B3"/>
    <w:rsid w:val="007F790E"/>
    <w:rsid w:val="007F7C67"/>
    <w:rsid w:val="0080031F"/>
    <w:rsid w:val="00803317"/>
    <w:rsid w:val="00804765"/>
    <w:rsid w:val="008047C3"/>
    <w:rsid w:val="00804D77"/>
    <w:rsid w:val="00805CA4"/>
    <w:rsid w:val="00816235"/>
    <w:rsid w:val="008162CE"/>
    <w:rsid w:val="008173EF"/>
    <w:rsid w:val="008207B4"/>
    <w:rsid w:val="008210BE"/>
    <w:rsid w:val="00821675"/>
    <w:rsid w:val="00821B2F"/>
    <w:rsid w:val="00823F1C"/>
    <w:rsid w:val="0082585C"/>
    <w:rsid w:val="00825F7F"/>
    <w:rsid w:val="008268D9"/>
    <w:rsid w:val="00830C89"/>
    <w:rsid w:val="0083155E"/>
    <w:rsid w:val="008321DE"/>
    <w:rsid w:val="008335C0"/>
    <w:rsid w:val="00833762"/>
    <w:rsid w:val="008347EB"/>
    <w:rsid w:val="00840AAE"/>
    <w:rsid w:val="008411B9"/>
    <w:rsid w:val="00843C29"/>
    <w:rsid w:val="00843C51"/>
    <w:rsid w:val="00844212"/>
    <w:rsid w:val="00845007"/>
    <w:rsid w:val="008451EC"/>
    <w:rsid w:val="00847ADB"/>
    <w:rsid w:val="008505B3"/>
    <w:rsid w:val="008522EE"/>
    <w:rsid w:val="00853463"/>
    <w:rsid w:val="00853914"/>
    <w:rsid w:val="00853EFB"/>
    <w:rsid w:val="00860ADF"/>
    <w:rsid w:val="008619E5"/>
    <w:rsid w:val="00861BF4"/>
    <w:rsid w:val="00863DE1"/>
    <w:rsid w:val="0086555A"/>
    <w:rsid w:val="00865E19"/>
    <w:rsid w:val="00866F9C"/>
    <w:rsid w:val="008721EC"/>
    <w:rsid w:val="0087226A"/>
    <w:rsid w:val="008726EF"/>
    <w:rsid w:val="00872CDB"/>
    <w:rsid w:val="00872F20"/>
    <w:rsid w:val="00874B17"/>
    <w:rsid w:val="00874C6B"/>
    <w:rsid w:val="008750CF"/>
    <w:rsid w:val="0087739B"/>
    <w:rsid w:val="00877B5B"/>
    <w:rsid w:val="00880100"/>
    <w:rsid w:val="0088676B"/>
    <w:rsid w:val="00886BC6"/>
    <w:rsid w:val="00887D52"/>
    <w:rsid w:val="00887ECE"/>
    <w:rsid w:val="0089368E"/>
    <w:rsid w:val="00893F25"/>
    <w:rsid w:val="00895035"/>
    <w:rsid w:val="008950D6"/>
    <w:rsid w:val="008A3800"/>
    <w:rsid w:val="008A381F"/>
    <w:rsid w:val="008A39BF"/>
    <w:rsid w:val="008A5E3B"/>
    <w:rsid w:val="008A78F1"/>
    <w:rsid w:val="008B2B14"/>
    <w:rsid w:val="008B40BE"/>
    <w:rsid w:val="008B43FF"/>
    <w:rsid w:val="008B5D04"/>
    <w:rsid w:val="008B7799"/>
    <w:rsid w:val="008C09CD"/>
    <w:rsid w:val="008C1E5A"/>
    <w:rsid w:val="008C39DD"/>
    <w:rsid w:val="008C4B99"/>
    <w:rsid w:val="008C6AED"/>
    <w:rsid w:val="008C7604"/>
    <w:rsid w:val="008C7C40"/>
    <w:rsid w:val="008C7EBB"/>
    <w:rsid w:val="008D21E7"/>
    <w:rsid w:val="008D3175"/>
    <w:rsid w:val="008D389A"/>
    <w:rsid w:val="008D75E3"/>
    <w:rsid w:val="008D7A2E"/>
    <w:rsid w:val="008E1B27"/>
    <w:rsid w:val="008E2F82"/>
    <w:rsid w:val="008E6BA8"/>
    <w:rsid w:val="008F2033"/>
    <w:rsid w:val="0090301A"/>
    <w:rsid w:val="00903379"/>
    <w:rsid w:val="009060DE"/>
    <w:rsid w:val="00906975"/>
    <w:rsid w:val="00906FDD"/>
    <w:rsid w:val="00917F0B"/>
    <w:rsid w:val="00917F8B"/>
    <w:rsid w:val="0092087B"/>
    <w:rsid w:val="00920B6D"/>
    <w:rsid w:val="009252DB"/>
    <w:rsid w:val="009302B2"/>
    <w:rsid w:val="00934607"/>
    <w:rsid w:val="0093490B"/>
    <w:rsid w:val="00934FEF"/>
    <w:rsid w:val="00936ED2"/>
    <w:rsid w:val="009374C9"/>
    <w:rsid w:val="0094103C"/>
    <w:rsid w:val="00943ACB"/>
    <w:rsid w:val="009447FE"/>
    <w:rsid w:val="00952C31"/>
    <w:rsid w:val="00953EFE"/>
    <w:rsid w:val="00955D8E"/>
    <w:rsid w:val="00957C05"/>
    <w:rsid w:val="00960964"/>
    <w:rsid w:val="00961101"/>
    <w:rsid w:val="0096272E"/>
    <w:rsid w:val="009636EC"/>
    <w:rsid w:val="009646B4"/>
    <w:rsid w:val="00965E4D"/>
    <w:rsid w:val="00975B92"/>
    <w:rsid w:val="00980A29"/>
    <w:rsid w:val="00982EAC"/>
    <w:rsid w:val="00985006"/>
    <w:rsid w:val="009949C8"/>
    <w:rsid w:val="009957B2"/>
    <w:rsid w:val="00997601"/>
    <w:rsid w:val="009A0972"/>
    <w:rsid w:val="009A09A4"/>
    <w:rsid w:val="009A0EA2"/>
    <w:rsid w:val="009A1511"/>
    <w:rsid w:val="009A23CB"/>
    <w:rsid w:val="009A23E9"/>
    <w:rsid w:val="009A4FAA"/>
    <w:rsid w:val="009A760D"/>
    <w:rsid w:val="009A7EE3"/>
    <w:rsid w:val="009B1D5C"/>
    <w:rsid w:val="009B4D9D"/>
    <w:rsid w:val="009B5415"/>
    <w:rsid w:val="009B7DAF"/>
    <w:rsid w:val="009C2E31"/>
    <w:rsid w:val="009C51FD"/>
    <w:rsid w:val="009C5C25"/>
    <w:rsid w:val="009C5FE5"/>
    <w:rsid w:val="009C7151"/>
    <w:rsid w:val="009C7545"/>
    <w:rsid w:val="009D1A76"/>
    <w:rsid w:val="009D3024"/>
    <w:rsid w:val="009D4EE7"/>
    <w:rsid w:val="009D743F"/>
    <w:rsid w:val="009E006E"/>
    <w:rsid w:val="009E1674"/>
    <w:rsid w:val="009E1955"/>
    <w:rsid w:val="009E5423"/>
    <w:rsid w:val="009E6DA3"/>
    <w:rsid w:val="009F27DF"/>
    <w:rsid w:val="009F320D"/>
    <w:rsid w:val="009F343D"/>
    <w:rsid w:val="009F367C"/>
    <w:rsid w:val="009F4CF4"/>
    <w:rsid w:val="009F78CD"/>
    <w:rsid w:val="00A01F55"/>
    <w:rsid w:val="00A03CFB"/>
    <w:rsid w:val="00A04642"/>
    <w:rsid w:val="00A04CB6"/>
    <w:rsid w:val="00A05335"/>
    <w:rsid w:val="00A05768"/>
    <w:rsid w:val="00A07A7B"/>
    <w:rsid w:val="00A12180"/>
    <w:rsid w:val="00A131B6"/>
    <w:rsid w:val="00A13F4C"/>
    <w:rsid w:val="00A14CAA"/>
    <w:rsid w:val="00A1628C"/>
    <w:rsid w:val="00A1719A"/>
    <w:rsid w:val="00A17999"/>
    <w:rsid w:val="00A20E53"/>
    <w:rsid w:val="00A241A6"/>
    <w:rsid w:val="00A2786F"/>
    <w:rsid w:val="00A27B52"/>
    <w:rsid w:val="00A30AAD"/>
    <w:rsid w:val="00A32A52"/>
    <w:rsid w:val="00A340A2"/>
    <w:rsid w:val="00A365AF"/>
    <w:rsid w:val="00A369C2"/>
    <w:rsid w:val="00A37049"/>
    <w:rsid w:val="00A40025"/>
    <w:rsid w:val="00A421CE"/>
    <w:rsid w:val="00A42B2F"/>
    <w:rsid w:val="00A4517F"/>
    <w:rsid w:val="00A45DCC"/>
    <w:rsid w:val="00A462AA"/>
    <w:rsid w:val="00A47CBD"/>
    <w:rsid w:val="00A527AA"/>
    <w:rsid w:val="00A52840"/>
    <w:rsid w:val="00A53BFB"/>
    <w:rsid w:val="00A55F56"/>
    <w:rsid w:val="00A56013"/>
    <w:rsid w:val="00A5684D"/>
    <w:rsid w:val="00A6563B"/>
    <w:rsid w:val="00A66A07"/>
    <w:rsid w:val="00A66D21"/>
    <w:rsid w:val="00A72614"/>
    <w:rsid w:val="00A74BD3"/>
    <w:rsid w:val="00A75C61"/>
    <w:rsid w:val="00A83A47"/>
    <w:rsid w:val="00A85318"/>
    <w:rsid w:val="00A863AD"/>
    <w:rsid w:val="00A90267"/>
    <w:rsid w:val="00A904BD"/>
    <w:rsid w:val="00A916F9"/>
    <w:rsid w:val="00A93C3D"/>
    <w:rsid w:val="00A95E2D"/>
    <w:rsid w:val="00A9601B"/>
    <w:rsid w:val="00AA0FDC"/>
    <w:rsid w:val="00AA1CF3"/>
    <w:rsid w:val="00AA589B"/>
    <w:rsid w:val="00AB0320"/>
    <w:rsid w:val="00AB0EB3"/>
    <w:rsid w:val="00AB1DAA"/>
    <w:rsid w:val="00AB2D6F"/>
    <w:rsid w:val="00AB3262"/>
    <w:rsid w:val="00AB3E40"/>
    <w:rsid w:val="00AB6B6C"/>
    <w:rsid w:val="00AB7B11"/>
    <w:rsid w:val="00AC0AE2"/>
    <w:rsid w:val="00AC0DDF"/>
    <w:rsid w:val="00AC1163"/>
    <w:rsid w:val="00AC14DC"/>
    <w:rsid w:val="00AC4B94"/>
    <w:rsid w:val="00AC5FBF"/>
    <w:rsid w:val="00AD100E"/>
    <w:rsid w:val="00AD1634"/>
    <w:rsid w:val="00AD1A48"/>
    <w:rsid w:val="00AD2139"/>
    <w:rsid w:val="00AD5ADE"/>
    <w:rsid w:val="00AD60E8"/>
    <w:rsid w:val="00AE1D47"/>
    <w:rsid w:val="00AE1E36"/>
    <w:rsid w:val="00AE25EB"/>
    <w:rsid w:val="00AE37C2"/>
    <w:rsid w:val="00AE38E6"/>
    <w:rsid w:val="00AE7A84"/>
    <w:rsid w:val="00AF086E"/>
    <w:rsid w:val="00AF29C3"/>
    <w:rsid w:val="00AF34EC"/>
    <w:rsid w:val="00AF635C"/>
    <w:rsid w:val="00AF6A32"/>
    <w:rsid w:val="00AF74AA"/>
    <w:rsid w:val="00B00F99"/>
    <w:rsid w:val="00B03323"/>
    <w:rsid w:val="00B03C2F"/>
    <w:rsid w:val="00B1270E"/>
    <w:rsid w:val="00B12F67"/>
    <w:rsid w:val="00B15064"/>
    <w:rsid w:val="00B15B87"/>
    <w:rsid w:val="00B17BE7"/>
    <w:rsid w:val="00B205B6"/>
    <w:rsid w:val="00B218BB"/>
    <w:rsid w:val="00B244FC"/>
    <w:rsid w:val="00B25B86"/>
    <w:rsid w:val="00B26326"/>
    <w:rsid w:val="00B3218D"/>
    <w:rsid w:val="00B340A3"/>
    <w:rsid w:val="00B36F5E"/>
    <w:rsid w:val="00B37A08"/>
    <w:rsid w:val="00B410F5"/>
    <w:rsid w:val="00B418D2"/>
    <w:rsid w:val="00B422C2"/>
    <w:rsid w:val="00B4249A"/>
    <w:rsid w:val="00B438AC"/>
    <w:rsid w:val="00B43A22"/>
    <w:rsid w:val="00B444CC"/>
    <w:rsid w:val="00B4513F"/>
    <w:rsid w:val="00B4557D"/>
    <w:rsid w:val="00B45F66"/>
    <w:rsid w:val="00B460CB"/>
    <w:rsid w:val="00B46B23"/>
    <w:rsid w:val="00B51203"/>
    <w:rsid w:val="00B51A6E"/>
    <w:rsid w:val="00B5244D"/>
    <w:rsid w:val="00B54F55"/>
    <w:rsid w:val="00B6280C"/>
    <w:rsid w:val="00B63AF1"/>
    <w:rsid w:val="00B63BA3"/>
    <w:rsid w:val="00B647CB"/>
    <w:rsid w:val="00B6516E"/>
    <w:rsid w:val="00B6605E"/>
    <w:rsid w:val="00B66A3E"/>
    <w:rsid w:val="00B671A4"/>
    <w:rsid w:val="00B673A8"/>
    <w:rsid w:val="00B71DA3"/>
    <w:rsid w:val="00B72164"/>
    <w:rsid w:val="00B72CD4"/>
    <w:rsid w:val="00B739C1"/>
    <w:rsid w:val="00B73AB8"/>
    <w:rsid w:val="00B73CF1"/>
    <w:rsid w:val="00B73DD5"/>
    <w:rsid w:val="00B74494"/>
    <w:rsid w:val="00B76038"/>
    <w:rsid w:val="00B82F2A"/>
    <w:rsid w:val="00B84ECE"/>
    <w:rsid w:val="00B84F04"/>
    <w:rsid w:val="00B85B00"/>
    <w:rsid w:val="00B87CD7"/>
    <w:rsid w:val="00B90CF3"/>
    <w:rsid w:val="00B92BAD"/>
    <w:rsid w:val="00B94388"/>
    <w:rsid w:val="00BA02F1"/>
    <w:rsid w:val="00BA051D"/>
    <w:rsid w:val="00BA2B93"/>
    <w:rsid w:val="00BA378F"/>
    <w:rsid w:val="00BA4100"/>
    <w:rsid w:val="00BA502E"/>
    <w:rsid w:val="00BA6D37"/>
    <w:rsid w:val="00BB1A85"/>
    <w:rsid w:val="00BB32EC"/>
    <w:rsid w:val="00BB4C04"/>
    <w:rsid w:val="00BB7F0D"/>
    <w:rsid w:val="00BC33C3"/>
    <w:rsid w:val="00BC3BC2"/>
    <w:rsid w:val="00BC7BE0"/>
    <w:rsid w:val="00BD1383"/>
    <w:rsid w:val="00BD1448"/>
    <w:rsid w:val="00BD1EBF"/>
    <w:rsid w:val="00BD765C"/>
    <w:rsid w:val="00BE2747"/>
    <w:rsid w:val="00BE38F0"/>
    <w:rsid w:val="00BE56B0"/>
    <w:rsid w:val="00BE5835"/>
    <w:rsid w:val="00BE75D7"/>
    <w:rsid w:val="00BE7D51"/>
    <w:rsid w:val="00BF132F"/>
    <w:rsid w:val="00BF4E17"/>
    <w:rsid w:val="00BF57D5"/>
    <w:rsid w:val="00BF5F96"/>
    <w:rsid w:val="00C01001"/>
    <w:rsid w:val="00C02C04"/>
    <w:rsid w:val="00C02E8E"/>
    <w:rsid w:val="00C0392A"/>
    <w:rsid w:val="00C03C66"/>
    <w:rsid w:val="00C0440A"/>
    <w:rsid w:val="00C04687"/>
    <w:rsid w:val="00C04B40"/>
    <w:rsid w:val="00C04E79"/>
    <w:rsid w:val="00C070BF"/>
    <w:rsid w:val="00C11B5D"/>
    <w:rsid w:val="00C1200C"/>
    <w:rsid w:val="00C13878"/>
    <w:rsid w:val="00C1396D"/>
    <w:rsid w:val="00C14003"/>
    <w:rsid w:val="00C15EEB"/>
    <w:rsid w:val="00C174F2"/>
    <w:rsid w:val="00C22A1D"/>
    <w:rsid w:val="00C22AE9"/>
    <w:rsid w:val="00C24F15"/>
    <w:rsid w:val="00C266DE"/>
    <w:rsid w:val="00C26B0F"/>
    <w:rsid w:val="00C319B8"/>
    <w:rsid w:val="00C33C75"/>
    <w:rsid w:val="00C34424"/>
    <w:rsid w:val="00C35198"/>
    <w:rsid w:val="00C40176"/>
    <w:rsid w:val="00C409CE"/>
    <w:rsid w:val="00C41AE7"/>
    <w:rsid w:val="00C443A7"/>
    <w:rsid w:val="00C44FE6"/>
    <w:rsid w:val="00C5221B"/>
    <w:rsid w:val="00C52C97"/>
    <w:rsid w:val="00C563A2"/>
    <w:rsid w:val="00C57820"/>
    <w:rsid w:val="00C654F5"/>
    <w:rsid w:val="00C7033E"/>
    <w:rsid w:val="00C71C22"/>
    <w:rsid w:val="00C71C82"/>
    <w:rsid w:val="00C77515"/>
    <w:rsid w:val="00C777DD"/>
    <w:rsid w:val="00C8108C"/>
    <w:rsid w:val="00C82287"/>
    <w:rsid w:val="00C83D04"/>
    <w:rsid w:val="00C83F82"/>
    <w:rsid w:val="00C849F1"/>
    <w:rsid w:val="00C87C3D"/>
    <w:rsid w:val="00C90833"/>
    <w:rsid w:val="00C90F4E"/>
    <w:rsid w:val="00C923DC"/>
    <w:rsid w:val="00C9279F"/>
    <w:rsid w:val="00CA061C"/>
    <w:rsid w:val="00CA06BA"/>
    <w:rsid w:val="00CA072D"/>
    <w:rsid w:val="00CA1058"/>
    <w:rsid w:val="00CA1705"/>
    <w:rsid w:val="00CA4576"/>
    <w:rsid w:val="00CA47A1"/>
    <w:rsid w:val="00CA4F44"/>
    <w:rsid w:val="00CA7203"/>
    <w:rsid w:val="00CB144E"/>
    <w:rsid w:val="00CB18AC"/>
    <w:rsid w:val="00CB2029"/>
    <w:rsid w:val="00CB221B"/>
    <w:rsid w:val="00CB523D"/>
    <w:rsid w:val="00CB5374"/>
    <w:rsid w:val="00CB5474"/>
    <w:rsid w:val="00CD4395"/>
    <w:rsid w:val="00CD5544"/>
    <w:rsid w:val="00CD57EA"/>
    <w:rsid w:val="00CD7C1E"/>
    <w:rsid w:val="00CE1A54"/>
    <w:rsid w:val="00CE7320"/>
    <w:rsid w:val="00CE7593"/>
    <w:rsid w:val="00CF5FB6"/>
    <w:rsid w:val="00CF69A2"/>
    <w:rsid w:val="00D02439"/>
    <w:rsid w:val="00D02518"/>
    <w:rsid w:val="00D03BC3"/>
    <w:rsid w:val="00D04B86"/>
    <w:rsid w:val="00D05F10"/>
    <w:rsid w:val="00D0742A"/>
    <w:rsid w:val="00D1080C"/>
    <w:rsid w:val="00D10C75"/>
    <w:rsid w:val="00D1305B"/>
    <w:rsid w:val="00D15EDE"/>
    <w:rsid w:val="00D17454"/>
    <w:rsid w:val="00D203DC"/>
    <w:rsid w:val="00D209C3"/>
    <w:rsid w:val="00D2109D"/>
    <w:rsid w:val="00D2206D"/>
    <w:rsid w:val="00D2361E"/>
    <w:rsid w:val="00D23D12"/>
    <w:rsid w:val="00D33FBC"/>
    <w:rsid w:val="00D37762"/>
    <w:rsid w:val="00D37CC6"/>
    <w:rsid w:val="00D41E57"/>
    <w:rsid w:val="00D421C0"/>
    <w:rsid w:val="00D42713"/>
    <w:rsid w:val="00D44454"/>
    <w:rsid w:val="00D444E8"/>
    <w:rsid w:val="00D5246E"/>
    <w:rsid w:val="00D53092"/>
    <w:rsid w:val="00D54D72"/>
    <w:rsid w:val="00D5600E"/>
    <w:rsid w:val="00D61212"/>
    <w:rsid w:val="00D63E2C"/>
    <w:rsid w:val="00D67E38"/>
    <w:rsid w:val="00D72F95"/>
    <w:rsid w:val="00D734FE"/>
    <w:rsid w:val="00D74764"/>
    <w:rsid w:val="00D7535C"/>
    <w:rsid w:val="00D76302"/>
    <w:rsid w:val="00D76540"/>
    <w:rsid w:val="00D76F36"/>
    <w:rsid w:val="00D7799D"/>
    <w:rsid w:val="00D83AB1"/>
    <w:rsid w:val="00D84D4F"/>
    <w:rsid w:val="00D84F13"/>
    <w:rsid w:val="00D9056A"/>
    <w:rsid w:val="00D91019"/>
    <w:rsid w:val="00D92635"/>
    <w:rsid w:val="00D93117"/>
    <w:rsid w:val="00D94748"/>
    <w:rsid w:val="00D95F51"/>
    <w:rsid w:val="00DA5CE2"/>
    <w:rsid w:val="00DA7208"/>
    <w:rsid w:val="00DB294E"/>
    <w:rsid w:val="00DB2B95"/>
    <w:rsid w:val="00DB3250"/>
    <w:rsid w:val="00DB5989"/>
    <w:rsid w:val="00DB7146"/>
    <w:rsid w:val="00DB7CFA"/>
    <w:rsid w:val="00DC28D7"/>
    <w:rsid w:val="00DC5B96"/>
    <w:rsid w:val="00DC6496"/>
    <w:rsid w:val="00DD04A7"/>
    <w:rsid w:val="00DD22C1"/>
    <w:rsid w:val="00DD3AD1"/>
    <w:rsid w:val="00DD43AB"/>
    <w:rsid w:val="00DD4CDA"/>
    <w:rsid w:val="00DD56A3"/>
    <w:rsid w:val="00DE10E8"/>
    <w:rsid w:val="00DE2707"/>
    <w:rsid w:val="00DE3368"/>
    <w:rsid w:val="00DE6691"/>
    <w:rsid w:val="00DE69E7"/>
    <w:rsid w:val="00DE7608"/>
    <w:rsid w:val="00DF0207"/>
    <w:rsid w:val="00DF1161"/>
    <w:rsid w:val="00DF28EC"/>
    <w:rsid w:val="00DF2D13"/>
    <w:rsid w:val="00DF3E17"/>
    <w:rsid w:val="00DF3FB0"/>
    <w:rsid w:val="00E01A7E"/>
    <w:rsid w:val="00E01B9C"/>
    <w:rsid w:val="00E02A99"/>
    <w:rsid w:val="00E03FA0"/>
    <w:rsid w:val="00E046A3"/>
    <w:rsid w:val="00E1348C"/>
    <w:rsid w:val="00E14305"/>
    <w:rsid w:val="00E1470E"/>
    <w:rsid w:val="00E14FBC"/>
    <w:rsid w:val="00E15401"/>
    <w:rsid w:val="00E16FDA"/>
    <w:rsid w:val="00E205D0"/>
    <w:rsid w:val="00E20FE1"/>
    <w:rsid w:val="00E22E3D"/>
    <w:rsid w:val="00E24874"/>
    <w:rsid w:val="00E34C63"/>
    <w:rsid w:val="00E35F58"/>
    <w:rsid w:val="00E36DAB"/>
    <w:rsid w:val="00E412C7"/>
    <w:rsid w:val="00E45BD9"/>
    <w:rsid w:val="00E57A94"/>
    <w:rsid w:val="00E57E7C"/>
    <w:rsid w:val="00E6106E"/>
    <w:rsid w:val="00E63CC7"/>
    <w:rsid w:val="00E64359"/>
    <w:rsid w:val="00E66FFC"/>
    <w:rsid w:val="00E741E6"/>
    <w:rsid w:val="00E759D6"/>
    <w:rsid w:val="00E763F1"/>
    <w:rsid w:val="00E76580"/>
    <w:rsid w:val="00E76C60"/>
    <w:rsid w:val="00E80046"/>
    <w:rsid w:val="00E83E18"/>
    <w:rsid w:val="00E84A8C"/>
    <w:rsid w:val="00E900EF"/>
    <w:rsid w:val="00E90811"/>
    <w:rsid w:val="00E91D59"/>
    <w:rsid w:val="00E94F72"/>
    <w:rsid w:val="00E94FAC"/>
    <w:rsid w:val="00E95502"/>
    <w:rsid w:val="00E95EB3"/>
    <w:rsid w:val="00E976DE"/>
    <w:rsid w:val="00EA12AF"/>
    <w:rsid w:val="00EA4CED"/>
    <w:rsid w:val="00EA6B04"/>
    <w:rsid w:val="00EA7CF6"/>
    <w:rsid w:val="00EB082C"/>
    <w:rsid w:val="00EB305A"/>
    <w:rsid w:val="00EB3097"/>
    <w:rsid w:val="00EB38F4"/>
    <w:rsid w:val="00EB3F9F"/>
    <w:rsid w:val="00EB5B95"/>
    <w:rsid w:val="00EC0735"/>
    <w:rsid w:val="00EC0F83"/>
    <w:rsid w:val="00EC147F"/>
    <w:rsid w:val="00EC16F1"/>
    <w:rsid w:val="00EC4B7A"/>
    <w:rsid w:val="00EC5013"/>
    <w:rsid w:val="00EC59C2"/>
    <w:rsid w:val="00EC6DB5"/>
    <w:rsid w:val="00EC7A53"/>
    <w:rsid w:val="00ED0429"/>
    <w:rsid w:val="00ED10AD"/>
    <w:rsid w:val="00ED18F7"/>
    <w:rsid w:val="00ED1F20"/>
    <w:rsid w:val="00ED3BC1"/>
    <w:rsid w:val="00ED4447"/>
    <w:rsid w:val="00ED57D7"/>
    <w:rsid w:val="00EE2AB0"/>
    <w:rsid w:val="00EE3187"/>
    <w:rsid w:val="00EE3D57"/>
    <w:rsid w:val="00EE4C7A"/>
    <w:rsid w:val="00EE5988"/>
    <w:rsid w:val="00EE606A"/>
    <w:rsid w:val="00EF11F5"/>
    <w:rsid w:val="00EF499B"/>
    <w:rsid w:val="00EF4A65"/>
    <w:rsid w:val="00F00C91"/>
    <w:rsid w:val="00F01E3E"/>
    <w:rsid w:val="00F04511"/>
    <w:rsid w:val="00F04B5C"/>
    <w:rsid w:val="00F05F54"/>
    <w:rsid w:val="00F13CD4"/>
    <w:rsid w:val="00F14977"/>
    <w:rsid w:val="00F21ED4"/>
    <w:rsid w:val="00F2254C"/>
    <w:rsid w:val="00F27195"/>
    <w:rsid w:val="00F32092"/>
    <w:rsid w:val="00F33C10"/>
    <w:rsid w:val="00F460B8"/>
    <w:rsid w:val="00F460C6"/>
    <w:rsid w:val="00F50342"/>
    <w:rsid w:val="00F521C0"/>
    <w:rsid w:val="00F52357"/>
    <w:rsid w:val="00F542E0"/>
    <w:rsid w:val="00F5537C"/>
    <w:rsid w:val="00F553F0"/>
    <w:rsid w:val="00F609C4"/>
    <w:rsid w:val="00F6323E"/>
    <w:rsid w:val="00F652C8"/>
    <w:rsid w:val="00F761B5"/>
    <w:rsid w:val="00F7795C"/>
    <w:rsid w:val="00F80FB5"/>
    <w:rsid w:val="00F842CC"/>
    <w:rsid w:val="00F863A2"/>
    <w:rsid w:val="00F90976"/>
    <w:rsid w:val="00F928B1"/>
    <w:rsid w:val="00F94BF6"/>
    <w:rsid w:val="00FA4F1C"/>
    <w:rsid w:val="00FA5EE8"/>
    <w:rsid w:val="00FA6BEA"/>
    <w:rsid w:val="00FB055C"/>
    <w:rsid w:val="00FB0BCA"/>
    <w:rsid w:val="00FB3750"/>
    <w:rsid w:val="00FB4A08"/>
    <w:rsid w:val="00FB68F0"/>
    <w:rsid w:val="00FC0C2A"/>
    <w:rsid w:val="00FC4408"/>
    <w:rsid w:val="00FC6B7D"/>
    <w:rsid w:val="00FD1B08"/>
    <w:rsid w:val="00FD226A"/>
    <w:rsid w:val="00FD4B6F"/>
    <w:rsid w:val="00FD4B8E"/>
    <w:rsid w:val="00FD7F8E"/>
    <w:rsid w:val="00FE0170"/>
    <w:rsid w:val="00FE0F05"/>
    <w:rsid w:val="00FE3B70"/>
    <w:rsid w:val="00FF03B2"/>
    <w:rsid w:val="00FF0E6D"/>
    <w:rsid w:val="00FF11E4"/>
    <w:rsid w:val="00FF340D"/>
    <w:rsid w:val="00FF77A7"/>
    <w:rsid w:val="00FF7AF3"/>
    <w:rsid w:val="01BE7323"/>
    <w:rsid w:val="03CD0E11"/>
    <w:rsid w:val="04B072D4"/>
    <w:rsid w:val="04F512AE"/>
    <w:rsid w:val="05F575D4"/>
    <w:rsid w:val="060A6FDB"/>
    <w:rsid w:val="064249C6"/>
    <w:rsid w:val="08641132"/>
    <w:rsid w:val="09186774"/>
    <w:rsid w:val="0945438F"/>
    <w:rsid w:val="0A71587A"/>
    <w:rsid w:val="0B792C38"/>
    <w:rsid w:val="0C28640C"/>
    <w:rsid w:val="0E90599A"/>
    <w:rsid w:val="0ED720CD"/>
    <w:rsid w:val="12070CAE"/>
    <w:rsid w:val="12FB2185"/>
    <w:rsid w:val="145F688C"/>
    <w:rsid w:val="15DD2205"/>
    <w:rsid w:val="17072842"/>
    <w:rsid w:val="17A67110"/>
    <w:rsid w:val="1864189B"/>
    <w:rsid w:val="18D73A7D"/>
    <w:rsid w:val="19557370"/>
    <w:rsid w:val="1BD06B6A"/>
    <w:rsid w:val="1D604E1B"/>
    <w:rsid w:val="1F782BDE"/>
    <w:rsid w:val="204A6A53"/>
    <w:rsid w:val="22007F90"/>
    <w:rsid w:val="23317869"/>
    <w:rsid w:val="25650CAE"/>
    <w:rsid w:val="26406598"/>
    <w:rsid w:val="28080056"/>
    <w:rsid w:val="28734C1A"/>
    <w:rsid w:val="28C72DDD"/>
    <w:rsid w:val="29EE0E64"/>
    <w:rsid w:val="2BAB04D2"/>
    <w:rsid w:val="2BC4020A"/>
    <w:rsid w:val="2EF90F16"/>
    <w:rsid w:val="2F125C63"/>
    <w:rsid w:val="302C3D0A"/>
    <w:rsid w:val="30787AB3"/>
    <w:rsid w:val="3104598F"/>
    <w:rsid w:val="33DE31BB"/>
    <w:rsid w:val="359C2EFC"/>
    <w:rsid w:val="36A06A1C"/>
    <w:rsid w:val="389C49C0"/>
    <w:rsid w:val="39BC78F4"/>
    <w:rsid w:val="3B35486F"/>
    <w:rsid w:val="3EF1250A"/>
    <w:rsid w:val="40567DB0"/>
    <w:rsid w:val="40FF5CD2"/>
    <w:rsid w:val="41961147"/>
    <w:rsid w:val="42DB40B0"/>
    <w:rsid w:val="43B71B0A"/>
    <w:rsid w:val="44FA0589"/>
    <w:rsid w:val="450665E4"/>
    <w:rsid w:val="45A663E3"/>
    <w:rsid w:val="462B6546"/>
    <w:rsid w:val="469F09AF"/>
    <w:rsid w:val="4B756271"/>
    <w:rsid w:val="4BEB1D3E"/>
    <w:rsid w:val="4C8E1CA8"/>
    <w:rsid w:val="4D6D36A4"/>
    <w:rsid w:val="4EBB21ED"/>
    <w:rsid w:val="510903EF"/>
    <w:rsid w:val="52782993"/>
    <w:rsid w:val="53F137F4"/>
    <w:rsid w:val="543A6906"/>
    <w:rsid w:val="550407B0"/>
    <w:rsid w:val="56850CBB"/>
    <w:rsid w:val="580D4286"/>
    <w:rsid w:val="58AE3000"/>
    <w:rsid w:val="59D8738A"/>
    <w:rsid w:val="5A666D76"/>
    <w:rsid w:val="5B2253C2"/>
    <w:rsid w:val="5C182A2D"/>
    <w:rsid w:val="5CF02E0F"/>
    <w:rsid w:val="603269D2"/>
    <w:rsid w:val="61A52BCA"/>
    <w:rsid w:val="67095496"/>
    <w:rsid w:val="67ED7463"/>
    <w:rsid w:val="681A546A"/>
    <w:rsid w:val="688A4CB2"/>
    <w:rsid w:val="69CB37D4"/>
    <w:rsid w:val="6A0D5B9B"/>
    <w:rsid w:val="6A3B23B1"/>
    <w:rsid w:val="6AEA32DC"/>
    <w:rsid w:val="6CC24AB5"/>
    <w:rsid w:val="6D9271B2"/>
    <w:rsid w:val="6DD13C35"/>
    <w:rsid w:val="6F134790"/>
    <w:rsid w:val="6FE81F5F"/>
    <w:rsid w:val="705C11EC"/>
    <w:rsid w:val="72446028"/>
    <w:rsid w:val="73076EC0"/>
    <w:rsid w:val="74210CA6"/>
    <w:rsid w:val="746F4E76"/>
    <w:rsid w:val="764B5653"/>
    <w:rsid w:val="788C25F5"/>
    <w:rsid w:val="79F72AA9"/>
    <w:rsid w:val="7A144529"/>
    <w:rsid w:val="7DD37FAE"/>
    <w:rsid w:val="7EA34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67095D"/>
  <w15:docId w15:val="{B4EC259A-E0A7-47AF-8CE4-D3E55D1B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pPr>
      <w:outlineLvl w:val="0"/>
    </w:pPr>
    <w:rPr>
      <w:rFonts w:ascii="Times New Roman" w:eastAsia="宋体"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link w:val="a6"/>
    <w:uiPriority w:val="1"/>
    <w:qFormat/>
    <w:pPr>
      <w:ind w:left="220"/>
    </w:pPr>
    <w:rPr>
      <w:sz w:val="32"/>
      <w:szCs w:val="32"/>
    </w:rPr>
  </w:style>
  <w:style w:type="paragraph" w:styleId="a7">
    <w:name w:val="Balloon Text"/>
    <w:basedOn w:val="a"/>
    <w:link w:val="a8"/>
    <w:qFormat/>
    <w:rPr>
      <w:sz w:val="18"/>
      <w:szCs w:val="18"/>
    </w:rPr>
  </w:style>
  <w:style w:type="paragraph" w:styleId="a9">
    <w:name w:val="footer"/>
    <w:basedOn w:val="a"/>
    <w:link w:val="aa"/>
    <w:autoRedefine/>
    <w:uiPriority w:val="99"/>
    <w:qFormat/>
    <w:pPr>
      <w:tabs>
        <w:tab w:val="center" w:pos="4153"/>
        <w:tab w:val="right" w:pos="8306"/>
      </w:tabs>
      <w:snapToGrid w:val="0"/>
    </w:pPr>
    <w:rPr>
      <w:sz w:val="18"/>
      <w:szCs w:val="18"/>
    </w:rPr>
  </w:style>
  <w:style w:type="paragraph" w:styleId="ab">
    <w:name w:val="header"/>
    <w:basedOn w:val="a"/>
    <w:link w:val="ac"/>
    <w:autoRedefine/>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autoRedefine/>
    <w:qFormat/>
    <w:rPr>
      <w:b/>
      <w:bCs/>
    </w:rPr>
  </w:style>
  <w:style w:type="character" w:styleId="af">
    <w:name w:val="Hyperlink"/>
    <w:basedOn w:val="a0"/>
    <w:autoRedefine/>
    <w:qFormat/>
    <w:rPr>
      <w:color w:val="0563C1" w:themeColor="hyperlink"/>
      <w:u w:val="single"/>
    </w:rPr>
  </w:style>
  <w:style w:type="character" w:styleId="af0">
    <w:name w:val="annotation reference"/>
    <w:basedOn w:val="a0"/>
    <w:autoRedefine/>
    <w:qFormat/>
    <w:rPr>
      <w:sz w:val="21"/>
      <w:szCs w:val="21"/>
    </w:rPr>
  </w:style>
  <w:style w:type="paragraph" w:customStyle="1" w:styleId="TableParagraph">
    <w:name w:val="Table Paragraph"/>
    <w:basedOn w:val="a"/>
    <w:uiPriority w:val="1"/>
    <w:qFormat/>
    <w:pPr>
      <w:adjustRightInd w:val="0"/>
      <w:spacing w:line="360" w:lineRule="auto"/>
      <w:ind w:firstLineChars="200" w:firstLine="402"/>
      <w:jc w:val="both"/>
    </w:pPr>
    <w:rPr>
      <w:rFonts w:ascii="宋体" w:eastAsia="宋体" w:hAnsi="宋体" w:cs="宋体"/>
      <w:b/>
      <w:color w:val="000000" w:themeColor="text1"/>
      <w:sz w:val="20"/>
    </w:rPr>
  </w:style>
  <w:style w:type="character" w:customStyle="1" w:styleId="ac">
    <w:name w:val="页眉 字符"/>
    <w:basedOn w:val="a0"/>
    <w:link w:val="ab"/>
    <w:autoRedefine/>
    <w:qFormat/>
    <w:rPr>
      <w:rFonts w:ascii="仿宋" w:eastAsia="仿宋" w:hAnsi="仿宋" w:cs="仿宋"/>
      <w:sz w:val="18"/>
      <w:szCs w:val="18"/>
      <w:lang w:val="zh-CN" w:bidi="zh-CN"/>
    </w:rPr>
  </w:style>
  <w:style w:type="character" w:customStyle="1" w:styleId="aa">
    <w:name w:val="页脚 字符"/>
    <w:basedOn w:val="a0"/>
    <w:link w:val="a9"/>
    <w:autoRedefine/>
    <w:uiPriority w:val="99"/>
    <w:qFormat/>
    <w:rPr>
      <w:rFonts w:ascii="仿宋" w:eastAsia="仿宋" w:hAnsi="仿宋" w:cs="仿宋"/>
      <w:sz w:val="18"/>
      <w:szCs w:val="18"/>
      <w:lang w:val="zh-CN" w:bidi="zh-CN"/>
    </w:r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e">
    <w:name w:val="批注主题 字符"/>
    <w:basedOn w:val="a4"/>
    <w:link w:val="ad"/>
    <w:autoRedefine/>
    <w:qFormat/>
    <w:rPr>
      <w:rFonts w:ascii="仿宋" w:eastAsia="仿宋" w:hAnsi="仿宋" w:cs="仿宋"/>
      <w:b/>
      <w:bCs/>
      <w:sz w:val="22"/>
      <w:szCs w:val="22"/>
      <w:lang w:val="zh-CN" w:bidi="zh-CN"/>
    </w:rPr>
  </w:style>
  <w:style w:type="character" w:customStyle="1" w:styleId="a8">
    <w:name w:val="批注框文本 字符"/>
    <w:basedOn w:val="a0"/>
    <w:link w:val="a7"/>
    <w:autoRedefine/>
    <w:qFormat/>
    <w:rPr>
      <w:rFonts w:ascii="仿宋" w:eastAsia="仿宋" w:hAnsi="仿宋" w:cs="仿宋"/>
      <w:sz w:val="18"/>
      <w:szCs w:val="18"/>
      <w:lang w:val="zh-CN" w:bidi="zh-CN"/>
    </w:rPr>
  </w:style>
  <w:style w:type="paragraph" w:customStyle="1" w:styleId="10">
    <w:name w:val="修订1"/>
    <w:autoRedefine/>
    <w:hidden/>
    <w:uiPriority w:val="99"/>
    <w:semiHidden/>
    <w:qFormat/>
    <w:rPr>
      <w:rFonts w:ascii="仿宋" w:eastAsia="仿宋" w:hAnsi="仿宋" w:cs="仿宋"/>
      <w:sz w:val="22"/>
      <w:szCs w:val="22"/>
      <w:lang w:val="zh-CN" w:bidi="zh-CN"/>
    </w:r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fontstyle01">
    <w:name w:val="fontstyle01"/>
    <w:basedOn w:val="a0"/>
    <w:qFormat/>
    <w:rPr>
      <w:rFonts w:ascii="宋体" w:eastAsia="宋体" w:hAnsi="宋体" w:hint="eastAsia"/>
      <w:color w:val="000000"/>
      <w:sz w:val="22"/>
      <w:szCs w:val="22"/>
    </w:rPr>
  </w:style>
  <w:style w:type="paragraph" w:styleId="af1">
    <w:name w:val="List Paragraph"/>
    <w:basedOn w:val="a"/>
    <w:uiPriority w:val="99"/>
    <w:qFormat/>
    <w:pPr>
      <w:ind w:firstLineChars="200" w:firstLine="420"/>
    </w:pPr>
  </w:style>
  <w:style w:type="paragraph" w:customStyle="1" w:styleId="2">
    <w:name w:val="修订2"/>
    <w:hidden/>
    <w:uiPriority w:val="99"/>
    <w:semiHidden/>
    <w:qFormat/>
    <w:rPr>
      <w:rFonts w:ascii="仿宋" w:eastAsia="仿宋" w:hAnsi="仿宋" w:cs="仿宋"/>
      <w:sz w:val="22"/>
      <w:szCs w:val="22"/>
      <w:lang w:val="zh-CN" w:bidi="zh-CN"/>
    </w:rPr>
  </w:style>
  <w:style w:type="paragraph" w:customStyle="1" w:styleId="3">
    <w:name w:val="修订3"/>
    <w:hidden/>
    <w:uiPriority w:val="99"/>
    <w:semiHidden/>
    <w:qFormat/>
    <w:rPr>
      <w:rFonts w:ascii="仿宋" w:eastAsia="仿宋" w:hAnsi="仿宋" w:cs="仿宋"/>
      <w:sz w:val="22"/>
      <w:szCs w:val="22"/>
      <w:lang w:val="zh-CN" w:bidi="zh-CN"/>
    </w:rPr>
  </w:style>
  <w:style w:type="character" w:customStyle="1" w:styleId="a6">
    <w:name w:val="正文文本 字符"/>
    <w:basedOn w:val="a0"/>
    <w:link w:val="a5"/>
    <w:uiPriority w:val="1"/>
    <w:qFormat/>
    <w:rPr>
      <w:rFonts w:ascii="仿宋" w:eastAsia="仿宋" w:hAnsi="仿宋" w:cs="仿宋"/>
      <w:sz w:val="32"/>
      <w:szCs w:val="32"/>
      <w:lang w:val="zh-CN" w:bidi="zh-CN"/>
    </w:rPr>
  </w:style>
  <w:style w:type="paragraph" w:customStyle="1" w:styleId="4">
    <w:name w:val="修订4"/>
    <w:hidden/>
    <w:uiPriority w:val="99"/>
    <w:semiHidden/>
    <w:qFormat/>
    <w:rPr>
      <w:rFonts w:ascii="仿宋" w:eastAsia="仿宋" w:hAnsi="仿宋" w:cs="仿宋"/>
      <w:sz w:val="22"/>
      <w:szCs w:val="22"/>
      <w:lang w:val="zh-CN" w:bidi="zh-CN"/>
    </w:rPr>
  </w:style>
  <w:style w:type="paragraph" w:customStyle="1" w:styleId="5">
    <w:name w:val="修订5"/>
    <w:hidden/>
    <w:uiPriority w:val="99"/>
    <w:semiHidden/>
    <w:qFormat/>
    <w:rPr>
      <w:rFonts w:ascii="仿宋" w:eastAsia="仿宋" w:hAnsi="仿宋" w:cs="仿宋"/>
      <w:sz w:val="22"/>
      <w:szCs w:val="22"/>
      <w:lang w:val="zh-CN" w:bidi="zh-CN"/>
    </w:rPr>
  </w:style>
  <w:style w:type="paragraph" w:customStyle="1" w:styleId="6">
    <w:name w:val="修订6"/>
    <w:hidden/>
    <w:uiPriority w:val="99"/>
    <w:semiHidden/>
    <w:qFormat/>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03BE5-3C4F-4681-8E5D-96071E7E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韦治池</cp:lastModifiedBy>
  <cp:revision>4</cp:revision>
  <cp:lastPrinted>2025-03-19T07:14:00Z</cp:lastPrinted>
  <dcterms:created xsi:type="dcterms:W3CDTF">2025-03-19T07:13:00Z</dcterms:created>
  <dcterms:modified xsi:type="dcterms:W3CDTF">2025-03-19T07:31:00Z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2785F0FEA11643789DF08207673F6E06_13</vt:lpwstr>
  </property>
  <property fmtid="{D5CDD505-2E9C-101B-9397-08002B2CF9AE}" pid="4" name="KSOTemplateDocerSaveRecord">
    <vt:lpwstr>eyJoZGlkIjoiNDk1YTZjNTZkZWVlYjQyNDg3MTIxZmE5N2ViNGM5ZmQiLCJ1c2VySWQiOiI1NjIzMjcwOTEifQ==</vt:lpwstr>
  </property>
</Properties>
</file>