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rPr>
      </w:pPr>
      <w:r>
        <w:rPr>
          <w:rFonts w:hint="eastAsia" w:ascii="仿宋_GB2312" w:hAnsi="Times New Roman" w:eastAsia="仿宋_GB2312" w:cs="Times New Roman"/>
          <w:color w:val="000000"/>
          <w:spacing w:val="12"/>
          <w:sz w:val="28"/>
        </w:rPr>
        <w:t>〔20</w:t>
      </w:r>
      <w:r>
        <w:rPr>
          <w:rFonts w:hint="eastAsia" w:ascii="仿宋_GB2312" w:hAnsi="Times New Roman" w:eastAsia="仿宋_GB2312" w:cs="Times New Roman"/>
          <w:color w:val="000000"/>
          <w:spacing w:val="12"/>
          <w:sz w:val="28"/>
          <w:lang w:val="en-US" w:eastAsia="zh-CN"/>
        </w:rPr>
        <w:t>2</w:t>
      </w:r>
      <w:r>
        <w:rPr>
          <w:rFonts w:hint="default" w:ascii="仿宋_GB2312" w:eastAsia="仿宋_GB2312" w:cs="Times New Roman"/>
          <w:color w:val="000000"/>
          <w:spacing w:val="12"/>
          <w:sz w:val="28"/>
          <w:lang w:val="en-US" w:eastAsia="zh-CN"/>
        </w:rPr>
        <w:t>5</w:t>
      </w:r>
      <w:r>
        <w:rPr>
          <w:rFonts w:hint="eastAsia" w:ascii="仿宋_GB2312" w:hAnsi="Times New Roman" w:eastAsia="仿宋_GB2312" w:cs="Times New Roman"/>
          <w:color w:val="000000"/>
          <w:spacing w:val="12"/>
          <w:sz w:val="28"/>
        </w:rPr>
        <w:t>〕</w:t>
      </w:r>
      <w:r>
        <w:rPr>
          <w:rFonts w:hint="default" w:ascii="仿宋_GB2312" w:eastAsia="仿宋_GB2312" w:cs="Times New Roman"/>
          <w:color w:val="000000"/>
          <w:spacing w:val="12"/>
          <w:sz w:val="28"/>
          <w:lang w:val="en-US"/>
        </w:rPr>
        <w:t>26</w:t>
      </w:r>
      <w:r>
        <w:rPr>
          <w:rFonts w:hint="eastAsia" w:ascii="仿宋_GB2312" w:hAnsi="Times New Roman" w:eastAsia="仿宋_GB2312" w:cs="Times New Roman"/>
          <w:color w:val="000000"/>
          <w:spacing w:val="12"/>
          <w:sz w:val="28"/>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sz w:val="28"/>
          <w:szCs w:val="28"/>
        </w:rPr>
      </w:pP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kern w:val="0"/>
          <w:sz w:val="44"/>
          <w:lang w:eastAsia="zh-CN"/>
        </w:rPr>
      </w:pPr>
      <w:bookmarkStart w:id="0" w:name="quanwen"/>
      <w:r>
        <w:rPr>
          <w:rFonts w:hint="eastAsia" w:ascii="方正小标宋简体" w:hAnsi="方正小标宋简体" w:eastAsia="方正小标宋简体"/>
          <w:kern w:val="0"/>
          <w:sz w:val="44"/>
        </w:rPr>
        <w:t>关</w:t>
      </w:r>
      <w:r>
        <w:rPr>
          <w:rFonts w:hint="eastAsia" w:ascii="方正小标宋简体" w:hAnsi="方正小标宋简体" w:eastAsia="方正小标宋简体"/>
          <w:b w:val="0"/>
          <w:bCs w:val="0"/>
          <w:kern w:val="0"/>
          <w:sz w:val="44"/>
        </w:rPr>
        <w:t>于</w:t>
      </w:r>
      <w:r>
        <w:rPr>
          <w:rFonts w:hint="eastAsia" w:ascii="方正小标宋简体" w:hAnsi="方正小标宋简体" w:eastAsia="方正小标宋简体"/>
          <w:kern w:val="0"/>
          <w:sz w:val="44"/>
        </w:rPr>
        <w:t>对</w:t>
      </w:r>
      <w:r>
        <w:rPr>
          <w:rFonts w:hint="eastAsia" w:ascii="方正小标宋简体" w:hAnsi="方正小标宋简体" w:eastAsia="方正小标宋简体"/>
          <w:kern w:val="0"/>
          <w:sz w:val="44"/>
          <w:lang w:eastAsia="zh-CN"/>
        </w:rPr>
        <w:t>广东宝丽华新能源股份有限公司</w:t>
      </w: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44"/>
          <w:szCs w:val="44"/>
          <w:highlight w:val="none"/>
        </w:rPr>
        <w:t>采取</w:t>
      </w:r>
      <w:r>
        <w:rPr>
          <w:rFonts w:hint="eastAsia" w:ascii="方正小标宋简体" w:hAnsi="方正小标宋简体" w:eastAsia="方正小标宋简体" w:cs="方正小标宋简体"/>
          <w:sz w:val="44"/>
          <w:szCs w:val="44"/>
          <w:highlight w:val="none"/>
          <w:lang w:eastAsia="zh-CN"/>
        </w:rPr>
        <w:t>出具警示函</w:t>
      </w:r>
      <w:r>
        <w:rPr>
          <w:rFonts w:hint="eastAsia" w:ascii="方正小标宋简体" w:hAnsi="方正小标宋简体" w:eastAsia="方正小标宋简体" w:cs="方正小标宋简体"/>
          <w:sz w:val="44"/>
          <w:szCs w:val="44"/>
          <w:highlight w:val="none"/>
        </w:rPr>
        <w:t>措施的决定</w:t>
      </w: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default" w:ascii="方正小标宋简体" w:hAnsi="方正小标宋简体" w:eastAsia="方正小标宋简体"/>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广东宝丽华新能源股份有限公司：</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经查，你公司存在以下违规行为：</w:t>
      </w:r>
    </w:p>
    <w:p>
      <w:pPr>
        <w:pStyle w:val="2"/>
        <w:keepNext w:val="0"/>
        <w:keepLines w:val="0"/>
        <w:pageBreakBefore w:val="0"/>
        <w:widowControl w:val="0"/>
        <w:kinsoku/>
        <w:wordWrap/>
        <w:topLinePunct w:val="0"/>
        <w:autoSpaceDE/>
        <w:autoSpaceDN/>
        <w:bidi w:val="0"/>
        <w:snapToGrid w:val="0"/>
        <w:spacing w:beforeLines="0" w:afterLines="0" w:line="336" w:lineRule="auto"/>
        <w:ind w:left="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val="en-US" w:eastAsia="zh-CN"/>
        </w:rPr>
        <w:t>21年2月，你公司将合计约</w:t>
      </w:r>
      <w:r>
        <w:rPr>
          <w:rFonts w:hint="eastAsia" w:ascii="仿宋_GB2312" w:hAnsi="仿宋_GB2312" w:eastAsia="仿宋_GB2312" w:cs="仿宋_GB2312"/>
          <w:sz w:val="32"/>
          <w:szCs w:val="32"/>
          <w:lang w:val="en-US" w:eastAsia="zh-CN"/>
        </w:rPr>
        <w:t>2,550万元资金转给你公司</w:t>
      </w:r>
      <w:r>
        <w:rPr>
          <w:rFonts w:hint="eastAsia" w:ascii="仿宋_GB2312" w:hAnsi="仿宋_GB2312" w:eastAsia="仿宋_GB2312" w:cs="仿宋_GB2312"/>
          <w:kern w:val="0"/>
          <w:sz w:val="32"/>
          <w:szCs w:val="32"/>
          <w:lang w:val="en-US" w:eastAsia="zh-CN"/>
        </w:rPr>
        <w:t>控股股东广东宝丽华集团有限公司（以下简称宝丽华集团）及其关联方使用</w:t>
      </w:r>
      <w:r>
        <w:rPr>
          <w:rFonts w:hint="eastAsia" w:ascii="仿宋_GB2312" w:hAnsi="仿宋_GB2312" w:eastAsia="仿宋_GB2312" w:cs="仿宋_GB2312"/>
          <w:sz w:val="32"/>
          <w:szCs w:val="32"/>
          <w:lang w:val="en-US" w:eastAsia="zh-CN"/>
        </w:rPr>
        <w:t>。截至2024年2月，宝丽华集团已向你公司归还上述款项。</w:t>
      </w:r>
    </w:p>
    <w:p>
      <w:pPr>
        <w:keepNext w:val="0"/>
        <w:keepLines w:val="0"/>
        <w:pageBreakBefore w:val="0"/>
        <w:widowControl w:val="0"/>
        <w:kinsoku/>
        <w:wordWrap/>
        <w:overflowPunct/>
        <w:topLinePunct w:val="0"/>
        <w:autoSpaceDE/>
        <w:autoSpaceDN/>
        <w:bidi w:val="0"/>
        <w:snapToGrid w:val="0"/>
        <w:spacing w:beforeLines="0" w:afterLines="0" w:line="336" w:lineRule="auto"/>
        <w:ind w:firstLine="640"/>
        <w:rPr>
          <w:rFonts w:hint="eastAsia"/>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你公司上述关联方非经营性资金往来未按规定履行相应的审议程序和信息披露义务，相关行为违反了《上市公司信息披露管理办法》（证监会令</w:t>
      </w:r>
      <w:r>
        <w:rPr>
          <w:rFonts w:hint="eastAsia" w:ascii="仿宋_GB2312" w:hAnsi="仿宋_GB2312" w:eastAsia="仿宋_GB2312" w:cs="仿宋_GB2312"/>
          <w:b w:val="0"/>
          <w:bCs w:val="0"/>
          <w:color w:val="auto"/>
          <w:spacing w:val="-6"/>
          <w:kern w:val="0"/>
          <w:sz w:val="32"/>
          <w:szCs w:val="32"/>
          <w:highlight w:val="none"/>
          <w:lang w:val="en-US" w:eastAsia="zh-CN"/>
        </w:rPr>
        <w:t>第40号</w:t>
      </w:r>
      <w:r>
        <w:rPr>
          <w:rFonts w:hint="default" w:ascii="仿宋_GB2312" w:hAnsi="仿宋_GB2312" w:eastAsia="仿宋_GB2312" w:cs="仿宋_GB2312"/>
          <w:b w:val="0"/>
          <w:bCs w:val="0"/>
          <w:color w:val="auto"/>
          <w:spacing w:val="-6"/>
          <w:kern w:val="0"/>
          <w:sz w:val="32"/>
          <w:szCs w:val="32"/>
          <w:highlight w:val="none"/>
          <w:lang w:eastAsia="zh-CN"/>
        </w:rPr>
        <w:t>，下同</w:t>
      </w:r>
      <w:r>
        <w:rPr>
          <w:rFonts w:hint="eastAsia" w:ascii="仿宋_GB2312" w:hAnsi="仿宋_GB2312" w:eastAsia="仿宋_GB2312" w:cs="仿宋_GB2312"/>
          <w:b w:val="0"/>
          <w:bCs w:val="0"/>
          <w:color w:val="auto"/>
          <w:spacing w:val="-6"/>
          <w:kern w:val="0"/>
          <w:sz w:val="32"/>
          <w:szCs w:val="32"/>
          <w:highlight w:val="none"/>
          <w:lang w:val="en-US" w:eastAsia="zh-CN"/>
        </w:rPr>
        <w:t>）第二条第一款、第四十八条的规定。</w:t>
      </w:r>
    </w:p>
    <w:p>
      <w:pPr>
        <w:pStyle w:val="2"/>
        <w:keepNext w:val="0"/>
        <w:keepLines w:val="0"/>
        <w:pageBreakBefore w:val="0"/>
        <w:widowControl w:val="0"/>
        <w:kinsoku/>
        <w:wordWrap/>
        <w:overflowPunct/>
        <w:topLinePunct w:val="0"/>
        <w:autoSpaceDE/>
        <w:autoSpaceDN/>
        <w:bidi w:val="0"/>
        <w:snapToGrid w:val="0"/>
        <w:spacing w:beforeLines="0" w:afterLines="0" w:line="336"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lang w:val="en-US" w:eastAsia="zh-CN"/>
        </w:rPr>
        <w:t>根据《上市公司信息披露管理办法》第五十九条</w:t>
      </w:r>
      <w:r>
        <w:rPr>
          <w:rFonts w:hint="default" w:ascii="仿宋_GB2312" w:hAnsi="仿宋_GB2312" w:eastAsia="仿宋_GB2312" w:cs="仿宋_GB2312"/>
          <w:sz w:val="32"/>
          <w:szCs w:val="32"/>
          <w:lang w:eastAsia="zh-CN"/>
        </w:rPr>
        <w:t>第一项</w:t>
      </w:r>
      <w:r>
        <w:rPr>
          <w:rFonts w:hint="eastAsia" w:ascii="仿宋_GB2312" w:hAnsi="仿宋_GB2312" w:eastAsia="仿宋_GB2312" w:cs="仿宋_GB2312"/>
          <w:sz w:val="32"/>
          <w:szCs w:val="32"/>
          <w:lang w:val="en-US" w:eastAsia="zh-CN"/>
        </w:rPr>
        <w:t>的规定，我局决定对你公司采取出具警示函的行政监管措施。</w:t>
      </w:r>
      <w:r>
        <w:rPr>
          <w:rFonts w:hint="eastAsia" w:ascii="仿宋_GB2312" w:hAnsi="??" w:eastAsia="仿宋_GB2312" w:cs="Times New Roman"/>
          <w:color w:val="auto"/>
          <w:spacing w:val="0"/>
          <w:kern w:val="0"/>
          <w:sz w:val="32"/>
          <w:szCs w:val="20"/>
          <w:highlight w:val="none"/>
          <w:lang w:val="en-US" w:eastAsia="zh-CN" w:bidi="ar-SA"/>
        </w:rPr>
        <w:t>你公司应深刻吸取教训，切实加强对证券法律法规的学习，依法真实、准确、完整、及时、公平地履行信息披露义务。</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jc w:val="left"/>
        <w:textAlignment w:val="auto"/>
        <w:rPr>
          <w:rFonts w:ascii="宋体" w:hAnsi="宋体" w:cs="宋体"/>
          <w:color w:val="000000"/>
          <w:sz w:val="20"/>
          <w:szCs w:val="20"/>
        </w:rPr>
      </w:pPr>
      <w:r>
        <w:rPr>
          <w:rFonts w:hint="eastAsia" w:ascii="仿宋_GB2312" w:hAnsi="仿宋_GB2312" w:eastAsia="仿宋_GB2312" w:cs="仿宋_GB2312"/>
          <w:color w:val="000000"/>
          <w:spacing w:val="0"/>
          <w:kern w:val="0"/>
          <w:sz w:val="32"/>
          <w:szCs w:val="32"/>
          <w:lang w:val="en-US" w:eastAsia="zh-CN" w:bidi="ar-SA"/>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widowControl/>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3</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13</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eastAsia="黑体"/>
          <w:spacing w:val="8"/>
          <w:sz w:val="3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22"/>
          <w:szCs w:val="20"/>
        </w:rPr>
      </w:pPr>
    </w:p>
    <w:p>
      <w:pPr>
        <w:snapToGrid w:val="0"/>
        <w:spacing w:line="300" w:lineRule="auto"/>
        <w:ind w:right="26"/>
        <w:jc w:val="left"/>
        <w:rPr>
          <w:rFonts w:hint="eastAsia" w:ascii="黑体" w:eastAsia="黑体"/>
          <w:spacing w:val="8"/>
          <w:sz w:val="24"/>
          <w:szCs w:val="16"/>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eastAsia="长城仿宋"/>
          <w:sz w:val="28"/>
        </w:rPr>
      </w:pPr>
      <w:r>
        <w:rPr>
          <w:rFonts w:hint="eastAsia" w:ascii="仿宋_GB2312" w:eastAsia="仿宋_GB2312"/>
          <w:spacing w:val="8"/>
          <w:sz w:val="28"/>
        </w:rPr>
        <w:t>抄送：证监会上市司、法治司；深圳证券交易所。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default" w:ascii="仿宋_GB2312" w:eastAsia="仿宋_GB2312"/>
          <w:spacing w:val="8"/>
          <w:sz w:val="28"/>
          <w:lang w:val="en" w:eastAsia="zh-CN"/>
        </w:rPr>
        <w:t>202</w:t>
      </w:r>
      <w:r>
        <w:rPr>
          <w:rFonts w:hint="default" w:ascii="仿宋_GB2312" w:eastAsia="仿宋_GB2312"/>
          <w:spacing w:val="8"/>
          <w:sz w:val="28"/>
          <w:lang w:val="en-US" w:eastAsia="zh-CN"/>
        </w:rPr>
        <w:t>5</w:t>
      </w:r>
      <w:r>
        <w:rPr>
          <w:rFonts w:hint="eastAsia" w:ascii="仿宋_GB2312" w:eastAsia="仿宋_GB2312"/>
          <w:spacing w:val="8"/>
          <w:sz w:val="28"/>
        </w:rPr>
        <w:t>年</w:t>
      </w:r>
      <w:r>
        <w:rPr>
          <w:rFonts w:hint="default" w:ascii="仿宋_GB2312" w:eastAsia="仿宋_GB2312"/>
          <w:spacing w:val="8"/>
          <w:sz w:val="28"/>
          <w:lang w:val="en-US"/>
        </w:rPr>
        <w:t>3</w:t>
      </w:r>
      <w:r>
        <w:rPr>
          <w:rFonts w:hint="eastAsia" w:ascii="仿宋_GB2312" w:eastAsia="仿宋_GB2312"/>
          <w:spacing w:val="8"/>
          <w:sz w:val="28"/>
        </w:rPr>
        <w:t>月</w:t>
      </w:r>
      <w:r>
        <w:rPr>
          <w:rFonts w:hint="default" w:ascii="仿宋_GB2312" w:eastAsia="仿宋_GB2312"/>
          <w:spacing w:val="8"/>
          <w:sz w:val="28"/>
          <w:lang w:val="en-US"/>
        </w:rPr>
        <w:t>13</w:t>
      </w:r>
      <w:r>
        <w:rPr>
          <w:rFonts w:hint="eastAsia" w:ascii="仿宋_GB2312" w:eastAsia="仿宋_GB2312"/>
          <w:spacing w:val="8"/>
          <w:sz w:val="28"/>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eastAsia="仿宋_GB2312"/>
          <w:spacing w:val="8"/>
          <w:sz w:val="2"/>
          <w:szCs w:val="2"/>
        </w:rPr>
      </w:pPr>
    </w:p>
    <w:bookmarkEnd w:id="0"/>
    <w:p>
      <w:pPr>
        <w:snapToGrid w:val="0"/>
        <w:spacing w:beforeLines="0" w:afterLines="0"/>
        <w:rPr>
          <w:sz w:val="2"/>
          <w:szCs w:val="2"/>
        </w:rPr>
      </w:pPr>
    </w:p>
    <w:sectPr>
      <w:pgSz w:w="11906" w:h="16838"/>
      <w:pgMar w:top="2097"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609000101010101"/>
    <w:charset w:val="00"/>
    <w:family w:val="auto"/>
    <w:pitch w:val="default"/>
    <w:sig w:usb0="00000000" w:usb1="00000000" w:usb2="00000000" w:usb3="00000000" w:csb0="00000001" w:csb1="00000000"/>
  </w:font>
  <w:font w:name="长城仿宋">
    <w:altName w:val="宋体"/>
    <w:panose1 w:val="0201060900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D4269"/>
    <w:rsid w:val="1FFDA44D"/>
    <w:rsid w:val="4F7F60FD"/>
    <w:rsid w:val="5F99AD25"/>
    <w:rsid w:val="6FFEA127"/>
    <w:rsid w:val="74FBD62E"/>
    <w:rsid w:val="77DA1FF8"/>
    <w:rsid w:val="7D3D4269"/>
    <w:rsid w:val="BEB7D808"/>
    <w:rsid w:val="BF2607AE"/>
    <w:rsid w:val="DFE3A8E3"/>
    <w:rsid w:val="E2990097"/>
    <w:rsid w:val="F5ED3D7A"/>
    <w:rsid w:val="F6F5DA31"/>
    <w:rsid w:val="F98F7969"/>
    <w:rsid w:val="FADFF419"/>
    <w:rsid w:val="FAEF6B16"/>
    <w:rsid w:val="FBF9D949"/>
    <w:rsid w:val="FECF05C5"/>
    <w:rsid w:val="FFDF9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2025-02-20T21:54:00Z</dcterms:created>
  <dc:creator>王艳</dc:creator>
  <cp:lastModifiedBy>王艳</cp:lastModifiedBy>
  <cp:lastPrinted>2025-02-21T15:06:00Z</cp:lastPrinted>
  <dcterms:modified xsi:type="dcterms:W3CDTF">2025-03-17T09:03:37Z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3CB1197D37BB0D7C3800B467F148B70D</vt:lpwstr>
  </property>
</Properties>
</file>