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E0C1" w14:textId="1F47D619" w:rsidR="00F33A21" w:rsidRDefault="00F33A21" w:rsidP="00135331">
      <w:pPr>
        <w:spacing w:beforeLines="50" w:before="156" w:afterLines="50" w:after="156" w:line="400" w:lineRule="exact"/>
        <w:rPr>
          <w:rFonts w:ascii="宋体" w:hAnsi="宋体" w:hint="eastAsia"/>
          <w:bCs/>
          <w:iCs/>
          <w:sz w:val="24"/>
        </w:rPr>
      </w:pPr>
      <w:r>
        <w:rPr>
          <w:rFonts w:ascii="宋体" w:hAnsi="宋体" w:hint="eastAsia"/>
          <w:bCs/>
          <w:iCs/>
          <w:sz w:val="24"/>
        </w:rPr>
        <w:t>证券代码：</w:t>
      </w:r>
      <w:r>
        <w:rPr>
          <w:rFonts w:ascii="宋体" w:hAnsi="宋体" w:cs="宋体"/>
          <w:sz w:val="24"/>
        </w:rPr>
        <w:t>603466</w:t>
      </w:r>
      <w:r w:rsidR="00FB48C9">
        <w:rPr>
          <w:rFonts w:ascii="宋体" w:hAnsi="宋体" w:hint="eastAsia"/>
          <w:bCs/>
          <w:iCs/>
          <w:sz w:val="24"/>
        </w:rPr>
        <w:t xml:space="preserve">                      </w:t>
      </w:r>
      <w:r w:rsidR="00764912">
        <w:rPr>
          <w:rFonts w:ascii="宋体" w:hAnsi="宋体"/>
          <w:bCs/>
          <w:iCs/>
          <w:sz w:val="24"/>
        </w:rPr>
        <w:t xml:space="preserve">             </w:t>
      </w:r>
      <w:r w:rsidR="00FB48C9">
        <w:rPr>
          <w:rFonts w:ascii="宋体" w:hAnsi="宋体" w:hint="eastAsia"/>
          <w:bCs/>
          <w:iCs/>
          <w:sz w:val="24"/>
        </w:rPr>
        <w:t xml:space="preserve"> </w:t>
      </w:r>
      <w:r>
        <w:rPr>
          <w:rFonts w:ascii="宋体" w:hAnsi="宋体" w:hint="eastAsia"/>
          <w:bCs/>
          <w:iCs/>
          <w:sz w:val="24"/>
        </w:rPr>
        <w:t>证券简称：</w:t>
      </w:r>
      <w:r>
        <w:rPr>
          <w:rFonts w:ascii="宋体" w:hAnsi="宋体" w:cs="宋体"/>
          <w:sz w:val="24"/>
        </w:rPr>
        <w:t>风语筑</w:t>
      </w:r>
    </w:p>
    <w:p w14:paraId="10F0E71B" w14:textId="77777777" w:rsidR="008C5353" w:rsidRDefault="008C5353" w:rsidP="00135331">
      <w:pPr>
        <w:spacing w:beforeLines="50" w:before="156" w:afterLines="50" w:after="156" w:line="400" w:lineRule="exact"/>
        <w:jc w:val="center"/>
        <w:rPr>
          <w:rFonts w:ascii="宋体" w:hAnsi="宋体" w:cs="宋体" w:hint="eastAsia"/>
          <w:b/>
          <w:sz w:val="32"/>
        </w:rPr>
      </w:pPr>
      <w:r>
        <w:rPr>
          <w:rFonts w:ascii="宋体" w:hAnsi="宋体" w:cs="宋体" w:hint="eastAsia"/>
          <w:b/>
          <w:sz w:val="32"/>
        </w:rPr>
        <w:t>上海风语筑文化科技股份有限公司</w:t>
      </w:r>
    </w:p>
    <w:p w14:paraId="75BA0DBF" w14:textId="61F50C97" w:rsidR="00F33A21" w:rsidRPr="006A1DD0" w:rsidRDefault="00F33A21" w:rsidP="00135331">
      <w:pPr>
        <w:spacing w:beforeLines="50" w:before="156" w:afterLines="50" w:after="156" w:line="400" w:lineRule="exact"/>
        <w:jc w:val="center"/>
        <w:rPr>
          <w:rFonts w:ascii="宋体" w:hAnsi="宋体" w:hint="eastAsia"/>
          <w:b/>
          <w:bCs/>
          <w:iCs/>
          <w:sz w:val="30"/>
          <w:szCs w:val="30"/>
        </w:rPr>
      </w:pPr>
      <w:r w:rsidRPr="006A1DD0">
        <w:rPr>
          <w:rFonts w:ascii="宋体" w:hAnsi="宋体" w:hint="eastAsia"/>
          <w:b/>
          <w:bCs/>
          <w:iCs/>
          <w:sz w:val="30"/>
          <w:szCs w:val="30"/>
        </w:rPr>
        <w:t>投资者关系活动记录表</w:t>
      </w:r>
    </w:p>
    <w:p w14:paraId="7DAE5D15" w14:textId="0B1B6A59" w:rsidR="00F33A21" w:rsidRDefault="00F33A21" w:rsidP="00F33A21">
      <w:pPr>
        <w:spacing w:line="400" w:lineRule="exact"/>
        <w:rPr>
          <w:rFonts w:ascii="宋体" w:hAnsi="宋体" w:hint="eastAsia"/>
          <w:bCs/>
          <w:iCs/>
          <w:sz w:val="24"/>
        </w:rPr>
      </w:pPr>
      <w:r>
        <w:rPr>
          <w:rFonts w:ascii="宋体" w:hAnsi="宋体" w:hint="eastAsia"/>
          <w:bCs/>
          <w:iCs/>
          <w:sz w:val="24"/>
        </w:rPr>
        <w:t xml:space="preserve">                      </w:t>
      </w:r>
      <w:r w:rsidR="00FB48C9">
        <w:rPr>
          <w:rFonts w:ascii="宋体" w:hAnsi="宋体" w:hint="eastAsia"/>
          <w:bCs/>
          <w:iCs/>
          <w:sz w:val="24"/>
        </w:rPr>
        <w:t xml:space="preserve">                            </w:t>
      </w:r>
      <w:r>
        <w:rPr>
          <w:rFonts w:ascii="宋体" w:hAnsi="宋体" w:hint="eastAsia"/>
          <w:bCs/>
          <w:iCs/>
          <w:sz w:val="24"/>
        </w:rPr>
        <w:t>编号：</w:t>
      </w:r>
      <w:r w:rsidR="00764912">
        <w:rPr>
          <w:rFonts w:ascii="宋体" w:hAnsi="宋体" w:hint="eastAsia"/>
          <w:bCs/>
          <w:iCs/>
          <w:sz w:val="24"/>
        </w:rPr>
        <w:t>2</w:t>
      </w:r>
      <w:r w:rsidR="00764912">
        <w:rPr>
          <w:rFonts w:ascii="宋体" w:hAnsi="宋体"/>
          <w:bCs/>
          <w:iCs/>
          <w:sz w:val="24"/>
        </w:rPr>
        <w:t>02</w:t>
      </w:r>
      <w:r w:rsidR="007650D7">
        <w:rPr>
          <w:rFonts w:ascii="宋体" w:hAnsi="宋体" w:hint="eastAsia"/>
          <w:bCs/>
          <w:iCs/>
          <w:sz w:val="24"/>
        </w:rPr>
        <w:t>5</w:t>
      </w:r>
      <w:r w:rsidR="00764912">
        <w:rPr>
          <w:rFonts w:ascii="宋体" w:hAnsi="宋体"/>
          <w:bCs/>
          <w:iCs/>
          <w:sz w:val="24"/>
        </w:rPr>
        <w:t>-</w:t>
      </w:r>
      <w:r w:rsidR="00463760">
        <w:rPr>
          <w:rFonts w:ascii="宋体" w:hAnsi="宋体"/>
          <w:bCs/>
          <w:iCs/>
          <w:sz w:val="24"/>
        </w:rPr>
        <w:t>0</w:t>
      </w:r>
      <w:r w:rsidR="007650D7">
        <w:rPr>
          <w:rFonts w:ascii="宋体" w:hAnsi="宋体" w:hint="eastAsia"/>
          <w:bCs/>
          <w:iCs/>
          <w:sz w:val="24"/>
        </w:rPr>
        <w:t>3</w:t>
      </w:r>
      <w:r w:rsidR="00764912">
        <w:rPr>
          <w:rFonts w:ascii="宋体" w:hAnsi="宋体"/>
          <w:bCs/>
          <w:iCs/>
          <w:sz w:val="24"/>
        </w:rPr>
        <w:t>-01</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7198"/>
      </w:tblGrid>
      <w:tr w:rsidR="00F33A21" w14:paraId="4C3B953D" w14:textId="77777777" w:rsidTr="007B4EBB">
        <w:tc>
          <w:tcPr>
            <w:tcW w:w="1449" w:type="dxa"/>
            <w:tcBorders>
              <w:top w:val="single" w:sz="4" w:space="0" w:color="auto"/>
              <w:left w:val="single" w:sz="4" w:space="0" w:color="auto"/>
              <w:bottom w:val="single" w:sz="4" w:space="0" w:color="auto"/>
              <w:right w:val="single" w:sz="4" w:space="0" w:color="auto"/>
            </w:tcBorders>
            <w:vAlign w:val="center"/>
            <w:hideMark/>
          </w:tcPr>
          <w:p w14:paraId="3273BD8A" w14:textId="77777777" w:rsidR="00D476D6" w:rsidRDefault="00F33A21">
            <w:pPr>
              <w:spacing w:line="480" w:lineRule="atLeast"/>
              <w:jc w:val="center"/>
              <w:rPr>
                <w:rFonts w:ascii="宋体" w:hAnsi="宋体" w:hint="eastAsia"/>
                <w:b/>
                <w:bCs/>
                <w:iCs/>
                <w:sz w:val="24"/>
              </w:rPr>
            </w:pPr>
            <w:r>
              <w:rPr>
                <w:rFonts w:ascii="宋体" w:hAnsi="宋体" w:hint="eastAsia"/>
                <w:b/>
                <w:bCs/>
                <w:iCs/>
                <w:sz w:val="24"/>
              </w:rPr>
              <w:t>投资者关系</w:t>
            </w:r>
          </w:p>
          <w:p w14:paraId="2535E2D8" w14:textId="1D3B1999" w:rsidR="00F33A21" w:rsidRDefault="00F33A21">
            <w:pPr>
              <w:spacing w:line="480" w:lineRule="atLeast"/>
              <w:jc w:val="center"/>
              <w:rPr>
                <w:rFonts w:ascii="宋体" w:hAnsi="宋体" w:hint="eastAsia"/>
                <w:b/>
                <w:bCs/>
                <w:iCs/>
                <w:sz w:val="24"/>
              </w:rPr>
            </w:pPr>
            <w:r>
              <w:rPr>
                <w:rFonts w:ascii="宋体" w:hAnsi="宋体" w:hint="eastAsia"/>
                <w:b/>
                <w:bCs/>
                <w:iCs/>
                <w:sz w:val="24"/>
              </w:rPr>
              <w:t>活动类别</w:t>
            </w:r>
          </w:p>
        </w:tc>
        <w:tc>
          <w:tcPr>
            <w:tcW w:w="7198" w:type="dxa"/>
            <w:tcBorders>
              <w:top w:val="single" w:sz="4" w:space="0" w:color="auto"/>
              <w:left w:val="single" w:sz="4" w:space="0" w:color="auto"/>
              <w:bottom w:val="single" w:sz="4" w:space="0" w:color="auto"/>
              <w:right w:val="single" w:sz="4" w:space="0" w:color="auto"/>
            </w:tcBorders>
            <w:hideMark/>
          </w:tcPr>
          <w:p w14:paraId="1F4C47D2" w14:textId="6C087507" w:rsidR="00F33A21" w:rsidRPr="00BF14B5" w:rsidRDefault="003D07FC">
            <w:pPr>
              <w:spacing w:line="480" w:lineRule="atLeast"/>
              <w:rPr>
                <w:rFonts w:asciiTheme="minorEastAsia" w:eastAsiaTheme="minorEastAsia" w:hAnsiTheme="minorEastAsia" w:hint="eastAsia"/>
                <w:bCs/>
                <w:iCs/>
                <w:sz w:val="24"/>
              </w:rPr>
            </w:pP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 xml:space="preserve">特定对象调研        </w:t>
            </w:r>
            <w:r w:rsidR="00525771"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分析师会议</w:t>
            </w:r>
          </w:p>
          <w:p w14:paraId="4C6C047A" w14:textId="77777777" w:rsidR="00F33A21" w:rsidRPr="00BF14B5" w:rsidRDefault="003D07FC">
            <w:pPr>
              <w:spacing w:line="480" w:lineRule="atLeast"/>
              <w:rPr>
                <w:rFonts w:asciiTheme="minorEastAsia" w:eastAsiaTheme="minorEastAsia" w:hAnsiTheme="minorEastAsia" w:hint="eastAsia"/>
                <w:bCs/>
                <w:iCs/>
                <w:sz w:val="24"/>
              </w:rPr>
            </w:pP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 xml:space="preserve">媒体采访            </w:t>
            </w: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业绩说明会</w:t>
            </w:r>
          </w:p>
          <w:p w14:paraId="66F49735" w14:textId="77777777" w:rsidR="00F33A21" w:rsidRPr="00BF14B5" w:rsidRDefault="003D07FC">
            <w:pPr>
              <w:spacing w:line="480" w:lineRule="atLeast"/>
              <w:rPr>
                <w:rFonts w:asciiTheme="minorEastAsia" w:eastAsiaTheme="minorEastAsia" w:hAnsiTheme="minorEastAsia" w:hint="eastAsia"/>
                <w:bCs/>
                <w:iCs/>
                <w:sz w:val="24"/>
              </w:rPr>
            </w:pP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 xml:space="preserve">新闻发布会          </w:t>
            </w: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路演活动</w:t>
            </w:r>
          </w:p>
          <w:p w14:paraId="1C2B8289" w14:textId="0DB86B3B" w:rsidR="00F33A21" w:rsidRPr="00BF14B5" w:rsidRDefault="00245359" w:rsidP="00BF14B5">
            <w:pPr>
              <w:tabs>
                <w:tab w:val="left" w:pos="3045"/>
                <w:tab w:val="center" w:pos="3199"/>
              </w:tabs>
              <w:spacing w:line="480" w:lineRule="atLeast"/>
              <w:rPr>
                <w:rFonts w:asciiTheme="minorEastAsia" w:eastAsiaTheme="minorEastAsia" w:hAnsiTheme="minorEastAsia" w:hint="eastAsia"/>
                <w:bCs/>
                <w:iCs/>
                <w:sz w:val="24"/>
              </w:rPr>
            </w:pPr>
            <w:r w:rsidRPr="00BF14B5">
              <w:rPr>
                <w:rFonts w:asciiTheme="minorEastAsia" w:eastAsiaTheme="minorEastAsia" w:hAnsiTheme="minorEastAsia" w:cs="宋体"/>
                <w:sz w:val="24"/>
              </w:rPr>
              <w:t>█</w:t>
            </w:r>
            <w:r w:rsidR="00F33A21" w:rsidRPr="00BF14B5">
              <w:rPr>
                <w:rFonts w:asciiTheme="minorEastAsia" w:eastAsiaTheme="minorEastAsia" w:hAnsiTheme="minorEastAsia" w:hint="eastAsia"/>
                <w:sz w:val="24"/>
              </w:rPr>
              <w:t>现场参观</w:t>
            </w:r>
            <w:r w:rsidR="00991353" w:rsidRPr="00BF14B5">
              <w:rPr>
                <w:rFonts w:asciiTheme="minorEastAsia" w:eastAsiaTheme="minorEastAsia" w:hAnsiTheme="minorEastAsia" w:hint="eastAsia"/>
                <w:sz w:val="24"/>
              </w:rPr>
              <w:t xml:space="preserve">          </w:t>
            </w:r>
            <w:r w:rsidR="00463760">
              <w:rPr>
                <w:rFonts w:asciiTheme="minorEastAsia" w:eastAsiaTheme="minorEastAsia" w:hAnsiTheme="minorEastAsia"/>
                <w:sz w:val="24"/>
              </w:rPr>
              <w:t xml:space="preserve"> </w:t>
            </w:r>
            <w:r w:rsidR="00991353" w:rsidRPr="00BF14B5">
              <w:rPr>
                <w:rFonts w:asciiTheme="minorEastAsia" w:eastAsiaTheme="minorEastAsia" w:hAnsiTheme="minorEastAsia" w:hint="eastAsia"/>
                <w:sz w:val="24"/>
              </w:rPr>
              <w:t xml:space="preserve"> </w:t>
            </w:r>
            <w:r w:rsidR="007650D7" w:rsidRPr="00BF14B5">
              <w:rPr>
                <w:rFonts w:asciiTheme="minorEastAsia" w:eastAsiaTheme="minorEastAsia" w:hAnsiTheme="minorEastAsia" w:cs="宋体"/>
                <w:sz w:val="24"/>
              </w:rPr>
              <w:t>█</w:t>
            </w:r>
            <w:r w:rsidR="00F163EE" w:rsidRPr="00BF14B5">
              <w:rPr>
                <w:rFonts w:asciiTheme="minorEastAsia" w:eastAsiaTheme="minorEastAsia" w:hAnsiTheme="minorEastAsia" w:hint="eastAsia"/>
                <w:sz w:val="24"/>
              </w:rPr>
              <w:t>电话通讯</w:t>
            </w:r>
          </w:p>
        </w:tc>
      </w:tr>
      <w:tr w:rsidR="00D61794" w14:paraId="5E268469" w14:textId="77777777" w:rsidTr="00271A9C">
        <w:tc>
          <w:tcPr>
            <w:tcW w:w="1449" w:type="dxa"/>
            <w:tcBorders>
              <w:top w:val="single" w:sz="4" w:space="0" w:color="auto"/>
              <w:left w:val="single" w:sz="4" w:space="0" w:color="auto"/>
              <w:bottom w:val="single" w:sz="4" w:space="0" w:color="auto"/>
              <w:right w:val="single" w:sz="4" w:space="0" w:color="auto"/>
            </w:tcBorders>
            <w:vAlign w:val="center"/>
            <w:hideMark/>
          </w:tcPr>
          <w:p w14:paraId="24D92C57" w14:textId="5044B2BA" w:rsidR="00D61794" w:rsidRDefault="00D61794" w:rsidP="002360F4">
            <w:pPr>
              <w:spacing w:line="480" w:lineRule="atLeast"/>
              <w:jc w:val="center"/>
              <w:rPr>
                <w:rFonts w:ascii="宋体" w:hAnsi="宋体" w:hint="eastAsia"/>
                <w:b/>
                <w:bCs/>
                <w:iCs/>
                <w:sz w:val="24"/>
              </w:rPr>
            </w:pPr>
            <w:r>
              <w:rPr>
                <w:rFonts w:ascii="宋体" w:hAnsi="宋体" w:hint="eastAsia"/>
                <w:b/>
                <w:bCs/>
                <w:iCs/>
                <w:sz w:val="24"/>
              </w:rPr>
              <w:t>参与单位名称</w:t>
            </w:r>
          </w:p>
        </w:tc>
        <w:tc>
          <w:tcPr>
            <w:tcW w:w="7198" w:type="dxa"/>
            <w:tcBorders>
              <w:top w:val="single" w:sz="4" w:space="0" w:color="auto"/>
              <w:left w:val="single" w:sz="4" w:space="0" w:color="auto"/>
              <w:bottom w:val="single" w:sz="4" w:space="0" w:color="auto"/>
              <w:right w:val="single" w:sz="4" w:space="0" w:color="auto"/>
            </w:tcBorders>
            <w:vAlign w:val="center"/>
          </w:tcPr>
          <w:p w14:paraId="3A86BDA7" w14:textId="418123D0" w:rsidR="00D61794" w:rsidRPr="00BC17EE" w:rsidRDefault="00981D48" w:rsidP="00BC17EE">
            <w:pPr>
              <w:widowControl/>
              <w:rPr>
                <w:color w:val="000000"/>
                <w:sz w:val="22"/>
                <w:szCs w:val="22"/>
              </w:rPr>
            </w:pPr>
            <w:r w:rsidRPr="00981D48">
              <w:rPr>
                <w:color w:val="000000"/>
                <w:sz w:val="22"/>
                <w:szCs w:val="22"/>
              </w:rPr>
              <w:t>银华基金管理股份有限公司</w:t>
            </w:r>
            <w:r w:rsidR="00BC17EE">
              <w:rPr>
                <w:rFonts w:hint="eastAsia"/>
                <w:color w:val="000000"/>
                <w:sz w:val="22"/>
                <w:szCs w:val="22"/>
              </w:rPr>
              <w:t>、</w:t>
            </w:r>
            <w:r w:rsidR="00BC17EE" w:rsidRPr="00BC17EE">
              <w:rPr>
                <w:rFonts w:hint="eastAsia"/>
                <w:color w:val="000000"/>
                <w:sz w:val="22"/>
                <w:szCs w:val="22"/>
              </w:rPr>
              <w:t>中信证券股份有限公司</w:t>
            </w:r>
            <w:r w:rsidR="00BC17EE">
              <w:rPr>
                <w:rFonts w:hint="eastAsia"/>
                <w:color w:val="000000"/>
                <w:sz w:val="22"/>
                <w:szCs w:val="22"/>
              </w:rPr>
              <w:t>、</w:t>
            </w:r>
            <w:r w:rsidR="00BC17EE" w:rsidRPr="00BC17EE">
              <w:rPr>
                <w:rFonts w:hint="eastAsia"/>
                <w:color w:val="000000"/>
                <w:sz w:val="22"/>
                <w:szCs w:val="22"/>
              </w:rPr>
              <w:t>中泰证券股份有限公司</w:t>
            </w:r>
            <w:r w:rsidR="00BC17EE">
              <w:rPr>
                <w:rFonts w:hint="eastAsia"/>
                <w:color w:val="000000"/>
                <w:sz w:val="22"/>
                <w:szCs w:val="22"/>
              </w:rPr>
              <w:t>、</w:t>
            </w:r>
            <w:r w:rsidR="00BC17EE" w:rsidRPr="00BC17EE">
              <w:rPr>
                <w:rFonts w:hint="eastAsia"/>
                <w:color w:val="000000"/>
                <w:sz w:val="22"/>
                <w:szCs w:val="22"/>
              </w:rPr>
              <w:t>中国人</w:t>
            </w:r>
            <w:proofErr w:type="gramStart"/>
            <w:r w:rsidR="00BC17EE" w:rsidRPr="00BC17EE">
              <w:rPr>
                <w:rFonts w:hint="eastAsia"/>
                <w:color w:val="000000"/>
                <w:sz w:val="22"/>
                <w:szCs w:val="22"/>
              </w:rPr>
              <w:t>保资产</w:t>
            </w:r>
            <w:proofErr w:type="gramEnd"/>
            <w:r w:rsidR="00BC17EE" w:rsidRPr="00BC17EE">
              <w:rPr>
                <w:rFonts w:hint="eastAsia"/>
                <w:color w:val="000000"/>
                <w:sz w:val="22"/>
                <w:szCs w:val="22"/>
              </w:rPr>
              <w:t>管理有限公司</w:t>
            </w:r>
            <w:r w:rsidR="00BC17EE">
              <w:rPr>
                <w:rFonts w:hint="eastAsia"/>
                <w:color w:val="000000"/>
                <w:sz w:val="22"/>
                <w:szCs w:val="22"/>
              </w:rPr>
              <w:t>、</w:t>
            </w:r>
            <w:r w:rsidR="00BC17EE" w:rsidRPr="00BC17EE">
              <w:rPr>
                <w:rFonts w:hint="eastAsia"/>
                <w:color w:val="000000"/>
                <w:sz w:val="22"/>
                <w:szCs w:val="22"/>
              </w:rPr>
              <w:t>浙江浙商证券资产管理有限公司</w:t>
            </w:r>
            <w:r w:rsidR="00BC17EE">
              <w:rPr>
                <w:rFonts w:hint="eastAsia"/>
                <w:color w:val="000000"/>
                <w:sz w:val="22"/>
                <w:szCs w:val="22"/>
              </w:rPr>
              <w:t>、</w:t>
            </w:r>
            <w:r w:rsidR="00BC17EE" w:rsidRPr="00BC17EE">
              <w:rPr>
                <w:rFonts w:hint="eastAsia"/>
                <w:color w:val="000000"/>
                <w:sz w:val="22"/>
                <w:szCs w:val="22"/>
              </w:rPr>
              <w:t>招商基金管理有限公司</w:t>
            </w:r>
            <w:r w:rsidR="00BC17EE">
              <w:rPr>
                <w:rFonts w:hint="eastAsia"/>
                <w:color w:val="000000"/>
                <w:sz w:val="22"/>
                <w:szCs w:val="22"/>
              </w:rPr>
              <w:t>、</w:t>
            </w:r>
            <w:r w:rsidR="00BC17EE" w:rsidRPr="00BC17EE">
              <w:rPr>
                <w:rFonts w:hint="eastAsia"/>
                <w:color w:val="000000"/>
                <w:sz w:val="22"/>
                <w:szCs w:val="22"/>
              </w:rPr>
              <w:t>长江证券股份有限公司</w:t>
            </w:r>
            <w:r w:rsidR="00BC17EE">
              <w:rPr>
                <w:rFonts w:hint="eastAsia"/>
                <w:color w:val="000000"/>
                <w:sz w:val="22"/>
                <w:szCs w:val="22"/>
              </w:rPr>
              <w:t>、</w:t>
            </w:r>
            <w:r w:rsidR="00BC17EE" w:rsidRPr="00BC17EE">
              <w:rPr>
                <w:rFonts w:hint="eastAsia"/>
                <w:color w:val="000000"/>
                <w:sz w:val="22"/>
                <w:szCs w:val="22"/>
              </w:rPr>
              <w:t>兴</w:t>
            </w:r>
            <w:proofErr w:type="gramStart"/>
            <w:r w:rsidR="00BC17EE" w:rsidRPr="00BC17EE">
              <w:rPr>
                <w:rFonts w:hint="eastAsia"/>
                <w:color w:val="000000"/>
                <w:sz w:val="22"/>
                <w:szCs w:val="22"/>
              </w:rPr>
              <w:t>银基金</w:t>
            </w:r>
            <w:proofErr w:type="gramEnd"/>
            <w:r w:rsidR="00BC17EE" w:rsidRPr="00BC17EE">
              <w:rPr>
                <w:rFonts w:hint="eastAsia"/>
                <w:color w:val="000000"/>
                <w:sz w:val="22"/>
                <w:szCs w:val="22"/>
              </w:rPr>
              <w:t>管理有限责任公司</w:t>
            </w:r>
            <w:r w:rsidR="00BC17EE">
              <w:rPr>
                <w:rFonts w:hint="eastAsia"/>
                <w:color w:val="000000"/>
                <w:sz w:val="22"/>
                <w:szCs w:val="22"/>
              </w:rPr>
              <w:t>、</w:t>
            </w:r>
            <w:r w:rsidR="00BC17EE" w:rsidRPr="00BC17EE">
              <w:rPr>
                <w:rFonts w:hint="eastAsia"/>
                <w:color w:val="000000"/>
                <w:sz w:val="22"/>
                <w:szCs w:val="22"/>
              </w:rPr>
              <w:t>新华资产管理股份有限公司</w:t>
            </w:r>
            <w:r w:rsidR="00BC17EE">
              <w:rPr>
                <w:rFonts w:hint="eastAsia"/>
                <w:color w:val="000000"/>
                <w:sz w:val="22"/>
                <w:szCs w:val="22"/>
              </w:rPr>
              <w:t>、</w:t>
            </w:r>
            <w:r w:rsidR="00BC17EE" w:rsidRPr="00BC17EE">
              <w:rPr>
                <w:rFonts w:hint="eastAsia"/>
                <w:color w:val="000000"/>
                <w:sz w:val="22"/>
                <w:szCs w:val="22"/>
              </w:rPr>
              <w:t>西藏合众易晟投资管理有限责任公司</w:t>
            </w:r>
            <w:r w:rsidR="00BC17EE">
              <w:rPr>
                <w:rFonts w:hint="eastAsia"/>
                <w:color w:val="000000"/>
                <w:sz w:val="22"/>
                <w:szCs w:val="22"/>
              </w:rPr>
              <w:t>、</w:t>
            </w:r>
            <w:r w:rsidR="00BC17EE" w:rsidRPr="00BC17EE">
              <w:rPr>
                <w:rFonts w:hint="eastAsia"/>
                <w:color w:val="000000"/>
                <w:sz w:val="22"/>
                <w:szCs w:val="22"/>
              </w:rPr>
              <w:t>西部利得基金管理有限公司</w:t>
            </w:r>
            <w:r w:rsidR="00BC17EE">
              <w:rPr>
                <w:rFonts w:hint="eastAsia"/>
                <w:color w:val="000000"/>
                <w:sz w:val="22"/>
                <w:szCs w:val="22"/>
              </w:rPr>
              <w:t>、</w:t>
            </w:r>
            <w:proofErr w:type="gramStart"/>
            <w:r w:rsidR="00BC17EE" w:rsidRPr="00BC17EE">
              <w:rPr>
                <w:rFonts w:hint="eastAsia"/>
                <w:color w:val="000000"/>
                <w:sz w:val="22"/>
                <w:szCs w:val="22"/>
              </w:rPr>
              <w:t>天弘基金</w:t>
            </w:r>
            <w:proofErr w:type="gramEnd"/>
            <w:r w:rsidR="00BC17EE" w:rsidRPr="00BC17EE">
              <w:rPr>
                <w:rFonts w:hint="eastAsia"/>
                <w:color w:val="000000"/>
                <w:sz w:val="22"/>
                <w:szCs w:val="22"/>
              </w:rPr>
              <w:t>管理有限公司</w:t>
            </w:r>
            <w:r w:rsidR="00BC17EE">
              <w:rPr>
                <w:rFonts w:hint="eastAsia"/>
                <w:color w:val="000000"/>
                <w:sz w:val="22"/>
                <w:szCs w:val="22"/>
              </w:rPr>
              <w:t>、</w:t>
            </w:r>
            <w:r w:rsidR="00BC17EE" w:rsidRPr="00BC17EE">
              <w:rPr>
                <w:rFonts w:hint="eastAsia"/>
                <w:color w:val="000000"/>
                <w:sz w:val="22"/>
                <w:szCs w:val="22"/>
              </w:rPr>
              <w:t>深圳前海百创资本管理有限公司</w:t>
            </w:r>
            <w:r w:rsidR="00BC17EE">
              <w:rPr>
                <w:rFonts w:hint="eastAsia"/>
                <w:color w:val="000000"/>
                <w:sz w:val="22"/>
                <w:szCs w:val="22"/>
              </w:rPr>
              <w:t>、</w:t>
            </w:r>
            <w:r w:rsidR="00BC17EE" w:rsidRPr="00BC17EE">
              <w:rPr>
                <w:rFonts w:hint="eastAsia"/>
                <w:color w:val="000000"/>
                <w:sz w:val="22"/>
                <w:szCs w:val="22"/>
              </w:rPr>
              <w:t>深圳奇盛基金管理有限公司</w:t>
            </w:r>
            <w:r w:rsidR="00BC17EE">
              <w:rPr>
                <w:rFonts w:hint="eastAsia"/>
                <w:color w:val="000000"/>
                <w:sz w:val="22"/>
                <w:szCs w:val="22"/>
              </w:rPr>
              <w:t>、</w:t>
            </w:r>
            <w:r w:rsidR="00BC17EE" w:rsidRPr="00BC17EE">
              <w:rPr>
                <w:rFonts w:hint="eastAsia"/>
                <w:color w:val="000000"/>
                <w:sz w:val="22"/>
                <w:szCs w:val="22"/>
              </w:rPr>
              <w:t>上海肇万资产管理有限公司</w:t>
            </w:r>
            <w:r w:rsidR="00BC17EE">
              <w:rPr>
                <w:rFonts w:hint="eastAsia"/>
                <w:color w:val="000000"/>
                <w:sz w:val="22"/>
                <w:szCs w:val="22"/>
              </w:rPr>
              <w:t>、</w:t>
            </w:r>
            <w:r w:rsidR="00BC17EE" w:rsidRPr="00BC17EE">
              <w:rPr>
                <w:rFonts w:hint="eastAsia"/>
                <w:color w:val="000000"/>
                <w:sz w:val="22"/>
                <w:szCs w:val="22"/>
              </w:rPr>
              <w:t>上海新传奇私募基金管理有限公司</w:t>
            </w:r>
            <w:r w:rsidR="00BC17EE">
              <w:rPr>
                <w:rFonts w:hint="eastAsia"/>
                <w:color w:val="000000"/>
                <w:sz w:val="22"/>
                <w:szCs w:val="22"/>
              </w:rPr>
              <w:t>、</w:t>
            </w:r>
            <w:r w:rsidR="00BC17EE" w:rsidRPr="00BC17EE">
              <w:rPr>
                <w:rFonts w:hint="eastAsia"/>
                <w:color w:val="000000"/>
                <w:sz w:val="22"/>
                <w:szCs w:val="22"/>
              </w:rPr>
              <w:t>上海沃胜私募基金管理有限公司</w:t>
            </w:r>
            <w:r w:rsidR="00BC17EE">
              <w:rPr>
                <w:rFonts w:hint="eastAsia"/>
                <w:color w:val="000000"/>
                <w:sz w:val="22"/>
                <w:szCs w:val="22"/>
              </w:rPr>
              <w:t>、</w:t>
            </w:r>
            <w:r w:rsidR="00BC17EE" w:rsidRPr="00BC17EE">
              <w:rPr>
                <w:rFonts w:hint="eastAsia"/>
                <w:color w:val="000000"/>
                <w:sz w:val="22"/>
                <w:szCs w:val="22"/>
              </w:rPr>
              <w:t>上海睿扬投资管理有限公司</w:t>
            </w:r>
            <w:r w:rsidR="00BC17EE">
              <w:rPr>
                <w:rFonts w:hint="eastAsia"/>
                <w:color w:val="000000"/>
                <w:sz w:val="22"/>
                <w:szCs w:val="22"/>
              </w:rPr>
              <w:t>、</w:t>
            </w:r>
            <w:r w:rsidR="00BC17EE" w:rsidRPr="00BC17EE">
              <w:rPr>
                <w:rFonts w:hint="eastAsia"/>
                <w:color w:val="000000"/>
                <w:sz w:val="22"/>
                <w:szCs w:val="22"/>
              </w:rPr>
              <w:t>上海趣时资产管理有限公司</w:t>
            </w:r>
            <w:r w:rsidR="00BC17EE">
              <w:rPr>
                <w:rFonts w:hint="eastAsia"/>
                <w:color w:val="000000"/>
                <w:sz w:val="22"/>
                <w:szCs w:val="22"/>
              </w:rPr>
              <w:t>、</w:t>
            </w:r>
            <w:r w:rsidR="00BC17EE" w:rsidRPr="00BC17EE">
              <w:rPr>
                <w:rFonts w:hint="eastAsia"/>
                <w:color w:val="000000"/>
                <w:sz w:val="22"/>
                <w:szCs w:val="22"/>
              </w:rPr>
              <w:t>上海</w:t>
            </w:r>
            <w:proofErr w:type="gramStart"/>
            <w:r w:rsidR="00BC17EE" w:rsidRPr="00BC17EE">
              <w:rPr>
                <w:rFonts w:hint="eastAsia"/>
                <w:color w:val="000000"/>
                <w:sz w:val="22"/>
                <w:szCs w:val="22"/>
              </w:rPr>
              <w:t>宁涌富</w:t>
            </w:r>
            <w:proofErr w:type="gramEnd"/>
            <w:r w:rsidR="00BC17EE" w:rsidRPr="00BC17EE">
              <w:rPr>
                <w:rFonts w:hint="eastAsia"/>
                <w:color w:val="000000"/>
                <w:sz w:val="22"/>
                <w:szCs w:val="22"/>
              </w:rPr>
              <w:t>私募基金管理合伙企业</w:t>
            </w:r>
            <w:r w:rsidR="00BC17EE" w:rsidRPr="00BC17EE">
              <w:rPr>
                <w:rFonts w:hint="eastAsia"/>
                <w:color w:val="000000"/>
                <w:sz w:val="22"/>
                <w:szCs w:val="22"/>
              </w:rPr>
              <w:t>(</w:t>
            </w:r>
            <w:r w:rsidR="00BC17EE" w:rsidRPr="00BC17EE">
              <w:rPr>
                <w:rFonts w:hint="eastAsia"/>
                <w:color w:val="000000"/>
                <w:sz w:val="22"/>
                <w:szCs w:val="22"/>
              </w:rPr>
              <w:t>有限合伙</w:t>
            </w:r>
            <w:r w:rsidR="00BC17EE" w:rsidRPr="00BC17EE">
              <w:rPr>
                <w:rFonts w:hint="eastAsia"/>
                <w:color w:val="000000"/>
                <w:sz w:val="22"/>
                <w:szCs w:val="22"/>
              </w:rPr>
              <w:t>)</w:t>
            </w:r>
            <w:r w:rsidR="00BC17EE">
              <w:rPr>
                <w:rFonts w:hint="eastAsia"/>
                <w:color w:val="000000"/>
                <w:sz w:val="22"/>
                <w:szCs w:val="22"/>
              </w:rPr>
              <w:t>、</w:t>
            </w:r>
            <w:r w:rsidR="00BC17EE" w:rsidRPr="00BC17EE">
              <w:rPr>
                <w:rFonts w:hint="eastAsia"/>
                <w:color w:val="000000"/>
                <w:sz w:val="22"/>
                <w:szCs w:val="22"/>
              </w:rPr>
              <w:t>上海南土资产管理有限公司</w:t>
            </w:r>
            <w:r w:rsidR="00BC17EE">
              <w:rPr>
                <w:rFonts w:hint="eastAsia"/>
                <w:color w:val="000000"/>
                <w:sz w:val="22"/>
                <w:szCs w:val="22"/>
              </w:rPr>
              <w:t>、</w:t>
            </w:r>
            <w:r w:rsidR="00BC17EE" w:rsidRPr="00BC17EE">
              <w:rPr>
                <w:rFonts w:hint="eastAsia"/>
                <w:color w:val="000000"/>
                <w:sz w:val="22"/>
                <w:szCs w:val="22"/>
              </w:rPr>
              <w:t>上海玖鹏资产管理中心</w:t>
            </w:r>
            <w:r w:rsidR="00BC17EE" w:rsidRPr="00BC17EE">
              <w:rPr>
                <w:rFonts w:hint="eastAsia"/>
                <w:color w:val="000000"/>
                <w:sz w:val="22"/>
                <w:szCs w:val="22"/>
              </w:rPr>
              <w:t>(</w:t>
            </w:r>
            <w:r w:rsidR="00BC17EE" w:rsidRPr="00BC17EE">
              <w:rPr>
                <w:rFonts w:hint="eastAsia"/>
                <w:color w:val="000000"/>
                <w:sz w:val="22"/>
                <w:szCs w:val="22"/>
              </w:rPr>
              <w:t>有限合伙</w:t>
            </w:r>
            <w:r w:rsidR="00BC17EE" w:rsidRPr="00BC17EE">
              <w:rPr>
                <w:rFonts w:hint="eastAsia"/>
                <w:color w:val="000000"/>
                <w:sz w:val="22"/>
                <w:szCs w:val="22"/>
              </w:rPr>
              <w:t>)</w:t>
            </w:r>
            <w:r w:rsidR="00BC17EE">
              <w:rPr>
                <w:rFonts w:hint="eastAsia"/>
                <w:color w:val="000000"/>
                <w:sz w:val="22"/>
                <w:szCs w:val="22"/>
              </w:rPr>
              <w:t>、</w:t>
            </w:r>
            <w:r w:rsidR="00BC17EE" w:rsidRPr="00BC17EE">
              <w:rPr>
                <w:rFonts w:hint="eastAsia"/>
                <w:color w:val="000000"/>
                <w:sz w:val="22"/>
                <w:szCs w:val="22"/>
              </w:rPr>
              <w:t>上海国际信托有限公司</w:t>
            </w:r>
            <w:r w:rsidR="00BC17EE">
              <w:rPr>
                <w:rFonts w:hint="eastAsia"/>
                <w:color w:val="000000"/>
                <w:sz w:val="22"/>
                <w:szCs w:val="22"/>
              </w:rPr>
              <w:t>、</w:t>
            </w:r>
            <w:r w:rsidR="00BC17EE" w:rsidRPr="00BC17EE">
              <w:rPr>
                <w:rFonts w:hint="eastAsia"/>
                <w:color w:val="000000"/>
                <w:sz w:val="22"/>
                <w:szCs w:val="22"/>
              </w:rPr>
              <w:t>上海白犀私募基金管理有限公司</w:t>
            </w:r>
            <w:r w:rsidR="00BC17EE">
              <w:rPr>
                <w:rFonts w:hint="eastAsia"/>
                <w:color w:val="000000"/>
                <w:sz w:val="22"/>
                <w:szCs w:val="22"/>
              </w:rPr>
              <w:t>、</w:t>
            </w:r>
            <w:r w:rsidR="00BC17EE" w:rsidRPr="00BC17EE">
              <w:rPr>
                <w:rFonts w:hint="eastAsia"/>
                <w:color w:val="000000"/>
                <w:sz w:val="22"/>
                <w:szCs w:val="22"/>
              </w:rPr>
              <w:t>融通基金管理有限公司</w:t>
            </w:r>
            <w:r w:rsidR="00BC17EE">
              <w:rPr>
                <w:rFonts w:hint="eastAsia"/>
                <w:color w:val="000000"/>
                <w:sz w:val="22"/>
                <w:szCs w:val="22"/>
              </w:rPr>
              <w:t>、</w:t>
            </w:r>
            <w:r w:rsidR="00BC17EE" w:rsidRPr="00BC17EE">
              <w:rPr>
                <w:rFonts w:hint="eastAsia"/>
                <w:color w:val="000000"/>
                <w:sz w:val="22"/>
                <w:szCs w:val="22"/>
              </w:rPr>
              <w:t>全国社会保障基金理事会</w:t>
            </w:r>
            <w:r w:rsidR="00BC17EE">
              <w:rPr>
                <w:rFonts w:hint="eastAsia"/>
                <w:color w:val="000000"/>
                <w:sz w:val="22"/>
                <w:szCs w:val="22"/>
              </w:rPr>
              <w:t>、</w:t>
            </w:r>
            <w:r w:rsidR="00BC17EE" w:rsidRPr="00BC17EE">
              <w:rPr>
                <w:rFonts w:hint="eastAsia"/>
                <w:color w:val="000000"/>
                <w:sz w:val="22"/>
                <w:szCs w:val="22"/>
              </w:rPr>
              <w:t>平安资产管理有限责任公司</w:t>
            </w:r>
            <w:r w:rsidR="00BC17EE">
              <w:rPr>
                <w:rFonts w:hint="eastAsia"/>
                <w:color w:val="000000"/>
                <w:sz w:val="22"/>
                <w:szCs w:val="22"/>
              </w:rPr>
              <w:t>、</w:t>
            </w:r>
            <w:proofErr w:type="gramStart"/>
            <w:r w:rsidR="00BC17EE" w:rsidRPr="00BC17EE">
              <w:rPr>
                <w:rFonts w:hint="eastAsia"/>
                <w:color w:val="000000"/>
                <w:sz w:val="22"/>
                <w:szCs w:val="22"/>
              </w:rPr>
              <w:t>鹏扬基金</w:t>
            </w:r>
            <w:proofErr w:type="gramEnd"/>
            <w:r w:rsidR="00BC17EE" w:rsidRPr="00BC17EE">
              <w:rPr>
                <w:rFonts w:hint="eastAsia"/>
                <w:color w:val="000000"/>
                <w:sz w:val="22"/>
                <w:szCs w:val="22"/>
              </w:rPr>
              <w:t>管理有限公司</w:t>
            </w:r>
            <w:r w:rsidR="00BC17EE">
              <w:rPr>
                <w:rFonts w:hint="eastAsia"/>
                <w:color w:val="000000"/>
                <w:sz w:val="22"/>
                <w:szCs w:val="22"/>
              </w:rPr>
              <w:t>、</w:t>
            </w:r>
            <w:r w:rsidR="00BC17EE" w:rsidRPr="00BC17EE">
              <w:rPr>
                <w:rFonts w:hint="eastAsia"/>
                <w:color w:val="000000"/>
                <w:sz w:val="22"/>
                <w:szCs w:val="22"/>
              </w:rPr>
              <w:t>鹏华基金管理有限公司</w:t>
            </w:r>
            <w:r w:rsidR="00BC17EE">
              <w:rPr>
                <w:rFonts w:hint="eastAsia"/>
                <w:color w:val="000000"/>
                <w:sz w:val="22"/>
                <w:szCs w:val="22"/>
              </w:rPr>
              <w:t>、</w:t>
            </w:r>
            <w:r w:rsidR="00BC17EE" w:rsidRPr="00BC17EE">
              <w:rPr>
                <w:rFonts w:hint="eastAsia"/>
                <w:color w:val="000000"/>
                <w:sz w:val="22"/>
                <w:szCs w:val="22"/>
              </w:rPr>
              <w:t>摩根士丹利基金管理</w:t>
            </w:r>
            <w:r w:rsidR="00BC17EE" w:rsidRPr="00BC17EE">
              <w:rPr>
                <w:rFonts w:hint="eastAsia"/>
                <w:color w:val="000000"/>
                <w:sz w:val="22"/>
                <w:szCs w:val="22"/>
              </w:rPr>
              <w:t>(</w:t>
            </w:r>
            <w:r w:rsidR="00BC17EE" w:rsidRPr="00BC17EE">
              <w:rPr>
                <w:rFonts w:hint="eastAsia"/>
                <w:color w:val="000000"/>
                <w:sz w:val="22"/>
                <w:szCs w:val="22"/>
              </w:rPr>
              <w:t>中国</w:t>
            </w:r>
            <w:r w:rsidR="00BC17EE" w:rsidRPr="00BC17EE">
              <w:rPr>
                <w:rFonts w:hint="eastAsia"/>
                <w:color w:val="000000"/>
                <w:sz w:val="22"/>
                <w:szCs w:val="22"/>
              </w:rPr>
              <w:t>)</w:t>
            </w:r>
            <w:r w:rsidR="00BC17EE" w:rsidRPr="00BC17EE">
              <w:rPr>
                <w:rFonts w:hint="eastAsia"/>
                <w:color w:val="000000"/>
                <w:sz w:val="22"/>
                <w:szCs w:val="22"/>
              </w:rPr>
              <w:t>有限公司</w:t>
            </w:r>
            <w:r w:rsidR="00BC17EE">
              <w:rPr>
                <w:rFonts w:hint="eastAsia"/>
                <w:color w:val="000000"/>
                <w:sz w:val="22"/>
                <w:szCs w:val="22"/>
              </w:rPr>
              <w:t>、</w:t>
            </w:r>
            <w:r w:rsidR="00BC17EE" w:rsidRPr="00BC17EE">
              <w:rPr>
                <w:rFonts w:hint="eastAsia"/>
                <w:color w:val="000000"/>
                <w:sz w:val="22"/>
                <w:szCs w:val="22"/>
              </w:rPr>
              <w:t>交银施罗德基金管理有限公司</w:t>
            </w:r>
            <w:r w:rsidR="00BC17EE">
              <w:rPr>
                <w:rFonts w:hint="eastAsia"/>
                <w:color w:val="000000"/>
                <w:sz w:val="22"/>
                <w:szCs w:val="22"/>
              </w:rPr>
              <w:t>、</w:t>
            </w:r>
            <w:r w:rsidR="00BC17EE" w:rsidRPr="00BC17EE">
              <w:rPr>
                <w:rFonts w:hint="eastAsia"/>
                <w:color w:val="000000"/>
                <w:sz w:val="22"/>
                <w:szCs w:val="22"/>
              </w:rPr>
              <w:t>汇</w:t>
            </w:r>
            <w:proofErr w:type="gramStart"/>
            <w:r w:rsidR="00BC17EE" w:rsidRPr="00BC17EE">
              <w:rPr>
                <w:rFonts w:hint="eastAsia"/>
                <w:color w:val="000000"/>
                <w:sz w:val="22"/>
                <w:szCs w:val="22"/>
              </w:rPr>
              <w:t>丰晋信</w:t>
            </w:r>
            <w:proofErr w:type="gramEnd"/>
            <w:r w:rsidR="00BC17EE" w:rsidRPr="00BC17EE">
              <w:rPr>
                <w:rFonts w:hint="eastAsia"/>
                <w:color w:val="000000"/>
                <w:sz w:val="22"/>
                <w:szCs w:val="22"/>
              </w:rPr>
              <w:t>基金管理有限公司</w:t>
            </w:r>
            <w:r w:rsidR="00BC17EE">
              <w:rPr>
                <w:rFonts w:hint="eastAsia"/>
                <w:color w:val="000000"/>
                <w:sz w:val="22"/>
                <w:szCs w:val="22"/>
              </w:rPr>
              <w:t>、</w:t>
            </w:r>
            <w:r w:rsidR="00BC17EE" w:rsidRPr="00BC17EE">
              <w:rPr>
                <w:rFonts w:hint="eastAsia"/>
                <w:color w:val="000000"/>
                <w:sz w:val="22"/>
                <w:szCs w:val="22"/>
              </w:rPr>
              <w:t>华泰资产管理有限公司</w:t>
            </w:r>
            <w:r w:rsidR="00BC17EE">
              <w:rPr>
                <w:rFonts w:hint="eastAsia"/>
                <w:color w:val="000000"/>
                <w:sz w:val="22"/>
                <w:szCs w:val="22"/>
              </w:rPr>
              <w:t>、</w:t>
            </w:r>
            <w:r w:rsidR="00BC17EE" w:rsidRPr="00BC17EE">
              <w:rPr>
                <w:rFonts w:hint="eastAsia"/>
                <w:color w:val="000000"/>
                <w:sz w:val="22"/>
                <w:szCs w:val="22"/>
              </w:rPr>
              <w:t>湖南源乘私募基金管理有限公司</w:t>
            </w:r>
            <w:r w:rsidR="00BC17EE">
              <w:rPr>
                <w:rFonts w:hint="eastAsia"/>
                <w:color w:val="000000"/>
                <w:sz w:val="22"/>
                <w:szCs w:val="22"/>
              </w:rPr>
              <w:t>、</w:t>
            </w:r>
            <w:r w:rsidR="00BC17EE" w:rsidRPr="00BC17EE">
              <w:rPr>
                <w:rFonts w:hint="eastAsia"/>
                <w:color w:val="000000"/>
                <w:sz w:val="22"/>
                <w:szCs w:val="22"/>
              </w:rPr>
              <w:t>杭银理财有限责任公司</w:t>
            </w:r>
            <w:r w:rsidR="00BC17EE">
              <w:rPr>
                <w:rFonts w:hint="eastAsia"/>
                <w:color w:val="000000"/>
                <w:sz w:val="22"/>
                <w:szCs w:val="22"/>
              </w:rPr>
              <w:t>、</w:t>
            </w:r>
            <w:r w:rsidR="00BC17EE" w:rsidRPr="00BC17EE">
              <w:rPr>
                <w:rFonts w:hint="eastAsia"/>
                <w:color w:val="000000"/>
                <w:sz w:val="22"/>
                <w:szCs w:val="22"/>
              </w:rPr>
              <w:t>海富通基金管理有限公司</w:t>
            </w:r>
            <w:r w:rsidR="00BC17EE">
              <w:rPr>
                <w:rFonts w:hint="eastAsia"/>
                <w:color w:val="000000"/>
                <w:sz w:val="22"/>
                <w:szCs w:val="22"/>
              </w:rPr>
              <w:t>、</w:t>
            </w:r>
            <w:r w:rsidR="00BC17EE" w:rsidRPr="00BC17EE">
              <w:rPr>
                <w:rFonts w:hint="eastAsia"/>
                <w:color w:val="000000"/>
                <w:sz w:val="22"/>
                <w:szCs w:val="22"/>
              </w:rPr>
              <w:t>国泰基金管理有限公司</w:t>
            </w:r>
            <w:r w:rsidR="00BC17EE">
              <w:rPr>
                <w:rFonts w:hint="eastAsia"/>
                <w:color w:val="000000"/>
                <w:sz w:val="22"/>
                <w:szCs w:val="22"/>
              </w:rPr>
              <w:t>、</w:t>
            </w:r>
            <w:r w:rsidR="00164841" w:rsidRPr="00164841">
              <w:rPr>
                <w:color w:val="000000"/>
                <w:sz w:val="22"/>
                <w:szCs w:val="22"/>
              </w:rPr>
              <w:t>国联民生证券股份有限公司</w:t>
            </w:r>
            <w:r w:rsidR="00BC17EE">
              <w:rPr>
                <w:rFonts w:hint="eastAsia"/>
                <w:color w:val="000000"/>
                <w:sz w:val="22"/>
                <w:szCs w:val="22"/>
              </w:rPr>
              <w:t>、</w:t>
            </w:r>
            <w:r w:rsidR="00BC17EE" w:rsidRPr="00BC17EE">
              <w:rPr>
                <w:rFonts w:hint="eastAsia"/>
                <w:color w:val="000000"/>
                <w:sz w:val="22"/>
                <w:szCs w:val="22"/>
              </w:rPr>
              <w:t>国金基</w:t>
            </w:r>
            <w:r w:rsidR="00BC17EE" w:rsidRPr="00F316CC">
              <w:rPr>
                <w:rFonts w:hint="eastAsia"/>
                <w:color w:val="000000"/>
                <w:sz w:val="22"/>
                <w:szCs w:val="22"/>
              </w:rPr>
              <w:t>金管理有限公司、广发证券股份有限公司、广东银石私募基金管理有限公司、光大证券研究所、工银理财有限责任公司、富国基金管理有限公司、佛山市东盈投资管理有限公司、东海基金管理有限责任公司、大成基金管理有限公司、成都翰聚</w:t>
            </w:r>
            <w:r w:rsidR="00BC17EE" w:rsidRPr="00BC17EE">
              <w:rPr>
                <w:rFonts w:hint="eastAsia"/>
                <w:color w:val="000000"/>
                <w:sz w:val="22"/>
                <w:szCs w:val="22"/>
              </w:rPr>
              <w:t>私募基金管理有限公司</w:t>
            </w:r>
            <w:r w:rsidR="00BC17EE">
              <w:rPr>
                <w:rFonts w:hint="eastAsia"/>
                <w:color w:val="000000"/>
                <w:sz w:val="22"/>
                <w:szCs w:val="22"/>
              </w:rPr>
              <w:t>、</w:t>
            </w:r>
            <w:r w:rsidR="00BC17EE" w:rsidRPr="00BC17EE">
              <w:rPr>
                <w:rFonts w:hint="eastAsia"/>
                <w:color w:val="000000"/>
                <w:sz w:val="22"/>
                <w:szCs w:val="22"/>
              </w:rPr>
              <w:t>博时基金管理有限公司</w:t>
            </w:r>
            <w:r w:rsidR="00BC17EE">
              <w:rPr>
                <w:rFonts w:hint="eastAsia"/>
                <w:color w:val="000000"/>
                <w:sz w:val="22"/>
                <w:szCs w:val="22"/>
              </w:rPr>
              <w:t>、</w:t>
            </w:r>
            <w:r w:rsidR="00BC17EE" w:rsidRPr="00BC17EE">
              <w:rPr>
                <w:rFonts w:hint="eastAsia"/>
                <w:color w:val="000000"/>
                <w:sz w:val="22"/>
                <w:szCs w:val="22"/>
              </w:rPr>
              <w:t>北信瑞丰基金管理有限公司</w:t>
            </w:r>
            <w:r w:rsidR="00BC17EE">
              <w:rPr>
                <w:rFonts w:hint="eastAsia"/>
                <w:color w:val="000000"/>
                <w:sz w:val="22"/>
                <w:szCs w:val="22"/>
              </w:rPr>
              <w:t>、</w:t>
            </w:r>
            <w:r w:rsidR="00BC17EE" w:rsidRPr="00BC17EE">
              <w:rPr>
                <w:color w:val="000000"/>
                <w:sz w:val="22"/>
                <w:szCs w:val="22"/>
              </w:rPr>
              <w:t>PINPOINT ASSET MANAGEMENT LIMITED</w:t>
            </w:r>
            <w:r w:rsidR="00BC17EE">
              <w:rPr>
                <w:rFonts w:hint="eastAsia"/>
                <w:color w:val="000000"/>
                <w:sz w:val="22"/>
                <w:szCs w:val="22"/>
              </w:rPr>
              <w:t>、</w:t>
            </w:r>
            <w:r w:rsidR="00BC17EE" w:rsidRPr="00BC17EE">
              <w:rPr>
                <w:color w:val="000000"/>
                <w:sz w:val="22"/>
                <w:szCs w:val="22"/>
              </w:rPr>
              <w:t>LMR Partners Limited</w:t>
            </w:r>
          </w:p>
        </w:tc>
      </w:tr>
      <w:tr w:rsidR="002360F4" w14:paraId="563C2D5A" w14:textId="77777777" w:rsidTr="007B4EBB">
        <w:tc>
          <w:tcPr>
            <w:tcW w:w="1449" w:type="dxa"/>
            <w:tcBorders>
              <w:top w:val="single" w:sz="4" w:space="0" w:color="auto"/>
              <w:left w:val="single" w:sz="4" w:space="0" w:color="auto"/>
              <w:bottom w:val="single" w:sz="4" w:space="0" w:color="auto"/>
              <w:right w:val="single" w:sz="4" w:space="0" w:color="auto"/>
            </w:tcBorders>
            <w:vAlign w:val="center"/>
            <w:hideMark/>
          </w:tcPr>
          <w:p w14:paraId="06B29AB2" w14:textId="77777777" w:rsidR="002360F4" w:rsidRDefault="002360F4" w:rsidP="002360F4">
            <w:pPr>
              <w:spacing w:line="480" w:lineRule="atLeast"/>
              <w:jc w:val="center"/>
              <w:rPr>
                <w:rFonts w:ascii="宋体" w:hAnsi="宋体" w:hint="eastAsia"/>
                <w:b/>
                <w:bCs/>
                <w:iCs/>
                <w:sz w:val="24"/>
              </w:rPr>
            </w:pPr>
            <w:r>
              <w:rPr>
                <w:rFonts w:ascii="宋体" w:hAnsi="宋体" w:hint="eastAsia"/>
                <w:b/>
                <w:bCs/>
                <w:iCs/>
                <w:sz w:val="24"/>
              </w:rPr>
              <w:t>时间</w:t>
            </w:r>
          </w:p>
        </w:tc>
        <w:tc>
          <w:tcPr>
            <w:tcW w:w="7198" w:type="dxa"/>
            <w:tcBorders>
              <w:top w:val="single" w:sz="4" w:space="0" w:color="auto"/>
              <w:left w:val="single" w:sz="4" w:space="0" w:color="auto"/>
              <w:bottom w:val="single" w:sz="4" w:space="0" w:color="auto"/>
              <w:right w:val="single" w:sz="4" w:space="0" w:color="auto"/>
            </w:tcBorders>
            <w:vAlign w:val="center"/>
            <w:hideMark/>
          </w:tcPr>
          <w:p w14:paraId="0CE55D62" w14:textId="460DC1FE" w:rsidR="002360F4" w:rsidRPr="00BF14B5" w:rsidRDefault="00333BE4" w:rsidP="002360F4">
            <w:pPr>
              <w:spacing w:line="480" w:lineRule="atLeast"/>
              <w:rPr>
                <w:rFonts w:asciiTheme="minorEastAsia" w:eastAsiaTheme="minorEastAsia" w:hAnsiTheme="minorEastAsia" w:hint="eastAsia"/>
                <w:bCs/>
                <w:iCs/>
                <w:sz w:val="24"/>
              </w:rPr>
            </w:pPr>
            <w:r w:rsidRPr="00BF14B5">
              <w:rPr>
                <w:rFonts w:asciiTheme="minorEastAsia" w:eastAsiaTheme="minorEastAsia" w:hAnsiTheme="minorEastAsia" w:cs="宋体"/>
                <w:sz w:val="24"/>
              </w:rPr>
              <w:t>202</w:t>
            </w:r>
            <w:r>
              <w:rPr>
                <w:rFonts w:asciiTheme="minorEastAsia" w:eastAsiaTheme="minorEastAsia" w:hAnsiTheme="minorEastAsia" w:cs="宋体" w:hint="eastAsia"/>
                <w:sz w:val="24"/>
              </w:rPr>
              <w:t>5</w:t>
            </w:r>
            <w:r w:rsidRPr="00BF14B5">
              <w:rPr>
                <w:rFonts w:asciiTheme="minorEastAsia" w:eastAsiaTheme="minorEastAsia" w:hAnsiTheme="minorEastAsia" w:cs="宋体"/>
                <w:sz w:val="24"/>
              </w:rPr>
              <w:t>年</w:t>
            </w:r>
            <w:r>
              <w:rPr>
                <w:rFonts w:asciiTheme="minorEastAsia" w:eastAsiaTheme="minorEastAsia" w:hAnsiTheme="minorEastAsia" w:cs="宋体" w:hint="eastAsia"/>
                <w:sz w:val="24"/>
              </w:rPr>
              <w:t>3</w:t>
            </w:r>
            <w:r w:rsidRPr="00BF14B5">
              <w:rPr>
                <w:rFonts w:asciiTheme="minorEastAsia" w:eastAsiaTheme="minorEastAsia" w:hAnsiTheme="minorEastAsia" w:cs="宋体"/>
                <w:sz w:val="24"/>
              </w:rPr>
              <w:t>月</w:t>
            </w:r>
            <w:r>
              <w:rPr>
                <w:rFonts w:asciiTheme="minorEastAsia" w:eastAsiaTheme="minorEastAsia" w:hAnsiTheme="minorEastAsia" w:cs="宋体" w:hint="eastAsia"/>
                <w:sz w:val="24"/>
              </w:rPr>
              <w:t>19日-</w:t>
            </w:r>
            <w:r w:rsidR="002360F4" w:rsidRPr="00BF14B5">
              <w:rPr>
                <w:rFonts w:asciiTheme="minorEastAsia" w:eastAsiaTheme="minorEastAsia" w:hAnsiTheme="minorEastAsia" w:cs="宋体"/>
                <w:sz w:val="24"/>
              </w:rPr>
              <w:t>202</w:t>
            </w:r>
            <w:r w:rsidR="007650D7">
              <w:rPr>
                <w:rFonts w:asciiTheme="minorEastAsia" w:eastAsiaTheme="minorEastAsia" w:hAnsiTheme="minorEastAsia" w:cs="宋体" w:hint="eastAsia"/>
                <w:sz w:val="24"/>
              </w:rPr>
              <w:t>5</w:t>
            </w:r>
            <w:r w:rsidR="002360F4" w:rsidRPr="00BF14B5">
              <w:rPr>
                <w:rFonts w:asciiTheme="minorEastAsia" w:eastAsiaTheme="minorEastAsia" w:hAnsiTheme="minorEastAsia" w:cs="宋体"/>
                <w:sz w:val="24"/>
              </w:rPr>
              <w:t>年</w:t>
            </w:r>
            <w:r w:rsidR="007650D7">
              <w:rPr>
                <w:rFonts w:asciiTheme="minorEastAsia" w:eastAsiaTheme="minorEastAsia" w:hAnsiTheme="minorEastAsia" w:cs="宋体" w:hint="eastAsia"/>
                <w:sz w:val="24"/>
              </w:rPr>
              <w:t>3</w:t>
            </w:r>
            <w:r w:rsidR="002360F4" w:rsidRPr="00BF14B5">
              <w:rPr>
                <w:rFonts w:asciiTheme="minorEastAsia" w:eastAsiaTheme="minorEastAsia" w:hAnsiTheme="minorEastAsia" w:cs="宋体"/>
                <w:sz w:val="24"/>
              </w:rPr>
              <w:t>月</w:t>
            </w:r>
            <w:r w:rsidR="007650D7">
              <w:rPr>
                <w:rFonts w:asciiTheme="minorEastAsia" w:eastAsiaTheme="minorEastAsia" w:hAnsiTheme="minorEastAsia" w:cs="宋体" w:hint="eastAsia"/>
                <w:sz w:val="24"/>
              </w:rPr>
              <w:t>20</w:t>
            </w:r>
            <w:r w:rsidR="00206BF6">
              <w:rPr>
                <w:rFonts w:asciiTheme="minorEastAsia" w:eastAsiaTheme="minorEastAsia" w:hAnsiTheme="minorEastAsia" w:cs="宋体" w:hint="eastAsia"/>
                <w:sz w:val="24"/>
              </w:rPr>
              <w:t>日</w:t>
            </w:r>
          </w:p>
        </w:tc>
      </w:tr>
      <w:tr w:rsidR="002360F4" w14:paraId="04570B71" w14:textId="77777777" w:rsidTr="007B4EBB">
        <w:tc>
          <w:tcPr>
            <w:tcW w:w="1449" w:type="dxa"/>
            <w:tcBorders>
              <w:top w:val="single" w:sz="4" w:space="0" w:color="auto"/>
              <w:left w:val="single" w:sz="4" w:space="0" w:color="auto"/>
              <w:bottom w:val="single" w:sz="4" w:space="0" w:color="auto"/>
              <w:right w:val="single" w:sz="4" w:space="0" w:color="auto"/>
            </w:tcBorders>
            <w:vAlign w:val="center"/>
            <w:hideMark/>
          </w:tcPr>
          <w:p w14:paraId="5DA4AABD" w14:textId="77777777" w:rsidR="002360F4" w:rsidRDefault="002360F4" w:rsidP="002360F4">
            <w:pPr>
              <w:spacing w:line="480" w:lineRule="atLeast"/>
              <w:jc w:val="center"/>
              <w:rPr>
                <w:rFonts w:ascii="宋体" w:hAnsi="宋体" w:hint="eastAsia"/>
                <w:b/>
                <w:bCs/>
                <w:iCs/>
                <w:sz w:val="24"/>
              </w:rPr>
            </w:pPr>
            <w:r>
              <w:rPr>
                <w:rFonts w:ascii="宋体" w:hAnsi="宋体" w:hint="eastAsia"/>
                <w:b/>
                <w:bCs/>
                <w:iCs/>
                <w:sz w:val="24"/>
              </w:rPr>
              <w:t>地点</w:t>
            </w:r>
          </w:p>
        </w:tc>
        <w:tc>
          <w:tcPr>
            <w:tcW w:w="7198" w:type="dxa"/>
            <w:tcBorders>
              <w:top w:val="single" w:sz="4" w:space="0" w:color="auto"/>
              <w:left w:val="single" w:sz="4" w:space="0" w:color="auto"/>
              <w:bottom w:val="single" w:sz="4" w:space="0" w:color="auto"/>
              <w:right w:val="single" w:sz="4" w:space="0" w:color="auto"/>
            </w:tcBorders>
            <w:vAlign w:val="center"/>
          </w:tcPr>
          <w:p w14:paraId="1136F4B9" w14:textId="39B0CD0E" w:rsidR="002360F4" w:rsidRPr="00BF14B5" w:rsidRDefault="00245359" w:rsidP="002360F4">
            <w:pPr>
              <w:spacing w:line="480" w:lineRule="atLeast"/>
              <w:rPr>
                <w:rFonts w:asciiTheme="minorEastAsia" w:eastAsiaTheme="minorEastAsia" w:hAnsiTheme="minorEastAsia" w:hint="eastAsia"/>
                <w:bCs/>
                <w:iCs/>
                <w:sz w:val="24"/>
              </w:rPr>
            </w:pPr>
            <w:proofErr w:type="gramStart"/>
            <w:r w:rsidRPr="001C359E">
              <w:rPr>
                <w:rFonts w:asciiTheme="minorEastAsia" w:eastAsiaTheme="minorEastAsia" w:hAnsiTheme="minorEastAsia" w:cs="宋体" w:hint="eastAsia"/>
                <w:sz w:val="24"/>
              </w:rPr>
              <w:t>风语筑大楼</w:t>
            </w:r>
            <w:proofErr w:type="gramEnd"/>
            <w:r w:rsidR="00A8694D">
              <w:rPr>
                <w:rFonts w:asciiTheme="minorEastAsia" w:eastAsiaTheme="minorEastAsia" w:hAnsiTheme="minorEastAsia" w:cs="宋体"/>
                <w:sz w:val="24"/>
              </w:rPr>
              <w:t>10</w:t>
            </w:r>
            <w:r w:rsidRPr="001C359E">
              <w:rPr>
                <w:rFonts w:asciiTheme="minorEastAsia" w:eastAsiaTheme="minorEastAsia" w:hAnsiTheme="minorEastAsia" w:cs="宋体" w:hint="eastAsia"/>
                <w:sz w:val="24"/>
              </w:rPr>
              <w:t>层（上海市</w:t>
            </w:r>
            <w:r w:rsidR="001A0F2D">
              <w:rPr>
                <w:rFonts w:asciiTheme="minorEastAsia" w:eastAsiaTheme="minorEastAsia" w:hAnsiTheme="minorEastAsia" w:cs="宋体" w:hint="eastAsia"/>
                <w:sz w:val="24"/>
              </w:rPr>
              <w:t>静安区</w:t>
            </w:r>
            <w:r w:rsidRPr="001C359E">
              <w:rPr>
                <w:rFonts w:asciiTheme="minorEastAsia" w:eastAsiaTheme="minorEastAsia" w:hAnsiTheme="minorEastAsia" w:cs="宋体" w:hint="eastAsia"/>
                <w:sz w:val="24"/>
              </w:rPr>
              <w:t>江场三路191号）</w:t>
            </w:r>
          </w:p>
        </w:tc>
      </w:tr>
      <w:tr w:rsidR="002360F4" w14:paraId="7E4858D2" w14:textId="77777777" w:rsidTr="007B4EBB">
        <w:tc>
          <w:tcPr>
            <w:tcW w:w="1449" w:type="dxa"/>
            <w:tcBorders>
              <w:top w:val="single" w:sz="4" w:space="0" w:color="auto"/>
              <w:left w:val="single" w:sz="4" w:space="0" w:color="auto"/>
              <w:bottom w:val="single" w:sz="4" w:space="0" w:color="auto"/>
              <w:right w:val="single" w:sz="4" w:space="0" w:color="auto"/>
            </w:tcBorders>
            <w:vAlign w:val="center"/>
            <w:hideMark/>
          </w:tcPr>
          <w:p w14:paraId="1A5EA44D" w14:textId="77777777" w:rsidR="002360F4" w:rsidRDefault="002360F4" w:rsidP="002360F4">
            <w:pPr>
              <w:spacing w:line="480" w:lineRule="atLeast"/>
              <w:jc w:val="center"/>
              <w:rPr>
                <w:rFonts w:ascii="宋体" w:hAnsi="宋体" w:hint="eastAsia"/>
                <w:b/>
                <w:bCs/>
                <w:iCs/>
                <w:sz w:val="24"/>
              </w:rPr>
            </w:pPr>
            <w:r>
              <w:rPr>
                <w:rFonts w:ascii="宋体" w:hAnsi="宋体" w:hint="eastAsia"/>
                <w:b/>
                <w:bCs/>
                <w:iCs/>
                <w:sz w:val="24"/>
              </w:rPr>
              <w:t>上市公司接待人员姓名</w:t>
            </w:r>
          </w:p>
        </w:tc>
        <w:tc>
          <w:tcPr>
            <w:tcW w:w="7198" w:type="dxa"/>
            <w:tcBorders>
              <w:top w:val="single" w:sz="4" w:space="0" w:color="auto"/>
              <w:left w:val="single" w:sz="4" w:space="0" w:color="auto"/>
              <w:bottom w:val="single" w:sz="4" w:space="0" w:color="auto"/>
              <w:right w:val="single" w:sz="4" w:space="0" w:color="auto"/>
            </w:tcBorders>
            <w:vAlign w:val="center"/>
          </w:tcPr>
          <w:p w14:paraId="3BD1E4EE" w14:textId="79E5A098" w:rsidR="002360F4" w:rsidRPr="00BF14B5" w:rsidRDefault="002360F4" w:rsidP="00144A09">
            <w:pPr>
              <w:spacing w:line="480" w:lineRule="atLeast"/>
              <w:rPr>
                <w:rFonts w:asciiTheme="minorEastAsia" w:eastAsiaTheme="minorEastAsia" w:hAnsiTheme="minorEastAsia" w:hint="eastAsia"/>
                <w:bCs/>
                <w:iCs/>
                <w:sz w:val="24"/>
              </w:rPr>
            </w:pPr>
            <w:r w:rsidRPr="000877DE">
              <w:rPr>
                <w:rFonts w:asciiTheme="minorEastAsia" w:eastAsiaTheme="minorEastAsia" w:hAnsiTheme="minorEastAsia" w:cs="宋体"/>
                <w:sz w:val="24"/>
              </w:rPr>
              <w:t>副</w:t>
            </w:r>
            <w:r w:rsidRPr="000877DE">
              <w:rPr>
                <w:rFonts w:asciiTheme="minorEastAsia" w:eastAsiaTheme="minorEastAsia" w:hAnsiTheme="minorEastAsia" w:cs="宋体" w:hint="eastAsia"/>
                <w:sz w:val="24"/>
              </w:rPr>
              <w:t>总经理兼董事会秘书</w:t>
            </w:r>
            <w:r w:rsidRPr="000877DE">
              <w:rPr>
                <w:rFonts w:asciiTheme="minorEastAsia" w:eastAsiaTheme="minorEastAsia" w:hAnsiTheme="minorEastAsia" w:cs="宋体"/>
                <w:sz w:val="24"/>
              </w:rPr>
              <w:t>李成</w:t>
            </w:r>
          </w:p>
        </w:tc>
      </w:tr>
      <w:tr w:rsidR="002360F4" w14:paraId="4D232E65" w14:textId="77777777" w:rsidTr="007B4EBB">
        <w:trPr>
          <w:trHeight w:val="699"/>
        </w:trPr>
        <w:tc>
          <w:tcPr>
            <w:tcW w:w="1449" w:type="dxa"/>
            <w:tcBorders>
              <w:top w:val="single" w:sz="4" w:space="0" w:color="auto"/>
              <w:left w:val="single" w:sz="4" w:space="0" w:color="auto"/>
              <w:bottom w:val="single" w:sz="4" w:space="0" w:color="auto"/>
              <w:right w:val="single" w:sz="4" w:space="0" w:color="auto"/>
            </w:tcBorders>
            <w:vAlign w:val="center"/>
            <w:hideMark/>
          </w:tcPr>
          <w:p w14:paraId="6C0AAA76" w14:textId="77777777" w:rsidR="002360F4" w:rsidRDefault="002360F4" w:rsidP="002360F4">
            <w:pPr>
              <w:spacing w:line="360" w:lineRule="auto"/>
              <w:jc w:val="center"/>
              <w:rPr>
                <w:rFonts w:ascii="宋体" w:hAnsi="宋体" w:hint="eastAsia"/>
                <w:b/>
                <w:bCs/>
                <w:iCs/>
                <w:sz w:val="24"/>
              </w:rPr>
            </w:pPr>
            <w:r>
              <w:rPr>
                <w:rFonts w:ascii="宋体" w:hAnsi="宋体" w:hint="eastAsia"/>
                <w:b/>
                <w:bCs/>
                <w:iCs/>
                <w:sz w:val="24"/>
              </w:rPr>
              <w:t>投资者关系</w:t>
            </w:r>
          </w:p>
          <w:p w14:paraId="0CF6B261" w14:textId="77777777" w:rsidR="002360F4" w:rsidRDefault="002360F4" w:rsidP="002360F4">
            <w:pPr>
              <w:spacing w:line="360" w:lineRule="auto"/>
              <w:jc w:val="center"/>
              <w:rPr>
                <w:rFonts w:ascii="宋体" w:hAnsi="宋体" w:hint="eastAsia"/>
                <w:b/>
                <w:bCs/>
                <w:iCs/>
                <w:sz w:val="24"/>
              </w:rPr>
            </w:pPr>
            <w:r>
              <w:rPr>
                <w:rFonts w:ascii="宋体" w:hAnsi="宋体" w:hint="eastAsia"/>
                <w:b/>
                <w:bCs/>
                <w:iCs/>
                <w:sz w:val="24"/>
              </w:rPr>
              <w:t>活动主要</w:t>
            </w:r>
          </w:p>
          <w:p w14:paraId="388472BD" w14:textId="6F25E510" w:rsidR="002360F4" w:rsidRDefault="002360F4" w:rsidP="002360F4">
            <w:pPr>
              <w:spacing w:line="360" w:lineRule="auto"/>
              <w:jc w:val="center"/>
              <w:rPr>
                <w:rFonts w:ascii="宋体" w:hAnsi="宋体" w:hint="eastAsia"/>
                <w:b/>
                <w:bCs/>
                <w:iCs/>
                <w:sz w:val="24"/>
              </w:rPr>
            </w:pPr>
            <w:r>
              <w:rPr>
                <w:rFonts w:ascii="宋体" w:hAnsi="宋体" w:hint="eastAsia"/>
                <w:b/>
                <w:bCs/>
                <w:iCs/>
                <w:sz w:val="24"/>
              </w:rPr>
              <w:lastRenderedPageBreak/>
              <w:t>内容介绍</w:t>
            </w:r>
          </w:p>
        </w:tc>
        <w:tc>
          <w:tcPr>
            <w:tcW w:w="7198" w:type="dxa"/>
            <w:tcBorders>
              <w:top w:val="single" w:sz="4" w:space="0" w:color="auto"/>
              <w:left w:val="single" w:sz="4" w:space="0" w:color="auto"/>
              <w:bottom w:val="single" w:sz="4" w:space="0" w:color="auto"/>
              <w:right w:val="single" w:sz="4" w:space="0" w:color="auto"/>
            </w:tcBorders>
          </w:tcPr>
          <w:p w14:paraId="04B5ED88" w14:textId="7E9073B7" w:rsidR="002360F4" w:rsidRPr="00BF14B5" w:rsidRDefault="002360F4" w:rsidP="002360F4">
            <w:pPr>
              <w:pStyle w:val="ae"/>
              <w:numPr>
                <w:ilvl w:val="0"/>
                <w:numId w:val="1"/>
              </w:numPr>
              <w:spacing w:line="360" w:lineRule="auto"/>
              <w:ind w:firstLineChars="0"/>
              <w:rPr>
                <w:rFonts w:eastAsiaTheme="majorEastAsia"/>
                <w:b/>
                <w:sz w:val="24"/>
              </w:rPr>
            </w:pPr>
            <w:r w:rsidRPr="00BF14B5">
              <w:rPr>
                <w:rFonts w:eastAsiaTheme="majorEastAsia"/>
                <w:b/>
                <w:sz w:val="24"/>
              </w:rPr>
              <w:lastRenderedPageBreak/>
              <w:t>公司基本情况介绍</w:t>
            </w:r>
            <w:r w:rsidR="007650D7">
              <w:rPr>
                <w:rFonts w:eastAsiaTheme="majorEastAsia" w:hint="eastAsia"/>
                <w:b/>
                <w:sz w:val="24"/>
              </w:rPr>
              <w:t>和未来展望</w:t>
            </w:r>
          </w:p>
          <w:p w14:paraId="44218231" w14:textId="3A0D4CF7" w:rsidR="002360F4" w:rsidRPr="00BF14B5" w:rsidRDefault="002360F4" w:rsidP="00BB4B70">
            <w:pPr>
              <w:spacing w:line="360" w:lineRule="auto"/>
              <w:ind w:firstLineChars="200" w:firstLine="480"/>
              <w:rPr>
                <w:rFonts w:eastAsiaTheme="majorEastAsia"/>
                <w:bCs/>
                <w:sz w:val="24"/>
              </w:rPr>
            </w:pPr>
            <w:r w:rsidRPr="00BF14B5">
              <w:rPr>
                <w:rFonts w:eastAsiaTheme="majorEastAsia"/>
                <w:bCs/>
                <w:sz w:val="24"/>
              </w:rPr>
              <w:t>公司是中国数字展示行业首家</w:t>
            </w:r>
            <w:r w:rsidRPr="00BF14B5">
              <w:rPr>
                <w:rFonts w:eastAsiaTheme="majorEastAsia"/>
                <w:bCs/>
                <w:sz w:val="24"/>
              </w:rPr>
              <w:t>A</w:t>
            </w:r>
            <w:r w:rsidRPr="00BF14B5">
              <w:rPr>
                <w:rFonts w:eastAsiaTheme="majorEastAsia"/>
                <w:bCs/>
                <w:sz w:val="24"/>
              </w:rPr>
              <w:t>股主板上市公司，中国数字科</w:t>
            </w:r>
            <w:proofErr w:type="gramStart"/>
            <w:r w:rsidRPr="00BF14B5">
              <w:rPr>
                <w:rFonts w:eastAsiaTheme="majorEastAsia"/>
                <w:bCs/>
                <w:sz w:val="24"/>
              </w:rPr>
              <w:lastRenderedPageBreak/>
              <w:t>技应用</w:t>
            </w:r>
            <w:proofErr w:type="gramEnd"/>
            <w:r w:rsidRPr="00BF14B5">
              <w:rPr>
                <w:rFonts w:eastAsiaTheme="majorEastAsia"/>
                <w:bCs/>
                <w:sz w:val="24"/>
              </w:rPr>
              <w:t>领域龙头企业。公司致力于数字新媒体技术研发及数字内容生产、分发与管理，将数字化展示的科技体验带到更广泛的主题空间领域，颠覆现实世界与虚拟世界的感知。</w:t>
            </w:r>
            <w:r w:rsidR="007650D7" w:rsidRPr="007650D7">
              <w:rPr>
                <w:rFonts w:eastAsiaTheme="majorEastAsia" w:hint="eastAsia"/>
                <w:sz w:val="24"/>
              </w:rPr>
              <w:t>既往标杆项目案例主要包括中国共产党历史展览馆、世界技能博物馆以及依托央视</w:t>
            </w:r>
            <w:r w:rsidR="007650D7" w:rsidRPr="007650D7">
              <w:rPr>
                <w:rFonts w:eastAsiaTheme="majorEastAsia" w:hint="eastAsia"/>
                <w:sz w:val="24"/>
              </w:rPr>
              <w:t>IP</w:t>
            </w:r>
            <w:r w:rsidR="007650D7" w:rsidRPr="007650D7">
              <w:rPr>
                <w:rFonts w:eastAsiaTheme="majorEastAsia" w:hint="eastAsia"/>
                <w:sz w:val="24"/>
              </w:rPr>
              <w:t>打造的典籍里的中国、艺术里的中国、</w:t>
            </w:r>
            <w:proofErr w:type="gramStart"/>
            <w:r w:rsidR="007650D7" w:rsidRPr="007650D7">
              <w:rPr>
                <w:rFonts w:eastAsiaTheme="majorEastAsia" w:hint="eastAsia"/>
                <w:sz w:val="24"/>
              </w:rPr>
              <w:t>非遗里的</w:t>
            </w:r>
            <w:proofErr w:type="gramEnd"/>
            <w:r w:rsidR="007650D7" w:rsidRPr="007650D7">
              <w:rPr>
                <w:rFonts w:eastAsiaTheme="majorEastAsia" w:hint="eastAsia"/>
                <w:sz w:val="24"/>
              </w:rPr>
              <w:t>中国等沉浸式文化体验空间。截止目前公司已在全国范围内打造了数千座数字化展馆和沉浸式体验场景。</w:t>
            </w:r>
          </w:p>
          <w:p w14:paraId="76B3C2EA" w14:textId="78778C3F" w:rsidR="002360F4" w:rsidRPr="00BF14B5" w:rsidRDefault="002360F4" w:rsidP="002360F4">
            <w:pPr>
              <w:spacing w:line="360" w:lineRule="auto"/>
              <w:rPr>
                <w:rFonts w:eastAsiaTheme="majorEastAsia"/>
                <w:b/>
                <w:sz w:val="24"/>
              </w:rPr>
            </w:pPr>
          </w:p>
          <w:p w14:paraId="62284F13" w14:textId="7F5CE78E" w:rsidR="0097131B" w:rsidRPr="005E7446" w:rsidRDefault="002360F4" w:rsidP="00DB72EA">
            <w:pPr>
              <w:pStyle w:val="ae"/>
              <w:numPr>
                <w:ilvl w:val="0"/>
                <w:numId w:val="1"/>
              </w:numPr>
              <w:spacing w:line="360" w:lineRule="auto"/>
              <w:ind w:firstLineChars="0"/>
              <w:rPr>
                <w:rFonts w:eastAsiaTheme="majorEastAsia"/>
                <w:bCs/>
                <w:sz w:val="24"/>
              </w:rPr>
            </w:pPr>
            <w:r w:rsidRPr="00BF14B5">
              <w:rPr>
                <w:rFonts w:eastAsiaTheme="majorEastAsia"/>
                <w:b/>
                <w:sz w:val="24"/>
              </w:rPr>
              <w:t>互动提问</w:t>
            </w:r>
          </w:p>
          <w:p w14:paraId="632F3BF0" w14:textId="0FAF1867" w:rsidR="00BB4B70" w:rsidRPr="00DB72EA" w:rsidRDefault="00BC17EE" w:rsidP="00BB4B70">
            <w:pPr>
              <w:pStyle w:val="ae"/>
              <w:numPr>
                <w:ilvl w:val="0"/>
                <w:numId w:val="2"/>
              </w:numPr>
              <w:spacing w:line="360" w:lineRule="auto"/>
              <w:ind w:firstLineChars="0"/>
              <w:rPr>
                <w:rFonts w:eastAsiaTheme="majorEastAsia"/>
                <w:b/>
                <w:bCs/>
                <w:sz w:val="24"/>
              </w:rPr>
            </w:pPr>
            <w:r>
              <w:rPr>
                <w:rFonts w:eastAsiaTheme="majorEastAsia" w:hint="eastAsia"/>
                <w:b/>
                <w:bCs/>
                <w:sz w:val="24"/>
              </w:rPr>
              <w:t>请问公司</w:t>
            </w:r>
            <w:r w:rsidR="007650D7" w:rsidRPr="007650D7">
              <w:rPr>
                <w:rFonts w:eastAsiaTheme="majorEastAsia" w:hint="eastAsia"/>
                <w:b/>
                <w:bCs/>
                <w:sz w:val="24"/>
              </w:rPr>
              <w:t>主业增量来源</w:t>
            </w:r>
            <w:r>
              <w:rPr>
                <w:rFonts w:eastAsiaTheme="majorEastAsia" w:hint="eastAsia"/>
                <w:b/>
                <w:bCs/>
                <w:sz w:val="24"/>
              </w:rPr>
              <w:t>有哪些？</w:t>
            </w:r>
          </w:p>
          <w:p w14:paraId="261B3EC1" w14:textId="03CF3547" w:rsidR="00BB4B70" w:rsidRPr="00BC17EE" w:rsidRDefault="007650D7" w:rsidP="00BC17EE">
            <w:pPr>
              <w:pStyle w:val="ae"/>
              <w:spacing w:line="360" w:lineRule="auto"/>
              <w:ind w:left="360" w:firstLineChars="0" w:firstLine="0"/>
              <w:rPr>
                <w:rFonts w:eastAsiaTheme="majorEastAsia"/>
                <w:sz w:val="24"/>
              </w:rPr>
            </w:pPr>
            <w:r>
              <w:rPr>
                <w:rFonts w:eastAsiaTheme="majorEastAsia" w:hint="eastAsia"/>
                <w:sz w:val="24"/>
              </w:rPr>
              <w:t>答：</w:t>
            </w:r>
            <w:r w:rsidRPr="007650D7">
              <w:rPr>
                <w:rFonts w:eastAsiaTheme="majorEastAsia" w:hint="eastAsia"/>
                <w:sz w:val="24"/>
              </w:rPr>
              <w:t>①公司目前增量贡献的主要来源是近年来逐步拓展的新</w:t>
            </w:r>
            <w:proofErr w:type="gramStart"/>
            <w:r w:rsidRPr="007650D7">
              <w:rPr>
                <w:rFonts w:eastAsiaTheme="majorEastAsia" w:hint="eastAsia"/>
                <w:sz w:val="24"/>
              </w:rPr>
              <w:t>文旅消费</w:t>
            </w:r>
            <w:proofErr w:type="gramEnd"/>
            <w:r w:rsidRPr="007650D7">
              <w:rPr>
                <w:rFonts w:eastAsiaTheme="majorEastAsia" w:hint="eastAsia"/>
                <w:sz w:val="24"/>
              </w:rPr>
              <w:t>场景，比如即将对外开放的苏州未来科幻馆以及预计今年上半年对外开放的上海在水一方科幻馆。在国家</w:t>
            </w:r>
            <w:r w:rsidR="00EA419D" w:rsidRPr="007650D7">
              <w:rPr>
                <w:rFonts w:eastAsiaTheme="majorEastAsia" w:hint="eastAsia"/>
                <w:sz w:val="24"/>
              </w:rPr>
              <w:t xml:space="preserve"> </w:t>
            </w:r>
            <w:r w:rsidRPr="007650D7">
              <w:rPr>
                <w:rFonts w:eastAsiaTheme="majorEastAsia" w:hint="eastAsia"/>
                <w:sz w:val="24"/>
              </w:rPr>
              <w:t>“大力提振消费”的政策背景下，新</w:t>
            </w:r>
            <w:proofErr w:type="gramStart"/>
            <w:r w:rsidRPr="007650D7">
              <w:rPr>
                <w:rFonts w:eastAsiaTheme="majorEastAsia" w:hint="eastAsia"/>
                <w:sz w:val="24"/>
              </w:rPr>
              <w:t>文旅消费</w:t>
            </w:r>
            <w:proofErr w:type="gramEnd"/>
            <w:r w:rsidRPr="007650D7">
              <w:rPr>
                <w:rFonts w:eastAsiaTheme="majorEastAsia" w:hint="eastAsia"/>
                <w:sz w:val="24"/>
              </w:rPr>
              <w:t>场景业务将是公司重点拓展的业务方向</w:t>
            </w:r>
            <w:r w:rsidR="00BD55D9">
              <w:rPr>
                <w:rFonts w:eastAsiaTheme="majorEastAsia" w:hint="eastAsia"/>
                <w:sz w:val="24"/>
              </w:rPr>
              <w:t>。</w:t>
            </w:r>
            <w:r w:rsidRPr="00BC17EE">
              <w:rPr>
                <w:rFonts w:eastAsiaTheme="majorEastAsia" w:hint="eastAsia"/>
                <w:sz w:val="24"/>
              </w:rPr>
              <w:t>②自</w:t>
            </w:r>
            <w:r w:rsidRPr="00BC17EE">
              <w:rPr>
                <w:rFonts w:eastAsiaTheme="majorEastAsia" w:hint="eastAsia"/>
                <w:sz w:val="24"/>
              </w:rPr>
              <w:t>2007</w:t>
            </w:r>
            <w:r w:rsidRPr="00BC17EE">
              <w:rPr>
                <w:rFonts w:eastAsiaTheme="majorEastAsia" w:hint="eastAsia"/>
                <w:sz w:val="24"/>
              </w:rPr>
              <w:t>年以来，公司已在全国范围内打造了数千座数字化展馆和沉浸式体验场景，存量场馆有结合内容更新和前沿科技应用进行升级改造的需求。</w:t>
            </w:r>
            <w:r w:rsidRPr="00BC17EE">
              <w:rPr>
                <w:rFonts w:eastAsiaTheme="majorEastAsia"/>
                <w:sz w:val="24"/>
              </w:rPr>
              <w:t xml:space="preserve"> </w:t>
            </w:r>
          </w:p>
          <w:p w14:paraId="2DA30CCF" w14:textId="77777777" w:rsidR="00BB4B70" w:rsidRDefault="00BB4B70" w:rsidP="00BB4B70">
            <w:pPr>
              <w:pStyle w:val="ae"/>
              <w:spacing w:line="360" w:lineRule="auto"/>
              <w:ind w:left="360" w:firstLineChars="0" w:firstLine="0"/>
              <w:rPr>
                <w:rFonts w:eastAsiaTheme="majorEastAsia"/>
                <w:b/>
                <w:bCs/>
                <w:sz w:val="24"/>
              </w:rPr>
            </w:pPr>
          </w:p>
          <w:p w14:paraId="220AA032" w14:textId="5D24F0EA" w:rsidR="00BB4B70" w:rsidRPr="00CB2576" w:rsidRDefault="00EA419D" w:rsidP="00BB4B70">
            <w:pPr>
              <w:pStyle w:val="ae"/>
              <w:numPr>
                <w:ilvl w:val="0"/>
                <w:numId w:val="2"/>
              </w:numPr>
              <w:spacing w:line="360" w:lineRule="auto"/>
              <w:ind w:firstLineChars="0"/>
              <w:rPr>
                <w:rFonts w:eastAsiaTheme="majorEastAsia"/>
                <w:b/>
                <w:bCs/>
                <w:sz w:val="24"/>
              </w:rPr>
            </w:pPr>
            <w:r>
              <w:rPr>
                <w:rFonts w:eastAsiaTheme="majorEastAsia" w:hint="eastAsia"/>
                <w:b/>
                <w:bCs/>
                <w:sz w:val="24"/>
              </w:rPr>
              <w:t>请问</w:t>
            </w:r>
            <w:r w:rsidR="007650D7" w:rsidRPr="007650D7">
              <w:rPr>
                <w:rFonts w:eastAsiaTheme="majorEastAsia" w:hint="eastAsia"/>
                <w:b/>
                <w:bCs/>
                <w:sz w:val="24"/>
              </w:rPr>
              <w:t>公司</w:t>
            </w:r>
            <w:proofErr w:type="gramStart"/>
            <w:r w:rsidR="007650D7" w:rsidRPr="007650D7">
              <w:rPr>
                <w:rFonts w:eastAsiaTheme="majorEastAsia" w:hint="eastAsia"/>
                <w:b/>
                <w:bCs/>
                <w:sz w:val="24"/>
              </w:rPr>
              <w:t>成立具身智能</w:t>
            </w:r>
            <w:proofErr w:type="gramEnd"/>
            <w:r w:rsidR="007650D7" w:rsidRPr="007650D7">
              <w:rPr>
                <w:rFonts w:eastAsiaTheme="majorEastAsia" w:hint="eastAsia"/>
                <w:b/>
                <w:bCs/>
                <w:sz w:val="24"/>
              </w:rPr>
              <w:t>研究院的相关战略布局</w:t>
            </w:r>
            <w:r>
              <w:rPr>
                <w:rFonts w:eastAsiaTheme="majorEastAsia" w:hint="eastAsia"/>
                <w:b/>
                <w:bCs/>
                <w:sz w:val="24"/>
              </w:rPr>
              <w:t>？</w:t>
            </w:r>
          </w:p>
          <w:p w14:paraId="0CB06B7E" w14:textId="26CC8C22" w:rsidR="00BB4B70" w:rsidRDefault="00BB4B70" w:rsidP="00BB4B70">
            <w:pPr>
              <w:pStyle w:val="ae"/>
              <w:spacing w:line="360" w:lineRule="auto"/>
              <w:ind w:left="360" w:firstLineChars="0" w:firstLine="0"/>
              <w:rPr>
                <w:rFonts w:eastAsiaTheme="majorEastAsia"/>
                <w:sz w:val="24"/>
              </w:rPr>
            </w:pPr>
            <w:r>
              <w:rPr>
                <w:rFonts w:eastAsiaTheme="majorEastAsia" w:hint="eastAsia"/>
                <w:sz w:val="24"/>
              </w:rPr>
              <w:t>答：</w:t>
            </w:r>
            <w:r w:rsidR="00BD55D9" w:rsidRPr="007650D7">
              <w:rPr>
                <w:rFonts w:eastAsiaTheme="majorEastAsia" w:hint="eastAsia"/>
                <w:sz w:val="24"/>
              </w:rPr>
              <w:t>①</w:t>
            </w:r>
            <w:r w:rsidR="007650D7" w:rsidRPr="007650D7">
              <w:rPr>
                <w:rFonts w:eastAsiaTheme="majorEastAsia" w:hint="eastAsia"/>
                <w:sz w:val="24"/>
              </w:rPr>
              <w:t>公司</w:t>
            </w:r>
            <w:proofErr w:type="gramStart"/>
            <w:r w:rsidR="007650D7" w:rsidRPr="007650D7">
              <w:rPr>
                <w:rFonts w:eastAsiaTheme="majorEastAsia" w:hint="eastAsia"/>
                <w:sz w:val="24"/>
              </w:rPr>
              <w:t>成立具身智能</w:t>
            </w:r>
            <w:proofErr w:type="gramEnd"/>
            <w:r w:rsidR="007650D7" w:rsidRPr="007650D7">
              <w:rPr>
                <w:rFonts w:eastAsiaTheme="majorEastAsia" w:hint="eastAsia"/>
                <w:sz w:val="24"/>
              </w:rPr>
              <w:t>研究院，致力于人形机器人、仿生机器人、</w:t>
            </w:r>
            <w:r w:rsidR="007650D7" w:rsidRPr="007650D7">
              <w:rPr>
                <w:rFonts w:eastAsiaTheme="majorEastAsia" w:hint="eastAsia"/>
                <w:sz w:val="24"/>
              </w:rPr>
              <w:t>AI</w:t>
            </w:r>
            <w:r w:rsidR="007650D7" w:rsidRPr="007650D7">
              <w:rPr>
                <w:rFonts w:eastAsiaTheme="majorEastAsia" w:hint="eastAsia"/>
                <w:sz w:val="24"/>
              </w:rPr>
              <w:t>眼镜等</w:t>
            </w:r>
            <w:proofErr w:type="gramStart"/>
            <w:r w:rsidR="007650D7" w:rsidRPr="007650D7">
              <w:rPr>
                <w:rFonts w:eastAsiaTheme="majorEastAsia" w:hint="eastAsia"/>
                <w:sz w:val="24"/>
              </w:rPr>
              <w:t>具身智能端侧产品</w:t>
            </w:r>
            <w:proofErr w:type="gramEnd"/>
            <w:r w:rsidR="007650D7" w:rsidRPr="007650D7">
              <w:rPr>
                <w:rFonts w:eastAsiaTheme="majorEastAsia" w:hint="eastAsia"/>
                <w:sz w:val="24"/>
              </w:rPr>
              <w:t>在展览展示、大文博、新</w:t>
            </w:r>
            <w:proofErr w:type="gramStart"/>
            <w:r w:rsidR="007650D7" w:rsidRPr="007650D7">
              <w:rPr>
                <w:rFonts w:eastAsiaTheme="majorEastAsia" w:hint="eastAsia"/>
                <w:sz w:val="24"/>
              </w:rPr>
              <w:t>文旅消费</w:t>
            </w:r>
            <w:proofErr w:type="gramEnd"/>
            <w:r w:rsidR="007650D7" w:rsidRPr="007650D7">
              <w:rPr>
                <w:rFonts w:eastAsiaTheme="majorEastAsia" w:hint="eastAsia"/>
                <w:sz w:val="24"/>
              </w:rPr>
              <w:t>场景的落地应用</w:t>
            </w:r>
            <w:r w:rsidR="00BD55D9">
              <w:rPr>
                <w:rFonts w:eastAsiaTheme="majorEastAsia" w:hint="eastAsia"/>
                <w:sz w:val="24"/>
              </w:rPr>
              <w:t>。</w:t>
            </w:r>
            <w:r w:rsidR="00BD55D9" w:rsidRPr="00BC17EE">
              <w:rPr>
                <w:rFonts w:eastAsiaTheme="majorEastAsia" w:hint="eastAsia"/>
                <w:sz w:val="24"/>
              </w:rPr>
              <w:t>②</w:t>
            </w:r>
            <w:r w:rsidR="007650D7" w:rsidRPr="007650D7">
              <w:rPr>
                <w:rFonts w:eastAsiaTheme="majorEastAsia" w:hint="eastAsia"/>
                <w:sz w:val="24"/>
              </w:rPr>
              <w:t>公司打造的线下场馆是人形机器人进行</w:t>
            </w:r>
            <w:r w:rsidR="007650D7" w:rsidRPr="007650D7">
              <w:rPr>
                <w:rFonts w:eastAsiaTheme="majorEastAsia" w:hint="eastAsia"/>
                <w:sz w:val="24"/>
              </w:rPr>
              <w:t>AI</w:t>
            </w:r>
            <w:r w:rsidR="007650D7" w:rsidRPr="007650D7">
              <w:rPr>
                <w:rFonts w:eastAsiaTheme="majorEastAsia" w:hint="eastAsia"/>
                <w:sz w:val="24"/>
              </w:rPr>
              <w:t>算法和小脑训练的有效场景，研究院将携手多方攻克关键技术，打造开放的智能生态体系。</w:t>
            </w:r>
          </w:p>
          <w:p w14:paraId="248B368D" w14:textId="77777777" w:rsidR="00BB4B70" w:rsidRDefault="00BB4B70" w:rsidP="00BB4B70">
            <w:pPr>
              <w:pStyle w:val="ae"/>
              <w:spacing w:line="360" w:lineRule="auto"/>
              <w:ind w:left="360" w:firstLineChars="0" w:firstLine="0"/>
              <w:rPr>
                <w:rFonts w:eastAsiaTheme="majorEastAsia"/>
                <w:sz w:val="24"/>
              </w:rPr>
            </w:pPr>
          </w:p>
          <w:p w14:paraId="42622FE4" w14:textId="13337DF5" w:rsidR="00BB4B70" w:rsidRPr="0014631F" w:rsidRDefault="007650D7" w:rsidP="00BB4B70">
            <w:pPr>
              <w:pStyle w:val="ae"/>
              <w:numPr>
                <w:ilvl w:val="0"/>
                <w:numId w:val="2"/>
              </w:numPr>
              <w:spacing w:line="360" w:lineRule="auto"/>
              <w:ind w:firstLineChars="0"/>
              <w:rPr>
                <w:rFonts w:eastAsiaTheme="majorEastAsia"/>
                <w:b/>
                <w:bCs/>
                <w:sz w:val="24"/>
              </w:rPr>
            </w:pPr>
            <w:r w:rsidRPr="007650D7">
              <w:rPr>
                <w:rFonts w:eastAsiaTheme="majorEastAsia" w:hint="eastAsia"/>
                <w:b/>
                <w:bCs/>
                <w:sz w:val="24"/>
              </w:rPr>
              <w:t>公司在机器人</w:t>
            </w:r>
            <w:proofErr w:type="gramStart"/>
            <w:r w:rsidRPr="007650D7">
              <w:rPr>
                <w:rFonts w:eastAsiaTheme="majorEastAsia" w:hint="eastAsia"/>
                <w:b/>
                <w:bCs/>
                <w:sz w:val="24"/>
              </w:rPr>
              <w:t>或具身智能</w:t>
            </w:r>
            <w:proofErr w:type="gramEnd"/>
            <w:r w:rsidRPr="007650D7">
              <w:rPr>
                <w:rFonts w:eastAsiaTheme="majorEastAsia" w:hint="eastAsia"/>
                <w:b/>
                <w:bCs/>
                <w:sz w:val="24"/>
              </w:rPr>
              <w:t>方面布局的优势</w:t>
            </w:r>
            <w:r w:rsidR="00EA419D">
              <w:rPr>
                <w:rFonts w:eastAsiaTheme="majorEastAsia" w:hint="eastAsia"/>
                <w:b/>
                <w:bCs/>
                <w:sz w:val="24"/>
              </w:rPr>
              <w:t>有哪些？</w:t>
            </w:r>
          </w:p>
          <w:p w14:paraId="4C329FA4" w14:textId="41BD44A6" w:rsidR="00DC5D53" w:rsidRPr="007650D7" w:rsidRDefault="00BB4B70" w:rsidP="007650D7">
            <w:pPr>
              <w:pStyle w:val="ae"/>
              <w:spacing w:line="360" w:lineRule="auto"/>
              <w:ind w:left="360" w:firstLineChars="0" w:firstLine="0"/>
              <w:rPr>
                <w:rFonts w:eastAsiaTheme="majorEastAsia"/>
                <w:sz w:val="24"/>
              </w:rPr>
            </w:pPr>
            <w:r>
              <w:rPr>
                <w:rFonts w:eastAsiaTheme="majorEastAsia" w:hint="eastAsia"/>
                <w:sz w:val="24"/>
              </w:rPr>
              <w:t>答：</w:t>
            </w:r>
            <w:r w:rsidR="00BD55D9" w:rsidRPr="007650D7">
              <w:rPr>
                <w:rFonts w:eastAsiaTheme="majorEastAsia" w:hint="eastAsia"/>
                <w:sz w:val="24"/>
              </w:rPr>
              <w:t>①</w:t>
            </w:r>
            <w:r w:rsidR="007650D7" w:rsidRPr="007650D7">
              <w:rPr>
                <w:rFonts w:eastAsiaTheme="majorEastAsia" w:hint="eastAsia"/>
                <w:sz w:val="24"/>
              </w:rPr>
              <w:t>公司的线下场景渠道优势。公司作为展览展示行业的龙头企业，打造了大量的展览馆、科技馆、博物馆，或将是人形机器人最先落地的场景之一</w:t>
            </w:r>
            <w:r w:rsidR="00BD55D9">
              <w:rPr>
                <w:rFonts w:eastAsiaTheme="majorEastAsia" w:hint="eastAsia"/>
                <w:sz w:val="24"/>
              </w:rPr>
              <w:t>。</w:t>
            </w:r>
            <w:r w:rsidR="00BD55D9" w:rsidRPr="00BC17EE">
              <w:rPr>
                <w:rFonts w:eastAsiaTheme="majorEastAsia" w:hint="eastAsia"/>
                <w:sz w:val="24"/>
              </w:rPr>
              <w:t>②</w:t>
            </w:r>
            <w:r w:rsidR="007650D7" w:rsidRPr="007650D7">
              <w:rPr>
                <w:rFonts w:eastAsiaTheme="majorEastAsia" w:hint="eastAsia"/>
                <w:sz w:val="24"/>
              </w:rPr>
              <w:t>公司具备较强的二次开发和落地交付</w:t>
            </w:r>
            <w:r w:rsidR="007650D7" w:rsidRPr="007650D7">
              <w:rPr>
                <w:rFonts w:eastAsiaTheme="majorEastAsia" w:hint="eastAsia"/>
                <w:sz w:val="24"/>
              </w:rPr>
              <w:lastRenderedPageBreak/>
              <w:t>能力，公司拥有</w:t>
            </w:r>
            <w:r w:rsidR="007650D7" w:rsidRPr="007650D7">
              <w:rPr>
                <w:rFonts w:eastAsiaTheme="majorEastAsia" w:hint="eastAsia"/>
                <w:sz w:val="24"/>
              </w:rPr>
              <w:t>200</w:t>
            </w:r>
            <w:r w:rsidR="007650D7" w:rsidRPr="007650D7">
              <w:rPr>
                <w:rFonts w:eastAsiaTheme="majorEastAsia" w:hint="eastAsia"/>
                <w:sz w:val="24"/>
              </w:rPr>
              <w:t>人左右的策划团队、</w:t>
            </w:r>
            <w:r w:rsidR="007650D7" w:rsidRPr="007650D7">
              <w:rPr>
                <w:rFonts w:eastAsiaTheme="majorEastAsia" w:hint="eastAsia"/>
                <w:sz w:val="24"/>
              </w:rPr>
              <w:t>300</w:t>
            </w:r>
            <w:r w:rsidR="007650D7" w:rsidRPr="007650D7">
              <w:rPr>
                <w:rFonts w:eastAsiaTheme="majorEastAsia" w:hint="eastAsia"/>
                <w:sz w:val="24"/>
              </w:rPr>
              <w:t>人左右的创意设计团队和</w:t>
            </w:r>
            <w:r w:rsidR="007650D7" w:rsidRPr="007650D7">
              <w:rPr>
                <w:rFonts w:eastAsiaTheme="majorEastAsia" w:hint="eastAsia"/>
                <w:sz w:val="24"/>
              </w:rPr>
              <w:t>400</w:t>
            </w:r>
            <w:r w:rsidR="007650D7" w:rsidRPr="007650D7">
              <w:rPr>
                <w:rFonts w:eastAsiaTheme="majorEastAsia" w:hint="eastAsia"/>
                <w:sz w:val="24"/>
              </w:rPr>
              <w:t>多人的软件开发和三维建模团队，在场景应用和落地交付上与专注产品研发的机器人本体厂商具有较强的互补性。</w:t>
            </w:r>
          </w:p>
        </w:tc>
      </w:tr>
      <w:tr w:rsidR="0048700A" w14:paraId="6C6A987E" w14:textId="77777777" w:rsidTr="007308EC">
        <w:trPr>
          <w:trHeight w:val="699"/>
        </w:trPr>
        <w:tc>
          <w:tcPr>
            <w:tcW w:w="1449" w:type="dxa"/>
            <w:tcBorders>
              <w:top w:val="single" w:sz="4" w:space="0" w:color="auto"/>
              <w:left w:val="single" w:sz="4" w:space="0" w:color="auto"/>
              <w:bottom w:val="single" w:sz="4" w:space="0" w:color="auto"/>
              <w:right w:val="single" w:sz="4" w:space="0" w:color="auto"/>
            </w:tcBorders>
            <w:vAlign w:val="center"/>
          </w:tcPr>
          <w:p w14:paraId="7F9DEA78" w14:textId="0AAFAB46" w:rsidR="0048700A" w:rsidRDefault="0048700A" w:rsidP="0048700A">
            <w:pPr>
              <w:spacing w:line="360" w:lineRule="auto"/>
              <w:jc w:val="center"/>
              <w:rPr>
                <w:rFonts w:ascii="宋体" w:hAnsi="宋体" w:hint="eastAsia"/>
                <w:b/>
                <w:bCs/>
                <w:iCs/>
                <w:sz w:val="24"/>
              </w:rPr>
            </w:pPr>
            <w:r w:rsidRPr="000C2BB1">
              <w:rPr>
                <w:rFonts w:ascii="宋体" w:hAnsi="宋体" w:hint="eastAsia"/>
                <w:b/>
                <w:bCs/>
                <w:iCs/>
                <w:sz w:val="24"/>
              </w:rPr>
              <w:lastRenderedPageBreak/>
              <w:t>关于本次活动是否涉及应披露重大信息的说明</w:t>
            </w:r>
          </w:p>
        </w:tc>
        <w:tc>
          <w:tcPr>
            <w:tcW w:w="7198" w:type="dxa"/>
            <w:tcBorders>
              <w:top w:val="single" w:sz="4" w:space="0" w:color="auto"/>
              <w:left w:val="single" w:sz="4" w:space="0" w:color="auto"/>
              <w:bottom w:val="single" w:sz="4" w:space="0" w:color="auto"/>
              <w:right w:val="single" w:sz="4" w:space="0" w:color="auto"/>
            </w:tcBorders>
            <w:vAlign w:val="center"/>
          </w:tcPr>
          <w:p w14:paraId="6838F70D" w14:textId="36A094EC" w:rsidR="0048700A" w:rsidRPr="00BF14B5" w:rsidRDefault="0048700A" w:rsidP="007308EC">
            <w:pPr>
              <w:pStyle w:val="ae"/>
              <w:spacing w:line="360" w:lineRule="auto"/>
              <w:ind w:left="720" w:firstLineChars="0" w:firstLine="0"/>
              <w:rPr>
                <w:rFonts w:eastAsiaTheme="majorEastAsia"/>
                <w:b/>
                <w:sz w:val="24"/>
              </w:rPr>
            </w:pPr>
            <w:r>
              <w:rPr>
                <w:rFonts w:eastAsiaTheme="majorEastAsia" w:hint="eastAsia"/>
                <w:sz w:val="24"/>
              </w:rPr>
              <w:t>无</w:t>
            </w:r>
          </w:p>
        </w:tc>
      </w:tr>
      <w:tr w:rsidR="0048700A" w14:paraId="15B0462D" w14:textId="77777777" w:rsidTr="007308EC">
        <w:trPr>
          <w:trHeight w:val="699"/>
        </w:trPr>
        <w:tc>
          <w:tcPr>
            <w:tcW w:w="1449" w:type="dxa"/>
            <w:tcBorders>
              <w:top w:val="single" w:sz="4" w:space="0" w:color="auto"/>
              <w:left w:val="single" w:sz="4" w:space="0" w:color="auto"/>
              <w:bottom w:val="single" w:sz="4" w:space="0" w:color="auto"/>
              <w:right w:val="single" w:sz="4" w:space="0" w:color="auto"/>
            </w:tcBorders>
            <w:vAlign w:val="center"/>
          </w:tcPr>
          <w:p w14:paraId="13392F3E" w14:textId="104A4246" w:rsidR="0048700A" w:rsidRDefault="0048700A" w:rsidP="0048700A">
            <w:pPr>
              <w:spacing w:line="360" w:lineRule="auto"/>
              <w:jc w:val="center"/>
              <w:rPr>
                <w:rFonts w:ascii="宋体" w:hAnsi="宋体" w:hint="eastAsia"/>
                <w:b/>
                <w:bCs/>
                <w:iCs/>
                <w:sz w:val="24"/>
              </w:rPr>
            </w:pPr>
            <w:r w:rsidRPr="000C2BB1">
              <w:rPr>
                <w:rFonts w:ascii="宋体" w:hAnsi="宋体" w:hint="eastAsia"/>
                <w:b/>
                <w:bCs/>
                <w:iCs/>
                <w:sz w:val="24"/>
              </w:rPr>
              <w:t>附件清单（如有）</w:t>
            </w:r>
          </w:p>
        </w:tc>
        <w:tc>
          <w:tcPr>
            <w:tcW w:w="7198" w:type="dxa"/>
            <w:tcBorders>
              <w:top w:val="single" w:sz="4" w:space="0" w:color="auto"/>
              <w:left w:val="single" w:sz="4" w:space="0" w:color="auto"/>
              <w:bottom w:val="single" w:sz="4" w:space="0" w:color="auto"/>
              <w:right w:val="single" w:sz="4" w:space="0" w:color="auto"/>
            </w:tcBorders>
            <w:vAlign w:val="center"/>
          </w:tcPr>
          <w:p w14:paraId="13D60CA8" w14:textId="497DEF0F" w:rsidR="0048700A" w:rsidRPr="00BF14B5" w:rsidRDefault="0048700A" w:rsidP="007308EC">
            <w:pPr>
              <w:pStyle w:val="ae"/>
              <w:spacing w:line="360" w:lineRule="auto"/>
              <w:ind w:left="720" w:firstLineChars="0" w:firstLine="0"/>
              <w:rPr>
                <w:rFonts w:eastAsiaTheme="majorEastAsia"/>
                <w:b/>
                <w:sz w:val="24"/>
              </w:rPr>
            </w:pPr>
            <w:r>
              <w:rPr>
                <w:rFonts w:eastAsiaTheme="majorEastAsia" w:hint="eastAsia"/>
                <w:sz w:val="24"/>
              </w:rPr>
              <w:t>无</w:t>
            </w:r>
          </w:p>
        </w:tc>
      </w:tr>
    </w:tbl>
    <w:p w14:paraId="610E1A8B" w14:textId="6745F15C" w:rsidR="00F33A21" w:rsidRPr="00BB4B70" w:rsidRDefault="0048700A" w:rsidP="0048700A">
      <w:pPr>
        <w:ind w:leftChars="202" w:left="424"/>
      </w:pPr>
      <w:r>
        <w:rPr>
          <w:rFonts w:hint="eastAsia"/>
        </w:rPr>
        <w:t>风险提示：以上如涉及对行业的预测、公司发展战略规划等相关内容，不能视作公司或公司管理层对行业、公司发展的承诺和保证，敬请广大投资者注意投资风险。</w:t>
      </w:r>
    </w:p>
    <w:sectPr w:rsidR="00F33A21" w:rsidRPr="00BB4B70" w:rsidSect="00D704D4">
      <w:pgSz w:w="11906" w:h="16838"/>
      <w:pgMar w:top="1440" w:right="1800" w:bottom="1440" w:left="1800" w:header="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568F" w14:textId="77777777" w:rsidR="0005248A" w:rsidRDefault="0005248A" w:rsidP="00F56265">
      <w:r>
        <w:separator/>
      </w:r>
    </w:p>
  </w:endnote>
  <w:endnote w:type="continuationSeparator" w:id="0">
    <w:p w14:paraId="1B0155A4" w14:textId="77777777" w:rsidR="0005248A" w:rsidRDefault="0005248A" w:rsidP="00F5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BFC7" w14:textId="77777777" w:rsidR="0005248A" w:rsidRDefault="0005248A" w:rsidP="00F56265">
      <w:r>
        <w:separator/>
      </w:r>
    </w:p>
  </w:footnote>
  <w:footnote w:type="continuationSeparator" w:id="0">
    <w:p w14:paraId="09FC5DE5" w14:textId="77777777" w:rsidR="0005248A" w:rsidRDefault="0005248A" w:rsidP="00F5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A26"/>
    <w:multiLevelType w:val="hybridMultilevel"/>
    <w:tmpl w:val="8982D952"/>
    <w:lvl w:ilvl="0" w:tplc="0758F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BE2D67"/>
    <w:multiLevelType w:val="hybridMultilevel"/>
    <w:tmpl w:val="413AB030"/>
    <w:lvl w:ilvl="0" w:tplc="CEB2FFB4">
      <w:start w:val="1"/>
      <w:numFmt w:val="decimal"/>
      <w:lvlText w:val="%1."/>
      <w:lvlJc w:val="left"/>
      <w:pPr>
        <w:ind w:left="360" w:hanging="36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A84BE5"/>
    <w:multiLevelType w:val="hybridMultilevel"/>
    <w:tmpl w:val="83D86A4A"/>
    <w:lvl w:ilvl="0" w:tplc="08FC2FB8">
      <w:start w:val="1"/>
      <w:numFmt w:val="japaneseCounting"/>
      <w:lvlText w:val="（%1）"/>
      <w:lvlJc w:val="left"/>
      <w:pPr>
        <w:ind w:left="720" w:hanging="720"/>
      </w:pPr>
      <w:rPr>
        <w:rFonts w:hint="default"/>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1760678">
    <w:abstractNumId w:val="2"/>
  </w:num>
  <w:num w:numId="2" w16cid:durableId="551231153">
    <w:abstractNumId w:val="1"/>
  </w:num>
  <w:num w:numId="3" w16cid:durableId="199355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61F"/>
    <w:rsid w:val="00005DB8"/>
    <w:rsid w:val="00010C44"/>
    <w:rsid w:val="00015482"/>
    <w:rsid w:val="00015F15"/>
    <w:rsid w:val="000172C6"/>
    <w:rsid w:val="000179D9"/>
    <w:rsid w:val="00020419"/>
    <w:rsid w:val="00020631"/>
    <w:rsid w:val="00020B30"/>
    <w:rsid w:val="00022816"/>
    <w:rsid w:val="00023D65"/>
    <w:rsid w:val="00037831"/>
    <w:rsid w:val="0005248A"/>
    <w:rsid w:val="0006025D"/>
    <w:rsid w:val="000668EE"/>
    <w:rsid w:val="00075090"/>
    <w:rsid w:val="00080903"/>
    <w:rsid w:val="00080F15"/>
    <w:rsid w:val="000819C9"/>
    <w:rsid w:val="00085285"/>
    <w:rsid w:val="000877DE"/>
    <w:rsid w:val="000968E2"/>
    <w:rsid w:val="000A1C07"/>
    <w:rsid w:val="000A1CDB"/>
    <w:rsid w:val="000B52BA"/>
    <w:rsid w:val="000C6607"/>
    <w:rsid w:val="000C6648"/>
    <w:rsid w:val="000C7239"/>
    <w:rsid w:val="000C754A"/>
    <w:rsid w:val="000D0CB1"/>
    <w:rsid w:val="000D47AE"/>
    <w:rsid w:val="000F1A21"/>
    <w:rsid w:val="000F6FDD"/>
    <w:rsid w:val="00101AC4"/>
    <w:rsid w:val="001041E9"/>
    <w:rsid w:val="001051F4"/>
    <w:rsid w:val="0011632E"/>
    <w:rsid w:val="00122F08"/>
    <w:rsid w:val="00125D08"/>
    <w:rsid w:val="00130A01"/>
    <w:rsid w:val="00135331"/>
    <w:rsid w:val="00140C36"/>
    <w:rsid w:val="001423EF"/>
    <w:rsid w:val="00144A09"/>
    <w:rsid w:val="0014601F"/>
    <w:rsid w:val="0014631F"/>
    <w:rsid w:val="0014691E"/>
    <w:rsid w:val="00147CDB"/>
    <w:rsid w:val="00152D82"/>
    <w:rsid w:val="00153C7F"/>
    <w:rsid w:val="001541B1"/>
    <w:rsid w:val="001570F9"/>
    <w:rsid w:val="00164841"/>
    <w:rsid w:val="00164D5F"/>
    <w:rsid w:val="00176987"/>
    <w:rsid w:val="00190539"/>
    <w:rsid w:val="001A0F2D"/>
    <w:rsid w:val="001A3FBA"/>
    <w:rsid w:val="001B5061"/>
    <w:rsid w:val="001B611B"/>
    <w:rsid w:val="001C359E"/>
    <w:rsid w:val="001C759A"/>
    <w:rsid w:val="001D27BC"/>
    <w:rsid w:val="001D37B0"/>
    <w:rsid w:val="001F7FA6"/>
    <w:rsid w:val="00206BF6"/>
    <w:rsid w:val="0022651C"/>
    <w:rsid w:val="002360F4"/>
    <w:rsid w:val="00245359"/>
    <w:rsid w:val="00245D43"/>
    <w:rsid w:val="00246F81"/>
    <w:rsid w:val="00253BE5"/>
    <w:rsid w:val="00254040"/>
    <w:rsid w:val="002644C2"/>
    <w:rsid w:val="00264687"/>
    <w:rsid w:val="002744DC"/>
    <w:rsid w:val="00280461"/>
    <w:rsid w:val="002848C2"/>
    <w:rsid w:val="002923C4"/>
    <w:rsid w:val="00293C11"/>
    <w:rsid w:val="00295937"/>
    <w:rsid w:val="0029725B"/>
    <w:rsid w:val="002B1073"/>
    <w:rsid w:val="002B6847"/>
    <w:rsid w:val="002C05C1"/>
    <w:rsid w:val="002C0D37"/>
    <w:rsid w:val="002C1EEB"/>
    <w:rsid w:val="002C2894"/>
    <w:rsid w:val="002C2BBD"/>
    <w:rsid w:val="002C3020"/>
    <w:rsid w:val="002D032D"/>
    <w:rsid w:val="002D7C70"/>
    <w:rsid w:val="002D7E45"/>
    <w:rsid w:val="002E6C97"/>
    <w:rsid w:val="002E7CA6"/>
    <w:rsid w:val="002F3C66"/>
    <w:rsid w:val="002F5F63"/>
    <w:rsid w:val="00311ED0"/>
    <w:rsid w:val="00314F58"/>
    <w:rsid w:val="00316FC1"/>
    <w:rsid w:val="003248B9"/>
    <w:rsid w:val="00333BE4"/>
    <w:rsid w:val="0033480F"/>
    <w:rsid w:val="003368DD"/>
    <w:rsid w:val="0034152A"/>
    <w:rsid w:val="0034451C"/>
    <w:rsid w:val="0035205F"/>
    <w:rsid w:val="00352D4E"/>
    <w:rsid w:val="00354775"/>
    <w:rsid w:val="003642BC"/>
    <w:rsid w:val="00370F79"/>
    <w:rsid w:val="0037416F"/>
    <w:rsid w:val="003749C1"/>
    <w:rsid w:val="00376F28"/>
    <w:rsid w:val="003808C0"/>
    <w:rsid w:val="00382E4F"/>
    <w:rsid w:val="00393A78"/>
    <w:rsid w:val="003955E6"/>
    <w:rsid w:val="003A48B6"/>
    <w:rsid w:val="003A4976"/>
    <w:rsid w:val="003B0E24"/>
    <w:rsid w:val="003C0AD8"/>
    <w:rsid w:val="003C47C3"/>
    <w:rsid w:val="003C7AED"/>
    <w:rsid w:val="003D07FC"/>
    <w:rsid w:val="003D764F"/>
    <w:rsid w:val="003E41B9"/>
    <w:rsid w:val="003E668D"/>
    <w:rsid w:val="003F3AF0"/>
    <w:rsid w:val="003F6632"/>
    <w:rsid w:val="003F741B"/>
    <w:rsid w:val="0040215F"/>
    <w:rsid w:val="004066C7"/>
    <w:rsid w:val="0041316E"/>
    <w:rsid w:val="00416E21"/>
    <w:rsid w:val="00426BF9"/>
    <w:rsid w:val="0044176B"/>
    <w:rsid w:val="00443FCB"/>
    <w:rsid w:val="00463058"/>
    <w:rsid w:val="00463760"/>
    <w:rsid w:val="00474908"/>
    <w:rsid w:val="00474B84"/>
    <w:rsid w:val="0047693D"/>
    <w:rsid w:val="00481700"/>
    <w:rsid w:val="00483CDE"/>
    <w:rsid w:val="004868B6"/>
    <w:rsid w:val="0048700A"/>
    <w:rsid w:val="0048793B"/>
    <w:rsid w:val="00490A8B"/>
    <w:rsid w:val="004916EC"/>
    <w:rsid w:val="004C0010"/>
    <w:rsid w:val="004C0909"/>
    <w:rsid w:val="004D524B"/>
    <w:rsid w:val="004D6885"/>
    <w:rsid w:val="004E79F4"/>
    <w:rsid w:val="004F32D2"/>
    <w:rsid w:val="004F4E32"/>
    <w:rsid w:val="004F75BD"/>
    <w:rsid w:val="004F7AE4"/>
    <w:rsid w:val="00504D24"/>
    <w:rsid w:val="00520086"/>
    <w:rsid w:val="00520C5F"/>
    <w:rsid w:val="00522FCE"/>
    <w:rsid w:val="00525771"/>
    <w:rsid w:val="0052687F"/>
    <w:rsid w:val="005409BB"/>
    <w:rsid w:val="00541CAA"/>
    <w:rsid w:val="0055796D"/>
    <w:rsid w:val="00562F9F"/>
    <w:rsid w:val="00567459"/>
    <w:rsid w:val="005705DA"/>
    <w:rsid w:val="00576486"/>
    <w:rsid w:val="00577035"/>
    <w:rsid w:val="005800B2"/>
    <w:rsid w:val="00584C86"/>
    <w:rsid w:val="005B0E4E"/>
    <w:rsid w:val="005B75BB"/>
    <w:rsid w:val="005C2C13"/>
    <w:rsid w:val="005D1649"/>
    <w:rsid w:val="005E0648"/>
    <w:rsid w:val="005E3831"/>
    <w:rsid w:val="005E5850"/>
    <w:rsid w:val="005E5CCA"/>
    <w:rsid w:val="005E7446"/>
    <w:rsid w:val="005F289C"/>
    <w:rsid w:val="005F4CC2"/>
    <w:rsid w:val="005F5BCF"/>
    <w:rsid w:val="005F5CC8"/>
    <w:rsid w:val="005F7AB2"/>
    <w:rsid w:val="006037A4"/>
    <w:rsid w:val="006052AB"/>
    <w:rsid w:val="006062C1"/>
    <w:rsid w:val="0060784A"/>
    <w:rsid w:val="0061092E"/>
    <w:rsid w:val="00612E52"/>
    <w:rsid w:val="00612EE4"/>
    <w:rsid w:val="00615CA0"/>
    <w:rsid w:val="00621FBC"/>
    <w:rsid w:val="006237DC"/>
    <w:rsid w:val="00630FB8"/>
    <w:rsid w:val="00631CCB"/>
    <w:rsid w:val="00636D64"/>
    <w:rsid w:val="006372ED"/>
    <w:rsid w:val="006374B0"/>
    <w:rsid w:val="006404BF"/>
    <w:rsid w:val="00641736"/>
    <w:rsid w:val="00642C5C"/>
    <w:rsid w:val="00664459"/>
    <w:rsid w:val="006700F1"/>
    <w:rsid w:val="0067255B"/>
    <w:rsid w:val="00677693"/>
    <w:rsid w:val="00682BD2"/>
    <w:rsid w:val="00690F75"/>
    <w:rsid w:val="006A14C3"/>
    <w:rsid w:val="006A1DD0"/>
    <w:rsid w:val="006A45B0"/>
    <w:rsid w:val="006A6C07"/>
    <w:rsid w:val="006A7D52"/>
    <w:rsid w:val="006B5EEA"/>
    <w:rsid w:val="006C7D79"/>
    <w:rsid w:val="006E409E"/>
    <w:rsid w:val="006E6BCF"/>
    <w:rsid w:val="006F23A5"/>
    <w:rsid w:val="00710830"/>
    <w:rsid w:val="007308EC"/>
    <w:rsid w:val="00733D14"/>
    <w:rsid w:val="00734E76"/>
    <w:rsid w:val="0073552B"/>
    <w:rsid w:val="00736D25"/>
    <w:rsid w:val="00737253"/>
    <w:rsid w:val="00740EB6"/>
    <w:rsid w:val="00745A81"/>
    <w:rsid w:val="0075080B"/>
    <w:rsid w:val="00760094"/>
    <w:rsid w:val="00761A7B"/>
    <w:rsid w:val="00764912"/>
    <w:rsid w:val="007650D7"/>
    <w:rsid w:val="00767993"/>
    <w:rsid w:val="00781233"/>
    <w:rsid w:val="007868BD"/>
    <w:rsid w:val="007947E4"/>
    <w:rsid w:val="0079620C"/>
    <w:rsid w:val="007A4412"/>
    <w:rsid w:val="007A7B5E"/>
    <w:rsid w:val="007B3D04"/>
    <w:rsid w:val="007B4EAD"/>
    <w:rsid w:val="007B4EBB"/>
    <w:rsid w:val="007D2363"/>
    <w:rsid w:val="007D65EF"/>
    <w:rsid w:val="007E0CB2"/>
    <w:rsid w:val="007E2993"/>
    <w:rsid w:val="007F0A94"/>
    <w:rsid w:val="007F2EB6"/>
    <w:rsid w:val="007F4EF5"/>
    <w:rsid w:val="007F5560"/>
    <w:rsid w:val="007F55A1"/>
    <w:rsid w:val="007F592A"/>
    <w:rsid w:val="00804352"/>
    <w:rsid w:val="00805BF9"/>
    <w:rsid w:val="00813524"/>
    <w:rsid w:val="00814BD8"/>
    <w:rsid w:val="00823A38"/>
    <w:rsid w:val="00823DA2"/>
    <w:rsid w:val="00827E39"/>
    <w:rsid w:val="008301CB"/>
    <w:rsid w:val="00830CAC"/>
    <w:rsid w:val="008336E0"/>
    <w:rsid w:val="00833DFA"/>
    <w:rsid w:val="00845396"/>
    <w:rsid w:val="00857B7E"/>
    <w:rsid w:val="00864610"/>
    <w:rsid w:val="008658AA"/>
    <w:rsid w:val="0087141D"/>
    <w:rsid w:val="008734E2"/>
    <w:rsid w:val="00895156"/>
    <w:rsid w:val="0089726A"/>
    <w:rsid w:val="008A0AF7"/>
    <w:rsid w:val="008A274D"/>
    <w:rsid w:val="008A32DB"/>
    <w:rsid w:val="008C34D8"/>
    <w:rsid w:val="008C5353"/>
    <w:rsid w:val="008D1962"/>
    <w:rsid w:val="008D23F5"/>
    <w:rsid w:val="008D2D05"/>
    <w:rsid w:val="008D36B7"/>
    <w:rsid w:val="008D42CA"/>
    <w:rsid w:val="008E2D2C"/>
    <w:rsid w:val="00902DFD"/>
    <w:rsid w:val="00913ED9"/>
    <w:rsid w:val="00923DF7"/>
    <w:rsid w:val="009275EB"/>
    <w:rsid w:val="00927C82"/>
    <w:rsid w:val="00933B08"/>
    <w:rsid w:val="009340D0"/>
    <w:rsid w:val="00961BE7"/>
    <w:rsid w:val="0097131B"/>
    <w:rsid w:val="009748CD"/>
    <w:rsid w:val="00981D48"/>
    <w:rsid w:val="00982B77"/>
    <w:rsid w:val="00991353"/>
    <w:rsid w:val="009955B4"/>
    <w:rsid w:val="009A0D9E"/>
    <w:rsid w:val="009A1662"/>
    <w:rsid w:val="009B3D57"/>
    <w:rsid w:val="009C7E85"/>
    <w:rsid w:val="009D76A6"/>
    <w:rsid w:val="009E019D"/>
    <w:rsid w:val="009E7B68"/>
    <w:rsid w:val="009F78B4"/>
    <w:rsid w:val="009F78B8"/>
    <w:rsid w:val="00A039C6"/>
    <w:rsid w:val="00A148D1"/>
    <w:rsid w:val="00A2156D"/>
    <w:rsid w:val="00A239A4"/>
    <w:rsid w:val="00A34996"/>
    <w:rsid w:val="00A35A3C"/>
    <w:rsid w:val="00A40ACD"/>
    <w:rsid w:val="00A61679"/>
    <w:rsid w:val="00A675C0"/>
    <w:rsid w:val="00A67980"/>
    <w:rsid w:val="00A76512"/>
    <w:rsid w:val="00A8694D"/>
    <w:rsid w:val="00A91C54"/>
    <w:rsid w:val="00A95D94"/>
    <w:rsid w:val="00AA3F7B"/>
    <w:rsid w:val="00AA4C6C"/>
    <w:rsid w:val="00AC157D"/>
    <w:rsid w:val="00AD1F29"/>
    <w:rsid w:val="00AD310D"/>
    <w:rsid w:val="00AD5A6E"/>
    <w:rsid w:val="00AD5A77"/>
    <w:rsid w:val="00AE5A05"/>
    <w:rsid w:val="00AF4D88"/>
    <w:rsid w:val="00B01219"/>
    <w:rsid w:val="00B04CEE"/>
    <w:rsid w:val="00B064D7"/>
    <w:rsid w:val="00B12D03"/>
    <w:rsid w:val="00B217F0"/>
    <w:rsid w:val="00B21E1B"/>
    <w:rsid w:val="00B268F0"/>
    <w:rsid w:val="00B33DCE"/>
    <w:rsid w:val="00B3518F"/>
    <w:rsid w:val="00B35956"/>
    <w:rsid w:val="00B3729A"/>
    <w:rsid w:val="00B42D60"/>
    <w:rsid w:val="00B45D38"/>
    <w:rsid w:val="00B46318"/>
    <w:rsid w:val="00B468DF"/>
    <w:rsid w:val="00B5050E"/>
    <w:rsid w:val="00B529A5"/>
    <w:rsid w:val="00B539FB"/>
    <w:rsid w:val="00B5576A"/>
    <w:rsid w:val="00B65A36"/>
    <w:rsid w:val="00B667C4"/>
    <w:rsid w:val="00B7010B"/>
    <w:rsid w:val="00B7177C"/>
    <w:rsid w:val="00B7224B"/>
    <w:rsid w:val="00B91416"/>
    <w:rsid w:val="00BA19F8"/>
    <w:rsid w:val="00BA3189"/>
    <w:rsid w:val="00BA53EE"/>
    <w:rsid w:val="00BA6395"/>
    <w:rsid w:val="00BB0D9E"/>
    <w:rsid w:val="00BB246F"/>
    <w:rsid w:val="00BB4B70"/>
    <w:rsid w:val="00BC17EE"/>
    <w:rsid w:val="00BC209A"/>
    <w:rsid w:val="00BC2D96"/>
    <w:rsid w:val="00BC66DD"/>
    <w:rsid w:val="00BD19F3"/>
    <w:rsid w:val="00BD3EF4"/>
    <w:rsid w:val="00BD55D9"/>
    <w:rsid w:val="00BE1656"/>
    <w:rsid w:val="00BE1FB3"/>
    <w:rsid w:val="00BF14B5"/>
    <w:rsid w:val="00C00ED7"/>
    <w:rsid w:val="00C0171F"/>
    <w:rsid w:val="00C01A55"/>
    <w:rsid w:val="00C05814"/>
    <w:rsid w:val="00C077F5"/>
    <w:rsid w:val="00C115B9"/>
    <w:rsid w:val="00C1185A"/>
    <w:rsid w:val="00C16A97"/>
    <w:rsid w:val="00C222B7"/>
    <w:rsid w:val="00C26194"/>
    <w:rsid w:val="00C662B2"/>
    <w:rsid w:val="00C9044A"/>
    <w:rsid w:val="00CA1FB8"/>
    <w:rsid w:val="00CB2576"/>
    <w:rsid w:val="00CB2932"/>
    <w:rsid w:val="00CB3448"/>
    <w:rsid w:val="00CB427C"/>
    <w:rsid w:val="00CB65CF"/>
    <w:rsid w:val="00CB7A5A"/>
    <w:rsid w:val="00CC5258"/>
    <w:rsid w:val="00CD7909"/>
    <w:rsid w:val="00CE129C"/>
    <w:rsid w:val="00CE345D"/>
    <w:rsid w:val="00CE47D4"/>
    <w:rsid w:val="00CE6045"/>
    <w:rsid w:val="00D16D15"/>
    <w:rsid w:val="00D30E6F"/>
    <w:rsid w:val="00D3145E"/>
    <w:rsid w:val="00D45B54"/>
    <w:rsid w:val="00D476D6"/>
    <w:rsid w:val="00D477B9"/>
    <w:rsid w:val="00D551DD"/>
    <w:rsid w:val="00D61794"/>
    <w:rsid w:val="00D661F9"/>
    <w:rsid w:val="00D66518"/>
    <w:rsid w:val="00D704D4"/>
    <w:rsid w:val="00D90C81"/>
    <w:rsid w:val="00D920F9"/>
    <w:rsid w:val="00DA0951"/>
    <w:rsid w:val="00DB0E3C"/>
    <w:rsid w:val="00DB361F"/>
    <w:rsid w:val="00DB6C32"/>
    <w:rsid w:val="00DB72EA"/>
    <w:rsid w:val="00DC1A6C"/>
    <w:rsid w:val="00DC5D53"/>
    <w:rsid w:val="00DC69C3"/>
    <w:rsid w:val="00DD4E19"/>
    <w:rsid w:val="00E179F1"/>
    <w:rsid w:val="00E17D7D"/>
    <w:rsid w:val="00E2155A"/>
    <w:rsid w:val="00E34F3E"/>
    <w:rsid w:val="00E43A34"/>
    <w:rsid w:val="00E45D94"/>
    <w:rsid w:val="00E519AD"/>
    <w:rsid w:val="00E52C6F"/>
    <w:rsid w:val="00E5633C"/>
    <w:rsid w:val="00E579A4"/>
    <w:rsid w:val="00E7073E"/>
    <w:rsid w:val="00E77BFF"/>
    <w:rsid w:val="00E82749"/>
    <w:rsid w:val="00E92CA0"/>
    <w:rsid w:val="00EA09EB"/>
    <w:rsid w:val="00EA419D"/>
    <w:rsid w:val="00EA5B83"/>
    <w:rsid w:val="00EA79E0"/>
    <w:rsid w:val="00ED537B"/>
    <w:rsid w:val="00ED5697"/>
    <w:rsid w:val="00EE0B12"/>
    <w:rsid w:val="00EE717D"/>
    <w:rsid w:val="00EF22EB"/>
    <w:rsid w:val="00EF57D0"/>
    <w:rsid w:val="00F02856"/>
    <w:rsid w:val="00F05AC2"/>
    <w:rsid w:val="00F06E7F"/>
    <w:rsid w:val="00F06F51"/>
    <w:rsid w:val="00F1600F"/>
    <w:rsid w:val="00F163EE"/>
    <w:rsid w:val="00F316CC"/>
    <w:rsid w:val="00F33A21"/>
    <w:rsid w:val="00F350F3"/>
    <w:rsid w:val="00F36195"/>
    <w:rsid w:val="00F371F6"/>
    <w:rsid w:val="00F50418"/>
    <w:rsid w:val="00F56265"/>
    <w:rsid w:val="00F57A14"/>
    <w:rsid w:val="00F658A5"/>
    <w:rsid w:val="00F727B9"/>
    <w:rsid w:val="00F7724C"/>
    <w:rsid w:val="00F77B93"/>
    <w:rsid w:val="00F9078A"/>
    <w:rsid w:val="00F93413"/>
    <w:rsid w:val="00F962D2"/>
    <w:rsid w:val="00F97C64"/>
    <w:rsid w:val="00FA0B69"/>
    <w:rsid w:val="00FA4662"/>
    <w:rsid w:val="00FB48C9"/>
    <w:rsid w:val="00FB553B"/>
    <w:rsid w:val="00FD0B2F"/>
    <w:rsid w:val="00FD4929"/>
    <w:rsid w:val="00FD7257"/>
    <w:rsid w:val="00FE2BA4"/>
    <w:rsid w:val="00FE642A"/>
    <w:rsid w:val="00FE6B3A"/>
    <w:rsid w:val="00FE79C1"/>
    <w:rsid w:val="00FF35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BC891"/>
  <w15:docId w15:val="{BB51B013-3014-467B-A5DD-F0C57F19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33A21"/>
    <w:rPr>
      <w:sz w:val="21"/>
      <w:szCs w:val="21"/>
    </w:rPr>
  </w:style>
  <w:style w:type="paragraph" w:styleId="a4">
    <w:name w:val="annotation text"/>
    <w:basedOn w:val="a"/>
    <w:link w:val="a5"/>
    <w:uiPriority w:val="99"/>
    <w:semiHidden/>
    <w:unhideWhenUsed/>
    <w:rsid w:val="00F33A21"/>
    <w:pPr>
      <w:jc w:val="left"/>
    </w:pPr>
  </w:style>
  <w:style w:type="character" w:customStyle="1" w:styleId="a5">
    <w:name w:val="批注文字 字符"/>
    <w:basedOn w:val="a0"/>
    <w:link w:val="a4"/>
    <w:uiPriority w:val="99"/>
    <w:semiHidden/>
    <w:rsid w:val="00F33A21"/>
    <w:rPr>
      <w:rFonts w:ascii="Times New Roman" w:eastAsia="宋体" w:hAnsi="Times New Roman" w:cs="Times New Roman"/>
      <w:szCs w:val="24"/>
    </w:rPr>
  </w:style>
  <w:style w:type="paragraph" w:styleId="a6">
    <w:name w:val="annotation subject"/>
    <w:basedOn w:val="a4"/>
    <w:next w:val="a4"/>
    <w:link w:val="a7"/>
    <w:uiPriority w:val="99"/>
    <w:semiHidden/>
    <w:unhideWhenUsed/>
    <w:rsid w:val="00F33A21"/>
    <w:rPr>
      <w:b/>
      <w:bCs/>
    </w:rPr>
  </w:style>
  <w:style w:type="character" w:customStyle="1" w:styleId="a7">
    <w:name w:val="批注主题 字符"/>
    <w:basedOn w:val="a5"/>
    <w:link w:val="a6"/>
    <w:uiPriority w:val="99"/>
    <w:semiHidden/>
    <w:rsid w:val="00F33A21"/>
    <w:rPr>
      <w:rFonts w:ascii="Times New Roman" w:eastAsia="宋体" w:hAnsi="Times New Roman" w:cs="Times New Roman"/>
      <w:b/>
      <w:bCs/>
      <w:szCs w:val="24"/>
    </w:rPr>
  </w:style>
  <w:style w:type="paragraph" w:styleId="a8">
    <w:name w:val="Balloon Text"/>
    <w:basedOn w:val="a"/>
    <w:link w:val="a9"/>
    <w:uiPriority w:val="99"/>
    <w:semiHidden/>
    <w:unhideWhenUsed/>
    <w:rsid w:val="00F33A21"/>
    <w:rPr>
      <w:sz w:val="18"/>
      <w:szCs w:val="18"/>
    </w:rPr>
  </w:style>
  <w:style w:type="character" w:customStyle="1" w:styleId="a9">
    <w:name w:val="批注框文本 字符"/>
    <w:basedOn w:val="a0"/>
    <w:link w:val="a8"/>
    <w:uiPriority w:val="99"/>
    <w:semiHidden/>
    <w:rsid w:val="00F33A21"/>
    <w:rPr>
      <w:rFonts w:ascii="Times New Roman" w:eastAsia="宋体" w:hAnsi="Times New Roman" w:cs="Times New Roman"/>
      <w:sz w:val="18"/>
      <w:szCs w:val="18"/>
    </w:rPr>
  </w:style>
  <w:style w:type="paragraph" w:styleId="aa">
    <w:name w:val="header"/>
    <w:basedOn w:val="a"/>
    <w:link w:val="ab"/>
    <w:uiPriority w:val="99"/>
    <w:unhideWhenUsed/>
    <w:rsid w:val="00F5626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F56265"/>
    <w:rPr>
      <w:rFonts w:ascii="Times New Roman" w:eastAsia="宋体" w:hAnsi="Times New Roman" w:cs="Times New Roman"/>
      <w:sz w:val="18"/>
      <w:szCs w:val="18"/>
    </w:rPr>
  </w:style>
  <w:style w:type="paragraph" w:styleId="ac">
    <w:name w:val="footer"/>
    <w:basedOn w:val="a"/>
    <w:link w:val="ad"/>
    <w:uiPriority w:val="99"/>
    <w:unhideWhenUsed/>
    <w:rsid w:val="00F56265"/>
    <w:pPr>
      <w:tabs>
        <w:tab w:val="center" w:pos="4153"/>
        <w:tab w:val="right" w:pos="8306"/>
      </w:tabs>
      <w:snapToGrid w:val="0"/>
      <w:jc w:val="left"/>
    </w:pPr>
    <w:rPr>
      <w:sz w:val="18"/>
      <w:szCs w:val="18"/>
    </w:rPr>
  </w:style>
  <w:style w:type="character" w:customStyle="1" w:styleId="ad">
    <w:name w:val="页脚 字符"/>
    <w:basedOn w:val="a0"/>
    <w:link w:val="ac"/>
    <w:uiPriority w:val="99"/>
    <w:rsid w:val="00F56265"/>
    <w:rPr>
      <w:rFonts w:ascii="Times New Roman" w:eastAsia="宋体" w:hAnsi="Times New Roman" w:cs="Times New Roman"/>
      <w:sz w:val="18"/>
      <w:szCs w:val="18"/>
    </w:rPr>
  </w:style>
  <w:style w:type="paragraph" w:styleId="ae">
    <w:name w:val="List Paragraph"/>
    <w:basedOn w:val="a"/>
    <w:uiPriority w:val="34"/>
    <w:qFormat/>
    <w:rsid w:val="00764912"/>
    <w:pPr>
      <w:ind w:firstLineChars="200" w:firstLine="420"/>
    </w:pPr>
  </w:style>
  <w:style w:type="paragraph" w:styleId="af">
    <w:name w:val="Plain Text"/>
    <w:basedOn w:val="a"/>
    <w:link w:val="af0"/>
    <w:rsid w:val="00E92CA0"/>
    <w:rPr>
      <w:rFonts w:ascii="宋体" w:hAnsi="Courier New"/>
    </w:rPr>
  </w:style>
  <w:style w:type="character" w:customStyle="1" w:styleId="af0">
    <w:name w:val="纯文本 字符"/>
    <w:basedOn w:val="a0"/>
    <w:link w:val="af"/>
    <w:rsid w:val="00E92CA0"/>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3474">
      <w:bodyDiv w:val="1"/>
      <w:marLeft w:val="0"/>
      <w:marRight w:val="0"/>
      <w:marTop w:val="0"/>
      <w:marBottom w:val="0"/>
      <w:divBdr>
        <w:top w:val="none" w:sz="0" w:space="0" w:color="auto"/>
        <w:left w:val="none" w:sz="0" w:space="0" w:color="auto"/>
        <w:bottom w:val="none" w:sz="0" w:space="0" w:color="auto"/>
        <w:right w:val="none" w:sz="0" w:space="0" w:color="auto"/>
      </w:divBdr>
    </w:div>
    <w:div w:id="585575302">
      <w:bodyDiv w:val="1"/>
      <w:marLeft w:val="0"/>
      <w:marRight w:val="0"/>
      <w:marTop w:val="0"/>
      <w:marBottom w:val="0"/>
      <w:divBdr>
        <w:top w:val="none" w:sz="0" w:space="0" w:color="auto"/>
        <w:left w:val="none" w:sz="0" w:space="0" w:color="auto"/>
        <w:bottom w:val="none" w:sz="0" w:space="0" w:color="auto"/>
        <w:right w:val="none" w:sz="0" w:space="0" w:color="auto"/>
      </w:divBdr>
    </w:div>
    <w:div w:id="590314591">
      <w:bodyDiv w:val="1"/>
      <w:marLeft w:val="0"/>
      <w:marRight w:val="0"/>
      <w:marTop w:val="0"/>
      <w:marBottom w:val="0"/>
      <w:divBdr>
        <w:top w:val="none" w:sz="0" w:space="0" w:color="auto"/>
        <w:left w:val="none" w:sz="0" w:space="0" w:color="auto"/>
        <w:bottom w:val="none" w:sz="0" w:space="0" w:color="auto"/>
        <w:right w:val="none" w:sz="0" w:space="0" w:color="auto"/>
      </w:divBdr>
    </w:div>
    <w:div w:id="609550902">
      <w:bodyDiv w:val="1"/>
      <w:marLeft w:val="0"/>
      <w:marRight w:val="0"/>
      <w:marTop w:val="0"/>
      <w:marBottom w:val="0"/>
      <w:divBdr>
        <w:top w:val="none" w:sz="0" w:space="0" w:color="auto"/>
        <w:left w:val="none" w:sz="0" w:space="0" w:color="auto"/>
        <w:bottom w:val="none" w:sz="0" w:space="0" w:color="auto"/>
        <w:right w:val="none" w:sz="0" w:space="0" w:color="auto"/>
      </w:divBdr>
    </w:div>
    <w:div w:id="745568104">
      <w:bodyDiv w:val="1"/>
      <w:marLeft w:val="0"/>
      <w:marRight w:val="0"/>
      <w:marTop w:val="0"/>
      <w:marBottom w:val="0"/>
      <w:divBdr>
        <w:top w:val="none" w:sz="0" w:space="0" w:color="auto"/>
        <w:left w:val="none" w:sz="0" w:space="0" w:color="auto"/>
        <w:bottom w:val="none" w:sz="0" w:space="0" w:color="auto"/>
        <w:right w:val="none" w:sz="0" w:space="0" w:color="auto"/>
      </w:divBdr>
    </w:div>
    <w:div w:id="834689971">
      <w:bodyDiv w:val="1"/>
      <w:marLeft w:val="0"/>
      <w:marRight w:val="0"/>
      <w:marTop w:val="0"/>
      <w:marBottom w:val="0"/>
      <w:divBdr>
        <w:top w:val="none" w:sz="0" w:space="0" w:color="auto"/>
        <w:left w:val="none" w:sz="0" w:space="0" w:color="auto"/>
        <w:bottom w:val="none" w:sz="0" w:space="0" w:color="auto"/>
        <w:right w:val="none" w:sz="0" w:space="0" w:color="auto"/>
      </w:divBdr>
    </w:div>
    <w:div w:id="868756498">
      <w:bodyDiv w:val="1"/>
      <w:marLeft w:val="0"/>
      <w:marRight w:val="0"/>
      <w:marTop w:val="0"/>
      <w:marBottom w:val="0"/>
      <w:divBdr>
        <w:top w:val="none" w:sz="0" w:space="0" w:color="auto"/>
        <w:left w:val="none" w:sz="0" w:space="0" w:color="auto"/>
        <w:bottom w:val="none" w:sz="0" w:space="0" w:color="auto"/>
        <w:right w:val="none" w:sz="0" w:space="0" w:color="auto"/>
      </w:divBdr>
    </w:div>
    <w:div w:id="941650102">
      <w:bodyDiv w:val="1"/>
      <w:marLeft w:val="0"/>
      <w:marRight w:val="0"/>
      <w:marTop w:val="0"/>
      <w:marBottom w:val="0"/>
      <w:divBdr>
        <w:top w:val="none" w:sz="0" w:space="0" w:color="auto"/>
        <w:left w:val="none" w:sz="0" w:space="0" w:color="auto"/>
        <w:bottom w:val="none" w:sz="0" w:space="0" w:color="auto"/>
        <w:right w:val="none" w:sz="0" w:space="0" w:color="auto"/>
      </w:divBdr>
    </w:div>
    <w:div w:id="1017997790">
      <w:bodyDiv w:val="1"/>
      <w:marLeft w:val="0"/>
      <w:marRight w:val="0"/>
      <w:marTop w:val="0"/>
      <w:marBottom w:val="0"/>
      <w:divBdr>
        <w:top w:val="none" w:sz="0" w:space="0" w:color="auto"/>
        <w:left w:val="none" w:sz="0" w:space="0" w:color="auto"/>
        <w:bottom w:val="none" w:sz="0" w:space="0" w:color="auto"/>
        <w:right w:val="none" w:sz="0" w:space="0" w:color="auto"/>
      </w:divBdr>
    </w:div>
    <w:div w:id="1038236062">
      <w:bodyDiv w:val="1"/>
      <w:marLeft w:val="0"/>
      <w:marRight w:val="0"/>
      <w:marTop w:val="0"/>
      <w:marBottom w:val="0"/>
      <w:divBdr>
        <w:top w:val="none" w:sz="0" w:space="0" w:color="auto"/>
        <w:left w:val="none" w:sz="0" w:space="0" w:color="auto"/>
        <w:bottom w:val="none" w:sz="0" w:space="0" w:color="auto"/>
        <w:right w:val="none" w:sz="0" w:space="0" w:color="auto"/>
      </w:divBdr>
    </w:div>
    <w:div w:id="1138500595">
      <w:bodyDiv w:val="1"/>
      <w:marLeft w:val="0"/>
      <w:marRight w:val="0"/>
      <w:marTop w:val="0"/>
      <w:marBottom w:val="0"/>
      <w:divBdr>
        <w:top w:val="none" w:sz="0" w:space="0" w:color="auto"/>
        <w:left w:val="none" w:sz="0" w:space="0" w:color="auto"/>
        <w:bottom w:val="none" w:sz="0" w:space="0" w:color="auto"/>
        <w:right w:val="none" w:sz="0" w:space="0" w:color="auto"/>
      </w:divBdr>
    </w:div>
    <w:div w:id="1176967565">
      <w:bodyDiv w:val="1"/>
      <w:marLeft w:val="0"/>
      <w:marRight w:val="0"/>
      <w:marTop w:val="0"/>
      <w:marBottom w:val="0"/>
      <w:divBdr>
        <w:top w:val="none" w:sz="0" w:space="0" w:color="auto"/>
        <w:left w:val="none" w:sz="0" w:space="0" w:color="auto"/>
        <w:bottom w:val="none" w:sz="0" w:space="0" w:color="auto"/>
        <w:right w:val="none" w:sz="0" w:space="0" w:color="auto"/>
      </w:divBdr>
    </w:div>
    <w:div w:id="1194807633">
      <w:bodyDiv w:val="1"/>
      <w:marLeft w:val="0"/>
      <w:marRight w:val="0"/>
      <w:marTop w:val="0"/>
      <w:marBottom w:val="0"/>
      <w:divBdr>
        <w:top w:val="none" w:sz="0" w:space="0" w:color="auto"/>
        <w:left w:val="none" w:sz="0" w:space="0" w:color="auto"/>
        <w:bottom w:val="none" w:sz="0" w:space="0" w:color="auto"/>
        <w:right w:val="none" w:sz="0" w:space="0" w:color="auto"/>
      </w:divBdr>
    </w:div>
    <w:div w:id="1213076293">
      <w:bodyDiv w:val="1"/>
      <w:marLeft w:val="0"/>
      <w:marRight w:val="0"/>
      <w:marTop w:val="0"/>
      <w:marBottom w:val="0"/>
      <w:divBdr>
        <w:top w:val="none" w:sz="0" w:space="0" w:color="auto"/>
        <w:left w:val="none" w:sz="0" w:space="0" w:color="auto"/>
        <w:bottom w:val="none" w:sz="0" w:space="0" w:color="auto"/>
        <w:right w:val="none" w:sz="0" w:space="0" w:color="auto"/>
      </w:divBdr>
    </w:div>
    <w:div w:id="1330675521">
      <w:bodyDiv w:val="1"/>
      <w:marLeft w:val="0"/>
      <w:marRight w:val="0"/>
      <w:marTop w:val="0"/>
      <w:marBottom w:val="0"/>
      <w:divBdr>
        <w:top w:val="none" w:sz="0" w:space="0" w:color="auto"/>
        <w:left w:val="none" w:sz="0" w:space="0" w:color="auto"/>
        <w:bottom w:val="none" w:sz="0" w:space="0" w:color="auto"/>
        <w:right w:val="none" w:sz="0" w:space="0" w:color="auto"/>
      </w:divBdr>
    </w:div>
    <w:div w:id="1417896750">
      <w:bodyDiv w:val="1"/>
      <w:marLeft w:val="0"/>
      <w:marRight w:val="0"/>
      <w:marTop w:val="0"/>
      <w:marBottom w:val="0"/>
      <w:divBdr>
        <w:top w:val="none" w:sz="0" w:space="0" w:color="auto"/>
        <w:left w:val="none" w:sz="0" w:space="0" w:color="auto"/>
        <w:bottom w:val="none" w:sz="0" w:space="0" w:color="auto"/>
        <w:right w:val="none" w:sz="0" w:space="0" w:color="auto"/>
      </w:divBdr>
    </w:div>
    <w:div w:id="1423456546">
      <w:bodyDiv w:val="1"/>
      <w:marLeft w:val="0"/>
      <w:marRight w:val="0"/>
      <w:marTop w:val="0"/>
      <w:marBottom w:val="0"/>
      <w:divBdr>
        <w:top w:val="none" w:sz="0" w:space="0" w:color="auto"/>
        <w:left w:val="none" w:sz="0" w:space="0" w:color="auto"/>
        <w:bottom w:val="none" w:sz="0" w:space="0" w:color="auto"/>
        <w:right w:val="none" w:sz="0" w:space="0" w:color="auto"/>
      </w:divBdr>
    </w:div>
    <w:div w:id="1675839914">
      <w:bodyDiv w:val="1"/>
      <w:marLeft w:val="0"/>
      <w:marRight w:val="0"/>
      <w:marTop w:val="0"/>
      <w:marBottom w:val="0"/>
      <w:divBdr>
        <w:top w:val="none" w:sz="0" w:space="0" w:color="auto"/>
        <w:left w:val="none" w:sz="0" w:space="0" w:color="auto"/>
        <w:bottom w:val="none" w:sz="0" w:space="0" w:color="auto"/>
        <w:right w:val="none" w:sz="0" w:space="0" w:color="auto"/>
      </w:divBdr>
    </w:div>
    <w:div w:id="1685355950">
      <w:bodyDiv w:val="1"/>
      <w:marLeft w:val="0"/>
      <w:marRight w:val="0"/>
      <w:marTop w:val="0"/>
      <w:marBottom w:val="0"/>
      <w:divBdr>
        <w:top w:val="none" w:sz="0" w:space="0" w:color="auto"/>
        <w:left w:val="none" w:sz="0" w:space="0" w:color="auto"/>
        <w:bottom w:val="none" w:sz="0" w:space="0" w:color="auto"/>
        <w:right w:val="none" w:sz="0" w:space="0" w:color="auto"/>
      </w:divBdr>
    </w:div>
    <w:div w:id="1964732180">
      <w:bodyDiv w:val="1"/>
      <w:marLeft w:val="0"/>
      <w:marRight w:val="0"/>
      <w:marTop w:val="0"/>
      <w:marBottom w:val="0"/>
      <w:divBdr>
        <w:top w:val="none" w:sz="0" w:space="0" w:color="auto"/>
        <w:left w:val="none" w:sz="0" w:space="0" w:color="auto"/>
        <w:bottom w:val="none" w:sz="0" w:space="0" w:color="auto"/>
        <w:right w:val="none" w:sz="0" w:space="0" w:color="auto"/>
      </w:divBdr>
    </w:div>
    <w:div w:id="2008288315">
      <w:bodyDiv w:val="1"/>
      <w:marLeft w:val="0"/>
      <w:marRight w:val="0"/>
      <w:marTop w:val="0"/>
      <w:marBottom w:val="0"/>
      <w:divBdr>
        <w:top w:val="none" w:sz="0" w:space="0" w:color="auto"/>
        <w:left w:val="none" w:sz="0" w:space="0" w:color="auto"/>
        <w:bottom w:val="none" w:sz="0" w:space="0" w:color="auto"/>
        <w:right w:val="none" w:sz="0" w:space="0" w:color="auto"/>
      </w:divBdr>
    </w:div>
    <w:div w:id="2086535469">
      <w:bodyDiv w:val="1"/>
      <w:marLeft w:val="0"/>
      <w:marRight w:val="0"/>
      <w:marTop w:val="0"/>
      <w:marBottom w:val="0"/>
      <w:divBdr>
        <w:top w:val="none" w:sz="0" w:space="0" w:color="auto"/>
        <w:left w:val="none" w:sz="0" w:space="0" w:color="auto"/>
        <w:bottom w:val="none" w:sz="0" w:space="0" w:color="auto"/>
        <w:right w:val="none" w:sz="0" w:space="0" w:color="auto"/>
      </w:divBdr>
      <w:divsChild>
        <w:div w:id="1854145571">
          <w:marLeft w:val="0"/>
          <w:marRight w:val="0"/>
          <w:marTop w:val="75"/>
          <w:marBottom w:val="75"/>
          <w:divBdr>
            <w:top w:val="none" w:sz="0" w:space="0" w:color="auto"/>
            <w:left w:val="none" w:sz="0" w:space="0" w:color="auto"/>
            <w:bottom w:val="none" w:sz="0" w:space="0" w:color="auto"/>
            <w:right w:val="none" w:sz="0" w:space="0" w:color="auto"/>
          </w:divBdr>
          <w:divsChild>
            <w:div w:id="1238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A70F-2082-403B-A63A-FD9FCDB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289</Words>
  <Characters>1652</Characters>
  <Application>Microsoft Office Word</Application>
  <DocSecurity>0</DocSecurity>
  <Lines>13</Lines>
  <Paragraphs>3</Paragraphs>
  <ScaleCrop>false</ScaleCrop>
  <Company>work</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林诗静</cp:lastModifiedBy>
  <cp:revision>29</cp:revision>
  <cp:lastPrinted>2024-01-31T08:49:00Z</cp:lastPrinted>
  <dcterms:created xsi:type="dcterms:W3CDTF">2024-01-31T07:57:00Z</dcterms:created>
  <dcterms:modified xsi:type="dcterms:W3CDTF">2025-03-20T08:18:00Z</dcterms:modified>
</cp:coreProperties>
</file>