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20" w:lineRule="exact"/>
        <w:rPr>
          <w:rFonts w:ascii="宋体" w:hAnsi="宋体"/>
          <w:b/>
          <w:bCs/>
          <w:iCs/>
          <w:szCs w:val="21"/>
        </w:rPr>
      </w:pPr>
      <w:r>
        <w:rPr>
          <w:rFonts w:hint="eastAsia" w:ascii="宋体" w:hAnsi="宋体"/>
          <w:b/>
          <w:bCs/>
          <w:iCs/>
          <w:szCs w:val="21"/>
        </w:rPr>
        <w:t>附件一：</w:t>
      </w:r>
    </w:p>
    <w:p>
      <w:pPr>
        <w:spacing w:beforeLines="50" w:afterLines="50" w:line="520" w:lineRule="exact"/>
        <w:rPr>
          <w:rFonts w:ascii="方正小标宋简体" w:hAnsi="宋体" w:eastAsia="方正小标宋简体"/>
          <w:bCs/>
          <w:iCs/>
          <w:szCs w:val="21"/>
        </w:rPr>
      </w:pPr>
      <w:r>
        <w:rPr>
          <w:rFonts w:hint="eastAsia" w:ascii="方正小标宋简体" w:hAnsi="宋体" w:eastAsia="方正小标宋简体"/>
          <w:bCs/>
          <w:iCs/>
          <w:szCs w:val="21"/>
        </w:rPr>
        <w:t>证券代码：600880                                              证券简称：博瑞传播</w:t>
      </w:r>
    </w:p>
    <w:p>
      <w:pPr>
        <w:spacing w:beforeLines="50"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成都博瑞传播股份有限公司投资者关系活动记录表</w:t>
      </w:r>
    </w:p>
    <w:p>
      <w:pPr>
        <w:spacing w:line="520" w:lineRule="exact"/>
        <w:rPr>
          <w:rFonts w:ascii="宋体" w:hAnsi="宋体"/>
          <w:bCs/>
          <w:iCs/>
          <w:szCs w:val="21"/>
        </w:rPr>
      </w:pPr>
      <w:r>
        <w:rPr>
          <w:rFonts w:ascii="宋体" w:hAnsi="宋体"/>
          <w:bCs/>
          <w:iCs/>
          <w:sz w:val="24"/>
        </w:rPr>
        <w:t xml:space="preserve">                                                             </w:t>
      </w:r>
      <w:r>
        <w:rPr>
          <w:rFonts w:hint="eastAsia" w:ascii="宋体" w:hAnsi="宋体"/>
          <w:bCs/>
          <w:iCs/>
          <w:sz w:val="24"/>
        </w:rPr>
        <w:t xml:space="preserve">  </w:t>
      </w:r>
      <w:r>
        <w:rPr>
          <w:rFonts w:ascii="宋体" w:hAnsi="宋体"/>
          <w:bCs/>
          <w:iCs/>
          <w:szCs w:val="21"/>
        </w:rPr>
        <w:t xml:space="preserve"> </w:t>
      </w:r>
      <w:r>
        <w:rPr>
          <w:rFonts w:hint="eastAsia" w:ascii="宋体" w:hAnsi="宋体"/>
          <w:bCs/>
          <w:iCs/>
          <w:szCs w:val="21"/>
        </w:rPr>
        <w:t>编号：</w:t>
      </w:r>
    </w:p>
    <w:tbl>
      <w:tblPr>
        <w:tblStyle w:val="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7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748" w:type="dxa"/>
            <w:shd w:val="clear" w:color="auto" w:fill="auto"/>
          </w:tcPr>
          <w:p>
            <w:pPr>
              <w:spacing w:line="520" w:lineRule="exact"/>
              <w:rPr>
                <w:szCs w:val="21"/>
              </w:rPr>
            </w:pPr>
            <w:r>
              <w:rPr>
                <w:rFonts w:hint="eastAsia"/>
                <w:szCs w:val="21"/>
              </w:rPr>
              <w:sym w:font="Wingdings 2" w:char="0052"/>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□媒体采访      □</w:t>
            </w:r>
            <w:r>
              <w:rPr>
                <w:rFonts w:hint="eastAsia"/>
                <w:szCs w:val="21"/>
                <w:lang w:val="en-US" w:eastAsia="zh-CN"/>
              </w:rPr>
              <w:t>投资者</w:t>
            </w:r>
            <w:r>
              <w:rPr>
                <w:rFonts w:hint="eastAsia"/>
                <w:szCs w:val="21"/>
              </w:rPr>
              <w:t>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参与单位名称及</w:t>
            </w:r>
          </w:p>
          <w:p>
            <w:pPr>
              <w:spacing w:line="520" w:lineRule="exact"/>
              <w:jc w:val="center"/>
              <w:rPr>
                <w:rFonts w:ascii="宋体" w:hAnsi="宋体"/>
                <w:b/>
                <w:bCs/>
                <w:iCs/>
                <w:szCs w:val="21"/>
              </w:rPr>
            </w:pPr>
            <w:r>
              <w:rPr>
                <w:rFonts w:hint="eastAsia" w:ascii="宋体" w:hAnsi="宋体"/>
                <w:b/>
                <w:bCs/>
                <w:iCs/>
                <w:szCs w:val="21"/>
              </w:rPr>
              <w:t>人员姓名</w:t>
            </w:r>
          </w:p>
        </w:tc>
        <w:tc>
          <w:tcPr>
            <w:tcW w:w="7748" w:type="dxa"/>
            <w:shd w:val="clear" w:color="auto" w:fill="auto"/>
          </w:tcPr>
          <w:p>
            <w:pPr>
              <w:spacing w:line="520" w:lineRule="exact"/>
              <w:rPr>
                <w:rFonts w:hint="eastAsia"/>
                <w:szCs w:val="21"/>
                <w:lang w:val="en-US" w:eastAsia="zh-CN"/>
              </w:rPr>
            </w:pPr>
            <w:r>
              <w:rPr>
                <w:rFonts w:hint="default" w:eastAsia="宋体"/>
                <w:szCs w:val="21"/>
                <w:lang w:val="en-US" w:eastAsia="zh-CN"/>
              </w:rPr>
              <w:t>中泰传媒</w:t>
            </w:r>
            <w:r>
              <w:rPr>
                <w:rFonts w:hint="eastAsia"/>
                <w:szCs w:val="21"/>
                <w:lang w:val="en-US" w:eastAsia="zh-CN"/>
              </w:rPr>
              <w:t xml:space="preserve"> </w:t>
            </w:r>
            <w:r>
              <w:rPr>
                <w:rFonts w:hint="default" w:eastAsia="宋体"/>
                <w:szCs w:val="21"/>
                <w:lang w:val="en-US" w:eastAsia="zh-CN"/>
              </w:rPr>
              <w:t>康雅雯</w:t>
            </w:r>
            <w:r>
              <w:rPr>
                <w:rFonts w:hint="eastAsia"/>
                <w:szCs w:val="21"/>
                <w:lang w:val="en-US" w:eastAsia="zh-CN"/>
              </w:rPr>
              <w:t>、</w:t>
            </w:r>
            <w:r>
              <w:rPr>
                <w:rFonts w:hint="default" w:eastAsia="宋体"/>
                <w:szCs w:val="21"/>
                <w:lang w:val="en-US" w:eastAsia="zh-CN"/>
              </w:rPr>
              <w:t>中泰传媒</w:t>
            </w:r>
            <w:r>
              <w:rPr>
                <w:rFonts w:hint="eastAsia"/>
                <w:szCs w:val="21"/>
                <w:lang w:val="en-US" w:eastAsia="zh-CN"/>
              </w:rPr>
              <w:t xml:space="preserve"> </w:t>
            </w:r>
            <w:r>
              <w:rPr>
                <w:rFonts w:hint="default" w:eastAsia="宋体"/>
                <w:szCs w:val="21"/>
                <w:lang w:val="en-US" w:eastAsia="zh-CN"/>
              </w:rPr>
              <w:t>李昱喆</w:t>
            </w:r>
          </w:p>
          <w:p>
            <w:pPr>
              <w:spacing w:line="520" w:lineRule="exact"/>
              <w:rPr>
                <w:rFonts w:hint="default" w:eastAsia="宋体"/>
                <w:szCs w:val="21"/>
                <w:lang w:val="en-US" w:eastAsia="zh-CN"/>
              </w:rPr>
            </w:pPr>
            <w:r>
              <w:rPr>
                <w:rFonts w:hint="default" w:eastAsia="宋体"/>
                <w:szCs w:val="21"/>
                <w:lang w:val="en-US" w:eastAsia="zh-CN"/>
              </w:rPr>
              <w:t>诺安基金</w:t>
            </w:r>
            <w:r>
              <w:rPr>
                <w:rFonts w:hint="eastAsia"/>
                <w:szCs w:val="21"/>
                <w:lang w:val="en-US" w:eastAsia="zh-CN"/>
              </w:rPr>
              <w:t xml:space="preserve"> </w:t>
            </w:r>
            <w:r>
              <w:rPr>
                <w:rFonts w:hint="default" w:eastAsia="宋体"/>
                <w:szCs w:val="21"/>
                <w:lang w:val="en-US" w:eastAsia="zh-CN"/>
              </w:rPr>
              <w:t>简牮</w:t>
            </w:r>
            <w:r>
              <w:rPr>
                <w:rFonts w:hint="eastAsia"/>
                <w:szCs w:val="21"/>
                <w:lang w:val="en-US" w:eastAsia="zh-CN"/>
              </w:rPr>
              <w:t>、</w:t>
            </w:r>
            <w:r>
              <w:rPr>
                <w:rFonts w:hint="default" w:eastAsia="宋体"/>
                <w:szCs w:val="21"/>
                <w:lang w:val="en-US" w:eastAsia="zh-CN"/>
              </w:rPr>
              <w:t>诺安基金</w:t>
            </w:r>
            <w:r>
              <w:rPr>
                <w:rFonts w:hint="eastAsia"/>
                <w:szCs w:val="21"/>
                <w:lang w:val="en-US" w:eastAsia="zh-CN"/>
              </w:rPr>
              <w:t xml:space="preserve"> 胡永坤、</w:t>
            </w:r>
            <w:r>
              <w:rPr>
                <w:rFonts w:hint="default" w:eastAsia="宋体"/>
                <w:szCs w:val="21"/>
                <w:lang w:val="en-US" w:eastAsia="zh-CN"/>
              </w:rPr>
              <w:t>隆源投资</w:t>
            </w:r>
            <w:r>
              <w:rPr>
                <w:rFonts w:hint="eastAsia"/>
                <w:szCs w:val="21"/>
                <w:lang w:val="en-US" w:eastAsia="zh-CN"/>
              </w:rPr>
              <w:t xml:space="preserve"> </w:t>
            </w:r>
            <w:r>
              <w:rPr>
                <w:rFonts w:hint="default" w:eastAsia="宋体"/>
                <w:szCs w:val="21"/>
                <w:lang w:val="en-US" w:eastAsia="zh-CN"/>
              </w:rPr>
              <w:t>晏坤</w:t>
            </w:r>
            <w:r>
              <w:rPr>
                <w:rFonts w:hint="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2025年3月27日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博瑞传播公司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董事会秘书 苟军、证券事务代表 王薇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748" w:type="dxa"/>
            <w:shd w:val="clear" w:color="auto" w:fill="auto"/>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一、公司及重点业务介绍</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eastAsia="宋体" w:cs="Times New Roman"/>
                <w:bCs/>
                <w:iCs/>
                <w:sz w:val="21"/>
                <w:szCs w:val="21"/>
                <w:lang w:val="en-US" w:eastAsia="zh-CN"/>
              </w:rPr>
              <w:t>公司系成都市属国有传媒类上市公司，经多年的转型发展，公司以“打造成都文创数字新经济重要资本平台”为战略定位，主营业务涵盖智慧管理、现代传播、文化产权交易、游戏研运、文创金融等领域。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二、</w:t>
            </w:r>
            <w:r>
              <w:rPr>
                <w:rFonts w:hint="eastAsia" w:ascii="宋体" w:hAnsi="宋体" w:cs="Times New Roman"/>
                <w:b/>
                <w:bCs/>
                <w:kern w:val="2"/>
                <w:szCs w:val="20"/>
                <w:lang w:val="en-US" w:eastAsia="zh-CN" w:bidi="ar-SA"/>
              </w:rPr>
              <w:t>请问公司在人工智能、大数据或者算力方向有没有业务布局。</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Cs/>
                <w:iCs/>
                <w:sz w:val="21"/>
                <w:szCs w:val="21"/>
                <w:lang w:val="en-US" w:eastAsia="zh-CN"/>
              </w:rPr>
            </w:pPr>
            <w:r>
              <w:rPr>
                <w:rFonts w:hint="eastAsia" w:ascii="宋体" w:hAnsi="宋体" w:eastAsia="宋体" w:cs="Times New Roman"/>
                <w:bCs/>
                <w:iCs/>
                <w:sz w:val="21"/>
                <w:szCs w:val="21"/>
                <w:lang w:val="en-US" w:eastAsia="zh-CN"/>
              </w:rPr>
              <w:t>近两年，公司围绕“打造成都文创数字新经济重要资本平台”的战略定位，将数字新经济作为未来的发展方向积极谋篇布局，一直贯彻落实将新质生产力运用在业务转型上的战略。公司旗下的生学教育一直利用人工智能、大数据等赋能相关业务研发和运用。同时近期生学教育与北京漫游谷等公司已接入DeepSeek-R1等多个主流大模型，积极接受新质生产力的赋能，以降本增效，助力公司业务高质量发展。“算力”方面，公司目前暂未有实质性突破，公司希望后续遵循国家政策导向，结合技术演进与市场需求确保合规运营与商业可持续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三、请介绍一下公司生学教育在学生心理健康方面的</w:t>
            </w:r>
            <w:r>
              <w:rPr>
                <w:rFonts w:hint="eastAsia" w:ascii="宋体" w:hAnsi="宋体" w:cs="Times New Roman"/>
                <w:b/>
                <w:bCs/>
                <w:kern w:val="2"/>
                <w:szCs w:val="20"/>
                <w:lang w:val="en-US" w:eastAsia="zh-CN" w:bidi="ar-SA"/>
              </w:rPr>
              <w:t>相关</w:t>
            </w:r>
            <w:r>
              <w:rPr>
                <w:rFonts w:hint="eastAsia" w:ascii="宋体" w:hAnsi="宋体" w:eastAsia="宋体" w:cs="Times New Roman"/>
                <w:b/>
                <w:bCs/>
                <w:kern w:val="2"/>
                <w:szCs w:val="20"/>
                <w:lang w:val="en-US" w:eastAsia="zh-CN" w:bidi="ar-SA"/>
              </w:rPr>
              <w:t>业务</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Cs/>
                <w:iCs/>
                <w:sz w:val="21"/>
                <w:szCs w:val="21"/>
                <w:lang w:val="en-US" w:eastAsia="zh-CN"/>
              </w:rPr>
            </w:pPr>
            <w:r>
              <w:rPr>
                <w:rFonts w:hint="eastAsia" w:ascii="宋体" w:hAnsi="宋体" w:eastAsia="宋体" w:cs="Times New Roman"/>
                <w:bCs/>
                <w:iCs/>
                <w:sz w:val="21"/>
                <w:szCs w:val="21"/>
                <w:lang w:val="en-US" w:eastAsia="zh-CN"/>
              </w:rPr>
              <w:t>公司旗下生学教育与四川大学华西医院生物医学大数据中心团队联合研发了“AI+身心安全整体解决方案”，与华西急诊科团队联合研发了包含青少年急救知识系列读物、数字化急救教育课程，可有效地帮助学校、学生以及家长学习和了解相关的知识。目前上述项目已在成都七中东部学校完成示范建设，产品和服务已覆盖近700所学校，服务师生家长百万人次。公司后续将加强与四川大学华西医院的全面合作，打造平安校园，为师生的身心安全保驾护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
                <w:szCs w:val="20"/>
                <w:lang w:val="en-US" w:eastAsia="zh-CN" w:bidi="ar-SA"/>
              </w:rPr>
            </w:pPr>
            <w:r>
              <w:rPr>
                <w:rFonts w:hint="eastAsia" w:ascii="宋体" w:hAnsi="宋体" w:cs="Times New Roman"/>
                <w:b/>
                <w:bCs/>
                <w:kern w:val="2"/>
                <w:szCs w:val="20"/>
                <w:lang w:val="en-US" w:eastAsia="zh-CN" w:bidi="ar-SA"/>
              </w:rPr>
              <w:t>四、</w:t>
            </w:r>
            <w:r>
              <w:rPr>
                <w:rFonts w:hint="eastAsia" w:ascii="宋体" w:hAnsi="宋体" w:eastAsia="宋体" w:cs="Times New Roman"/>
                <w:b/>
                <w:bCs/>
                <w:kern w:val="2"/>
                <w:szCs w:val="20"/>
                <w:lang w:val="en-US" w:eastAsia="zh-CN" w:bidi="ar-SA"/>
              </w:rPr>
              <w:t>请介绍一下公司目前游戏业务的推进情况。</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微软雅黑"/>
                <w:lang w:val="en-US" w:eastAsia="zh-CN"/>
              </w:rPr>
            </w:pPr>
            <w:r>
              <w:rPr>
                <w:rFonts w:hint="eastAsia" w:ascii="宋体" w:hAnsi="宋体" w:eastAsia="宋体" w:cs="Times New Roman"/>
                <w:bCs/>
                <w:iCs/>
                <w:sz w:val="21"/>
                <w:szCs w:val="21"/>
                <w:lang w:val="en-US" w:eastAsia="zh-CN"/>
              </w:rPr>
              <w:t>目前公司游戏板块包括以游戏研发为主的北京漫游谷和成都梦工厂，以及着力于游戏产品出海业务的香港漫游宇宙，三家公司实行一体化管理，“研发+运营+发行”全流程业务体系搭建完成。公司游戏业务自有的经典IP含“侠义道”“七雄争霸”“全民主公”等，目前公司在做好经典产品运维和新产品研发的基础上，持续强化游戏出海战略，近两年出海业务逐步取得一定成绩，相关游戏已先后成功登陆泰国、新加坡、马来西亚、日本等市场。同时，公司也开始结合</w:t>
            </w:r>
            <w:r>
              <w:rPr>
                <w:rFonts w:hint="default" w:ascii="宋体" w:hAnsi="宋体" w:eastAsia="宋体" w:cs="Times New Roman"/>
                <w:bCs/>
                <w:iCs/>
                <w:sz w:val="21"/>
                <w:szCs w:val="21"/>
                <w:lang w:val="en-US" w:eastAsia="zh-CN"/>
              </w:rPr>
              <w:t>AI工具在游戏研发、美术设计、测试运维等环节</w:t>
            </w:r>
            <w:r>
              <w:rPr>
                <w:rFonts w:hint="eastAsia" w:ascii="宋体" w:hAnsi="宋体" w:eastAsia="宋体" w:cs="Times New Roman"/>
                <w:bCs/>
                <w:iCs/>
                <w:sz w:val="21"/>
                <w:szCs w:val="21"/>
                <w:lang w:val="en-US" w:eastAsia="zh-CN"/>
              </w:rPr>
              <w:t>加以运用，</w:t>
            </w:r>
            <w:r>
              <w:rPr>
                <w:rFonts w:hint="default" w:ascii="宋体" w:hAnsi="宋体" w:eastAsia="宋体" w:cs="Times New Roman"/>
                <w:bCs/>
                <w:iCs/>
                <w:sz w:val="21"/>
                <w:szCs w:val="21"/>
                <w:lang w:val="en-US" w:eastAsia="zh-CN"/>
              </w:rPr>
              <w:t>加速探索AI与游戏场景的深度融合</w:t>
            </w:r>
            <w:r>
              <w:rPr>
                <w:rFonts w:hint="eastAsia" w:ascii="宋体" w:hAnsi="宋体" w:eastAsia="宋体" w:cs="Times New Roman"/>
                <w:bCs/>
                <w:iCs/>
                <w:sz w:val="21"/>
                <w:szCs w:val="21"/>
                <w:lang w:val="en-US" w:eastAsia="zh-CN"/>
              </w:rPr>
              <w:t>，目前看来整体开发效能有较为明显的提高</w:t>
            </w:r>
            <w:r>
              <w:rPr>
                <w:rFonts w:hint="default" w:ascii="宋体" w:hAnsi="宋体" w:eastAsia="宋体" w:cs="Times New Roman"/>
                <w:bCs/>
                <w:iCs/>
                <w:sz w:val="21"/>
                <w:szCs w:val="21"/>
                <w:lang w:val="en-US" w:eastAsia="zh-CN"/>
              </w:rPr>
              <w:t>。</w:t>
            </w:r>
            <w:r>
              <w:rPr>
                <w:rFonts w:hint="eastAsia" w:ascii="宋体" w:hAnsi="宋体" w:eastAsia="宋体" w:cs="Times New Roman"/>
                <w:bCs/>
                <w:i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367" w:type="dxa"/>
            <w:shd w:val="clear" w:color="auto" w:fill="auto"/>
            <w:vAlign w:val="center"/>
          </w:tcPr>
          <w:p>
            <w:pPr>
              <w:spacing w:line="520" w:lineRule="exact"/>
              <w:jc w:val="center"/>
              <w:rPr>
                <w:rFonts w:hint="default" w:ascii="宋体" w:hAnsi="宋体" w:eastAsia="宋体"/>
                <w:b/>
                <w:bCs/>
                <w:iCs/>
                <w:szCs w:val="21"/>
                <w:lang w:val="en-US" w:eastAsia="zh-CN"/>
              </w:rPr>
            </w:pPr>
            <w:r>
              <w:rPr>
                <w:rFonts w:hint="eastAsia" w:ascii="宋体" w:hAnsi="宋体"/>
                <w:b/>
                <w:bCs/>
                <w:iCs/>
                <w:szCs w:val="21"/>
                <w:lang w:val="en-US" w:eastAsia="zh-CN"/>
              </w:rPr>
              <w:t>附件清单</w:t>
            </w:r>
            <w:bookmarkStart w:id="0" w:name="_GoBack"/>
            <w:bookmarkEnd w:id="0"/>
            <w:r>
              <w:rPr>
                <w:rFonts w:hint="eastAsia" w:ascii="宋体" w:hAnsi="宋体"/>
                <w:b/>
                <w:bCs/>
                <w:iCs/>
                <w:szCs w:val="21"/>
                <w:lang w:val="en-US" w:eastAsia="zh-CN"/>
              </w:rPr>
              <w:t>（如有）</w:t>
            </w:r>
          </w:p>
        </w:tc>
        <w:tc>
          <w:tcPr>
            <w:tcW w:w="7748" w:type="dxa"/>
            <w:shd w:val="clear" w:color="auto" w:fill="auto"/>
            <w:vAlign w:val="top"/>
          </w:tcPr>
          <w:p>
            <w:pPr>
              <w:spacing w:line="520" w:lineRule="exact"/>
              <w:jc w:val="center"/>
              <w:rPr>
                <w:rFonts w:ascii="宋体" w:hAnsi="宋体"/>
                <w:bCs/>
                <w:iCs/>
                <w:szCs w:val="21"/>
              </w:rPr>
            </w:pPr>
          </w:p>
          <w:p>
            <w:pPr>
              <w:widowControl/>
              <w:spacing w:line="520" w:lineRule="exact"/>
              <w:jc w:val="center"/>
              <w:rPr>
                <w:rFonts w:hint="eastAsia" w:ascii="宋体" w:hAnsi="宋体" w:eastAsia="宋体"/>
                <w:bCs/>
                <w:iCs/>
                <w:szCs w:val="21"/>
                <w:lang w:val="en-US" w:eastAsia="zh-CN"/>
              </w:rPr>
            </w:pPr>
            <w:r>
              <w:rPr>
                <w:rFonts w:hint="eastAsia" w:ascii="宋体" w:hAnsi="宋体"/>
                <w:bCs/>
                <w:iCs/>
                <w:szCs w:val="21"/>
                <w:lang w:val="en-US" w:eastAsia="zh-CN"/>
              </w:rPr>
              <w:t>无</w:t>
            </w:r>
          </w:p>
        </w:tc>
      </w:tr>
    </w:tbl>
    <w:p>
      <w:pPr>
        <w:spacing w:line="520" w:lineRule="exact"/>
      </w:pPr>
    </w:p>
    <w:p>
      <w:pPr>
        <w:jc w:val="center"/>
        <w:rPr>
          <w:rFonts w:ascii="宋体" w:hAnsi="宋体" w:cs="宋体"/>
          <w:smallCaps/>
          <w:color w:val="000000"/>
          <w:sz w:val="24"/>
          <w:szCs w:val="20"/>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jc w:val="center"/>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76595"/>
    <w:rsid w:val="1C644AAF"/>
    <w:rsid w:val="62B13F5B"/>
    <w:rsid w:val="6E1F562B"/>
    <w:rsid w:val="7A41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395</Characters>
  <Lines>0</Lines>
  <Paragraphs>0</Paragraphs>
  <TotalTime>6</TotalTime>
  <ScaleCrop>false</ScaleCrop>
  <LinksUpToDate>false</LinksUpToDate>
  <CharactersWithSpaces>584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2024-07-26T06:02:00Z</dcterms:created>
  <dc:creator>lenovo</dc:creator>
  <cp:lastModifiedBy>飞天猪</cp:lastModifiedBy>
  <dcterms:modified xsi:type="dcterms:W3CDTF">2025-03-28T02:23:50Z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060C80441A1E48A885E907C5C4FFC112</vt:lpwstr>
  </property>
  <property fmtid="{D5CDD505-2E9C-101B-9397-08002B2CF9AE}" pid="4" name="KSOTemplateDocerSaveRecord">
    <vt:lpwstr>eyJoZGlkIjoiMTAxZDA3NzQxN2YwZmFkOGI2NmIyYzliZWI5NDY0Y2YiLCJ1c2VySWQiOiI1MzU0NjcxMTkifQ==</vt:lpwstr>
  </property>
</Properties>
</file>