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D0FFD" w14:textId="77777777" w:rsidR="00C814D7" w:rsidRPr="00601C21" w:rsidRDefault="00EF2475" w:rsidP="00601C21">
      <w:pPr>
        <w:jc w:val="left"/>
        <w:rPr>
          <w:rFonts w:asciiTheme="minorEastAsia" w:hAnsiTheme="minorEastAsia"/>
          <w:sz w:val="22"/>
          <w:u w:val="single"/>
        </w:rPr>
      </w:pPr>
      <w:r w:rsidRPr="00601C21">
        <w:rPr>
          <w:rFonts w:asciiTheme="minorEastAsia" w:hAnsiTheme="minorEastAsia"/>
          <w:sz w:val="22"/>
        </w:rPr>
        <w:t>证券代码：</w:t>
      </w:r>
      <w:r w:rsidR="00601C21" w:rsidRPr="00601C21">
        <w:rPr>
          <w:rFonts w:asciiTheme="minorEastAsia" w:hAnsiTheme="minorEastAsia"/>
          <w:sz w:val="22"/>
        </w:rPr>
        <w:t>603</w:t>
      </w:r>
      <w:r w:rsidR="00601C21" w:rsidRPr="00601C21">
        <w:rPr>
          <w:rFonts w:asciiTheme="minorEastAsia" w:hAnsiTheme="minorEastAsia" w:hint="eastAsia"/>
          <w:sz w:val="22"/>
        </w:rPr>
        <w:t>301</w:t>
      </w:r>
      <w:r w:rsidR="00601C21">
        <w:rPr>
          <w:rFonts w:asciiTheme="minorEastAsia" w:hAnsiTheme="minorEastAsia" w:hint="eastAsia"/>
          <w:sz w:val="22"/>
        </w:rPr>
        <w:t xml:space="preserve">          </w:t>
      </w:r>
      <w:r w:rsidRPr="00601C21">
        <w:rPr>
          <w:rFonts w:asciiTheme="minorEastAsia" w:hAnsiTheme="minorEastAsia" w:hint="eastAsia"/>
          <w:sz w:val="22"/>
        </w:rPr>
        <w:t xml:space="preserve"> </w:t>
      </w:r>
      <w:r w:rsidR="00DB1076">
        <w:rPr>
          <w:rFonts w:asciiTheme="minorEastAsia" w:hAnsiTheme="minorEastAsia" w:hint="eastAsia"/>
          <w:sz w:val="22"/>
        </w:rPr>
        <w:t xml:space="preserve">                             </w:t>
      </w:r>
      <w:r w:rsidRPr="00601C21">
        <w:rPr>
          <w:rFonts w:asciiTheme="minorEastAsia" w:hAnsiTheme="minorEastAsia" w:hint="eastAsia"/>
          <w:sz w:val="22"/>
        </w:rPr>
        <w:t xml:space="preserve"> 证券简称：</w:t>
      </w:r>
      <w:r w:rsidR="00601C21" w:rsidRPr="00601C21">
        <w:rPr>
          <w:rFonts w:asciiTheme="minorEastAsia" w:hAnsiTheme="minorEastAsia" w:hint="eastAsia"/>
          <w:sz w:val="22"/>
        </w:rPr>
        <w:t>振德医疗</w:t>
      </w:r>
      <w:r w:rsidR="00601C21" w:rsidRPr="00601C21">
        <w:rPr>
          <w:rFonts w:asciiTheme="minorEastAsia" w:hAnsiTheme="minorEastAsia"/>
          <w:sz w:val="22"/>
        </w:rPr>
        <w:t xml:space="preserve"> </w:t>
      </w:r>
    </w:p>
    <w:p w14:paraId="02CB3E52" w14:textId="77777777" w:rsidR="00601C21" w:rsidRDefault="00601C21" w:rsidP="00601C21">
      <w:pPr>
        <w:jc w:val="left"/>
      </w:pPr>
    </w:p>
    <w:p w14:paraId="4A22885C" w14:textId="77777777" w:rsidR="00DB1076" w:rsidRPr="00DB1076" w:rsidRDefault="00601C21" w:rsidP="00DB1076">
      <w:pPr>
        <w:spacing w:line="400" w:lineRule="exact"/>
        <w:jc w:val="center"/>
        <w:rPr>
          <w:rFonts w:ascii="Times New Roman" w:eastAsia="黑体" w:hAnsi="Times New Roman" w:cs="Times New Roman"/>
          <w:bCs/>
          <w:sz w:val="32"/>
          <w:szCs w:val="32"/>
        </w:rPr>
      </w:pPr>
      <w:r w:rsidRPr="00DB1076">
        <w:rPr>
          <w:rFonts w:ascii="Times New Roman" w:eastAsia="黑体" w:hAnsi="Times New Roman" w:cs="Times New Roman" w:hint="eastAsia"/>
          <w:bCs/>
          <w:sz w:val="32"/>
          <w:szCs w:val="32"/>
        </w:rPr>
        <w:t>振</w:t>
      </w:r>
      <w:proofErr w:type="gramStart"/>
      <w:r w:rsidRPr="00DB1076">
        <w:rPr>
          <w:rFonts w:ascii="Times New Roman" w:eastAsia="黑体" w:hAnsi="Times New Roman" w:cs="Times New Roman" w:hint="eastAsia"/>
          <w:bCs/>
          <w:sz w:val="32"/>
          <w:szCs w:val="32"/>
        </w:rPr>
        <w:t>德医疗</w:t>
      </w:r>
      <w:proofErr w:type="gramEnd"/>
      <w:r w:rsidRPr="00DB1076">
        <w:rPr>
          <w:rFonts w:ascii="Times New Roman" w:eastAsia="黑体" w:hAnsi="Times New Roman" w:cs="Times New Roman" w:hint="eastAsia"/>
          <w:bCs/>
          <w:sz w:val="32"/>
          <w:szCs w:val="32"/>
        </w:rPr>
        <w:t>用品股份有限公司</w:t>
      </w:r>
    </w:p>
    <w:p w14:paraId="29D61096" w14:textId="52B529F2" w:rsidR="00EF2475" w:rsidRPr="00DB1076" w:rsidRDefault="00DB1076" w:rsidP="00DB1076">
      <w:pPr>
        <w:spacing w:line="400" w:lineRule="exact"/>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t>202</w:t>
      </w:r>
      <w:r w:rsidR="008B686A">
        <w:rPr>
          <w:rFonts w:ascii="Times New Roman" w:eastAsia="黑体" w:hAnsi="Times New Roman" w:cs="Times New Roman" w:hint="eastAsia"/>
          <w:bCs/>
          <w:sz w:val="32"/>
          <w:szCs w:val="32"/>
        </w:rPr>
        <w:t>5</w:t>
      </w:r>
      <w:r>
        <w:rPr>
          <w:rFonts w:ascii="Times New Roman" w:eastAsia="黑体" w:hAnsi="Times New Roman" w:cs="Times New Roman" w:hint="eastAsia"/>
          <w:bCs/>
          <w:sz w:val="32"/>
          <w:szCs w:val="32"/>
        </w:rPr>
        <w:t>年</w:t>
      </w:r>
      <w:r w:rsidR="008B686A">
        <w:rPr>
          <w:rFonts w:ascii="Times New Roman" w:eastAsia="黑体" w:hAnsi="Times New Roman" w:cs="Times New Roman" w:hint="eastAsia"/>
          <w:bCs/>
          <w:sz w:val="32"/>
          <w:szCs w:val="32"/>
        </w:rPr>
        <w:t>3</w:t>
      </w:r>
      <w:r>
        <w:rPr>
          <w:rFonts w:ascii="Times New Roman" w:eastAsia="黑体" w:hAnsi="Times New Roman" w:cs="Times New Roman" w:hint="eastAsia"/>
          <w:bCs/>
          <w:sz w:val="32"/>
          <w:szCs w:val="32"/>
        </w:rPr>
        <w:t>月</w:t>
      </w:r>
      <w:r w:rsidR="008B686A">
        <w:rPr>
          <w:rFonts w:ascii="Times New Roman" w:eastAsia="黑体" w:hAnsi="Times New Roman" w:cs="Times New Roman" w:hint="eastAsia"/>
          <w:bCs/>
          <w:sz w:val="32"/>
          <w:szCs w:val="32"/>
        </w:rPr>
        <w:t>27</w:t>
      </w:r>
      <w:r>
        <w:rPr>
          <w:rFonts w:ascii="Times New Roman" w:eastAsia="黑体" w:hAnsi="Times New Roman" w:cs="Times New Roman" w:hint="eastAsia"/>
          <w:bCs/>
          <w:sz w:val="32"/>
          <w:szCs w:val="32"/>
        </w:rPr>
        <w:t>日</w:t>
      </w:r>
      <w:r w:rsidR="00EF2475" w:rsidRPr="00DB1076">
        <w:rPr>
          <w:rFonts w:ascii="Times New Roman" w:eastAsia="黑体" w:hAnsi="Times New Roman" w:cs="Times New Roman" w:hint="eastAsia"/>
          <w:bCs/>
          <w:sz w:val="32"/>
          <w:szCs w:val="32"/>
        </w:rPr>
        <w:t>投资者关系活动记录表</w:t>
      </w:r>
    </w:p>
    <w:p w14:paraId="144708D6" w14:textId="77777777" w:rsidR="00EF2475" w:rsidRPr="003E70E8" w:rsidRDefault="00EF2475" w:rsidP="00EF2475">
      <w:pPr>
        <w:jc w:val="right"/>
      </w:pPr>
    </w:p>
    <w:tbl>
      <w:tblPr>
        <w:tblW w:w="0" w:type="auto"/>
        <w:tblLayout w:type="fixed"/>
        <w:tblLook w:val="0000" w:firstRow="0" w:lastRow="0" w:firstColumn="0" w:lastColumn="0" w:noHBand="0" w:noVBand="0"/>
      </w:tblPr>
      <w:tblGrid>
        <w:gridCol w:w="1908"/>
        <w:gridCol w:w="6614"/>
      </w:tblGrid>
      <w:tr w:rsidR="00410214" w14:paraId="274FCCCE" w14:textId="77777777" w:rsidTr="00575117">
        <w:tc>
          <w:tcPr>
            <w:tcW w:w="1908" w:type="dxa"/>
            <w:tcBorders>
              <w:top w:val="single" w:sz="4" w:space="0" w:color="000000"/>
              <w:left w:val="single" w:sz="4" w:space="0" w:color="000000"/>
              <w:bottom w:val="single" w:sz="4" w:space="0" w:color="000000"/>
              <w:right w:val="single" w:sz="4" w:space="0" w:color="000000"/>
            </w:tcBorders>
            <w:vAlign w:val="center"/>
          </w:tcPr>
          <w:p w14:paraId="042AB204"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t>投资者关系活动类别</w:t>
            </w:r>
          </w:p>
        </w:tc>
        <w:tc>
          <w:tcPr>
            <w:tcW w:w="6614" w:type="dxa"/>
            <w:tcBorders>
              <w:top w:val="single" w:sz="4" w:space="0" w:color="000000"/>
              <w:left w:val="nil"/>
              <w:bottom w:val="single" w:sz="4" w:space="0" w:color="000000"/>
              <w:right w:val="single" w:sz="4" w:space="0" w:color="000000"/>
            </w:tcBorders>
          </w:tcPr>
          <w:p w14:paraId="74FC06BC" w14:textId="100D528B" w:rsidR="00410214" w:rsidRDefault="008B686A" w:rsidP="00575117">
            <w:pPr>
              <w:widowControl/>
              <w:spacing w:line="480" w:lineRule="atLeast"/>
              <w:rPr>
                <w:rFonts w:ascii="宋体" w:cs="宋体"/>
                <w:kern w:val="0"/>
                <w:sz w:val="24"/>
                <w:szCs w:val="24"/>
              </w:rPr>
            </w:pPr>
            <w:r>
              <w:rPr>
                <w:rFonts w:ascii="宋体" w:hAnsi="宋体" w:cs="宋体" w:hint="eastAsia"/>
                <w:kern w:val="0"/>
                <w:sz w:val="24"/>
                <w:szCs w:val="24"/>
              </w:rPr>
              <w:sym w:font="Wingdings" w:char="F0FE"/>
            </w:r>
            <w:r w:rsidR="00410214">
              <w:rPr>
                <w:rFonts w:ascii="宋体" w:hAnsi="宋体" w:cs="宋体" w:hint="eastAsia"/>
                <w:kern w:val="0"/>
                <w:sz w:val="24"/>
                <w:szCs w:val="24"/>
              </w:rPr>
              <w:t>特定对象调研   □分析师会议</w:t>
            </w:r>
          </w:p>
          <w:p w14:paraId="039B5ED9" w14:textId="77777777" w:rsidR="00410214" w:rsidRDefault="00410214" w:rsidP="00575117">
            <w:pPr>
              <w:widowControl/>
              <w:spacing w:line="480" w:lineRule="atLeast"/>
              <w:rPr>
                <w:rFonts w:ascii="宋体" w:cs="宋体"/>
                <w:kern w:val="0"/>
                <w:sz w:val="24"/>
                <w:szCs w:val="24"/>
              </w:rPr>
            </w:pPr>
            <w:r>
              <w:rPr>
                <w:rFonts w:ascii="宋体" w:hAnsi="宋体" w:cs="宋体" w:hint="eastAsia"/>
                <w:kern w:val="0"/>
                <w:sz w:val="24"/>
                <w:szCs w:val="24"/>
              </w:rPr>
              <w:t>□媒体采访       □业绩说明会</w:t>
            </w:r>
          </w:p>
          <w:p w14:paraId="7A926ABE" w14:textId="77777777" w:rsidR="00410214" w:rsidRDefault="00410214" w:rsidP="00575117">
            <w:pPr>
              <w:widowControl/>
              <w:spacing w:line="480" w:lineRule="atLeast"/>
              <w:rPr>
                <w:rFonts w:ascii="宋体" w:cs="宋体"/>
                <w:kern w:val="0"/>
                <w:sz w:val="24"/>
                <w:szCs w:val="24"/>
              </w:rPr>
            </w:pPr>
            <w:r>
              <w:rPr>
                <w:rFonts w:ascii="宋体" w:hAnsi="宋体" w:cs="宋体" w:hint="eastAsia"/>
                <w:kern w:val="0"/>
                <w:sz w:val="24"/>
                <w:szCs w:val="24"/>
              </w:rPr>
              <w:t>□新闻发布会     □路演活动</w:t>
            </w:r>
          </w:p>
          <w:p w14:paraId="5E15F8E7" w14:textId="0EB44BC5" w:rsidR="00410214" w:rsidRDefault="008B686A" w:rsidP="00575117">
            <w:pPr>
              <w:widowControl/>
              <w:spacing w:line="480" w:lineRule="atLeast"/>
              <w:rPr>
                <w:rFonts w:ascii="宋体" w:cs="宋体"/>
                <w:kern w:val="0"/>
                <w:sz w:val="24"/>
                <w:szCs w:val="24"/>
              </w:rPr>
            </w:pPr>
            <w:r>
              <w:rPr>
                <w:rFonts w:ascii="宋体" w:hAnsi="宋体" w:cs="宋体" w:hint="eastAsia"/>
                <w:kern w:val="0"/>
                <w:sz w:val="24"/>
                <w:szCs w:val="24"/>
              </w:rPr>
              <w:sym w:font="Wingdings" w:char="F0FE"/>
            </w:r>
            <w:r w:rsidR="00410214">
              <w:rPr>
                <w:rFonts w:ascii="宋体" w:hAnsi="宋体" w:cs="宋体" w:hint="eastAsia"/>
                <w:kern w:val="0"/>
                <w:sz w:val="24"/>
                <w:szCs w:val="24"/>
              </w:rPr>
              <w:t>现场参观       □电话会议</w:t>
            </w:r>
          </w:p>
          <w:p w14:paraId="0BFA95C1" w14:textId="77777777" w:rsidR="00410214" w:rsidRDefault="00221B55" w:rsidP="00221B55">
            <w:pPr>
              <w:widowControl/>
              <w:autoSpaceDE w:val="0"/>
              <w:spacing w:line="480" w:lineRule="atLeast"/>
              <w:rPr>
                <w:rFonts w:ascii="宋体" w:cs="宋体"/>
                <w:kern w:val="0"/>
                <w:sz w:val="24"/>
              </w:rPr>
            </w:pPr>
            <w:r>
              <w:rPr>
                <w:rFonts w:ascii="宋体" w:hAnsi="宋体" w:cs="宋体" w:hint="eastAsia"/>
                <w:kern w:val="0"/>
                <w:sz w:val="24"/>
                <w:szCs w:val="24"/>
              </w:rPr>
              <w:t>□其他</w:t>
            </w:r>
          </w:p>
        </w:tc>
      </w:tr>
      <w:tr w:rsidR="00410214" w14:paraId="38F873CE" w14:textId="77777777" w:rsidTr="00575117">
        <w:tc>
          <w:tcPr>
            <w:tcW w:w="1908" w:type="dxa"/>
            <w:tcBorders>
              <w:top w:val="single" w:sz="4" w:space="0" w:color="000000"/>
              <w:left w:val="single" w:sz="4" w:space="0" w:color="000000"/>
              <w:bottom w:val="single" w:sz="4" w:space="0" w:color="000000"/>
              <w:right w:val="single" w:sz="4" w:space="0" w:color="000000"/>
            </w:tcBorders>
            <w:vAlign w:val="center"/>
          </w:tcPr>
          <w:p w14:paraId="3B70BD73"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t>参与单位名称及人员姓名</w:t>
            </w:r>
          </w:p>
        </w:tc>
        <w:tc>
          <w:tcPr>
            <w:tcW w:w="6614" w:type="dxa"/>
            <w:tcBorders>
              <w:top w:val="single" w:sz="4" w:space="0" w:color="000000"/>
              <w:left w:val="nil"/>
              <w:bottom w:val="single" w:sz="4" w:space="0" w:color="000000"/>
              <w:right w:val="single" w:sz="4" w:space="0" w:color="000000"/>
            </w:tcBorders>
          </w:tcPr>
          <w:p w14:paraId="78B0FD75" w14:textId="07BF6847" w:rsidR="00221B55" w:rsidRPr="008143BD" w:rsidRDefault="008B686A" w:rsidP="008B686A">
            <w:pPr>
              <w:widowControl/>
              <w:spacing w:line="276" w:lineRule="auto"/>
              <w:rPr>
                <w:rFonts w:ascii="宋体" w:hAnsi="宋体"/>
                <w:szCs w:val="21"/>
              </w:rPr>
            </w:pPr>
            <w:r>
              <w:rPr>
                <w:rFonts w:ascii="宋体" w:hAnsi="宋体" w:hint="eastAsia"/>
                <w:szCs w:val="21"/>
              </w:rPr>
              <w:t>个人及机构投资者、上海证券交易所投资者服务部、上海</w:t>
            </w:r>
            <w:proofErr w:type="gramStart"/>
            <w:r>
              <w:rPr>
                <w:rFonts w:ascii="宋体" w:hAnsi="宋体" w:hint="eastAsia"/>
                <w:szCs w:val="21"/>
              </w:rPr>
              <w:t>证券交易所投教基地</w:t>
            </w:r>
            <w:proofErr w:type="gramEnd"/>
            <w:r>
              <w:rPr>
                <w:rFonts w:ascii="宋体" w:hAnsi="宋体" w:hint="eastAsia"/>
                <w:szCs w:val="21"/>
              </w:rPr>
              <w:t>、兴业</w:t>
            </w:r>
            <w:proofErr w:type="gramStart"/>
            <w:r>
              <w:rPr>
                <w:rFonts w:ascii="宋体" w:hAnsi="宋体" w:hint="eastAsia"/>
                <w:szCs w:val="21"/>
              </w:rPr>
              <w:t>证券投教基地</w:t>
            </w:r>
            <w:proofErr w:type="gramEnd"/>
            <w:r>
              <w:rPr>
                <w:rFonts w:ascii="宋体" w:hAnsi="宋体" w:hint="eastAsia"/>
                <w:szCs w:val="21"/>
              </w:rPr>
              <w:t>、兴业证券经济与金融研究院、兴业证券浙江分公司</w:t>
            </w:r>
          </w:p>
        </w:tc>
      </w:tr>
      <w:tr w:rsidR="00410214" w14:paraId="0AAB0BB5" w14:textId="77777777" w:rsidTr="00410214">
        <w:trPr>
          <w:trHeight w:val="454"/>
        </w:trPr>
        <w:tc>
          <w:tcPr>
            <w:tcW w:w="1908" w:type="dxa"/>
            <w:tcBorders>
              <w:top w:val="single" w:sz="4" w:space="0" w:color="000000"/>
              <w:left w:val="single" w:sz="4" w:space="0" w:color="000000"/>
              <w:bottom w:val="single" w:sz="4" w:space="0" w:color="000000"/>
              <w:right w:val="single" w:sz="4" w:space="0" w:color="000000"/>
            </w:tcBorders>
            <w:vAlign w:val="center"/>
          </w:tcPr>
          <w:p w14:paraId="2E7F7AE2"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t>时间</w:t>
            </w:r>
          </w:p>
        </w:tc>
        <w:tc>
          <w:tcPr>
            <w:tcW w:w="6614" w:type="dxa"/>
            <w:tcBorders>
              <w:top w:val="single" w:sz="4" w:space="0" w:color="000000"/>
              <w:left w:val="nil"/>
              <w:bottom w:val="single" w:sz="4" w:space="0" w:color="000000"/>
              <w:right w:val="single" w:sz="4" w:space="0" w:color="000000"/>
            </w:tcBorders>
            <w:vAlign w:val="center"/>
          </w:tcPr>
          <w:p w14:paraId="6B99E9CB" w14:textId="740CC0C3" w:rsidR="00410214" w:rsidRDefault="00410214" w:rsidP="008F37F2">
            <w:pPr>
              <w:widowControl/>
              <w:snapToGrid w:val="0"/>
              <w:rPr>
                <w:rFonts w:ascii="宋体" w:hAnsi="宋体"/>
                <w:szCs w:val="21"/>
              </w:rPr>
            </w:pPr>
            <w:r>
              <w:rPr>
                <w:rFonts w:ascii="宋体" w:hAnsi="宋体" w:hint="eastAsia"/>
                <w:szCs w:val="21"/>
              </w:rPr>
              <w:t>2</w:t>
            </w:r>
            <w:r>
              <w:rPr>
                <w:rFonts w:ascii="宋体" w:hAnsi="宋体"/>
                <w:szCs w:val="21"/>
              </w:rPr>
              <w:t>0</w:t>
            </w:r>
            <w:r w:rsidR="00B40259">
              <w:rPr>
                <w:rFonts w:ascii="宋体" w:hAnsi="宋体"/>
                <w:szCs w:val="21"/>
              </w:rPr>
              <w:t>2</w:t>
            </w:r>
            <w:r w:rsidR="008B686A">
              <w:rPr>
                <w:rFonts w:ascii="宋体" w:hAnsi="宋体" w:hint="eastAsia"/>
                <w:szCs w:val="21"/>
              </w:rPr>
              <w:t>5</w:t>
            </w:r>
            <w:r>
              <w:rPr>
                <w:rFonts w:ascii="宋体" w:hAnsi="宋体" w:hint="eastAsia"/>
                <w:szCs w:val="21"/>
              </w:rPr>
              <w:t>年</w:t>
            </w:r>
            <w:r w:rsidR="008B686A">
              <w:rPr>
                <w:rFonts w:ascii="宋体" w:hAnsi="宋体" w:hint="eastAsia"/>
                <w:szCs w:val="21"/>
              </w:rPr>
              <w:t>3</w:t>
            </w:r>
            <w:r>
              <w:rPr>
                <w:rFonts w:ascii="宋体" w:hAnsi="宋体" w:hint="eastAsia"/>
                <w:szCs w:val="21"/>
              </w:rPr>
              <w:t>月</w:t>
            </w:r>
            <w:r w:rsidR="008B686A">
              <w:rPr>
                <w:rFonts w:ascii="宋体" w:hAnsi="宋体" w:hint="eastAsia"/>
                <w:szCs w:val="21"/>
              </w:rPr>
              <w:t>27</w:t>
            </w:r>
            <w:r>
              <w:rPr>
                <w:rFonts w:ascii="宋体" w:hAnsi="宋体" w:hint="eastAsia"/>
                <w:szCs w:val="21"/>
              </w:rPr>
              <w:t>日</w:t>
            </w:r>
            <w:r w:rsidR="00A03C1B">
              <w:rPr>
                <w:rFonts w:ascii="宋体" w:hAnsi="宋体" w:hint="eastAsia"/>
                <w:szCs w:val="21"/>
              </w:rPr>
              <w:t xml:space="preserve">   </w:t>
            </w:r>
          </w:p>
        </w:tc>
      </w:tr>
      <w:tr w:rsidR="00410214" w14:paraId="1473E40C" w14:textId="77777777" w:rsidTr="00410214">
        <w:trPr>
          <w:trHeight w:val="419"/>
        </w:trPr>
        <w:tc>
          <w:tcPr>
            <w:tcW w:w="1908" w:type="dxa"/>
            <w:tcBorders>
              <w:top w:val="single" w:sz="4" w:space="0" w:color="000000"/>
              <w:left w:val="single" w:sz="4" w:space="0" w:color="000000"/>
              <w:bottom w:val="single" w:sz="4" w:space="0" w:color="000000"/>
              <w:right w:val="single" w:sz="4" w:space="0" w:color="000000"/>
            </w:tcBorders>
            <w:vAlign w:val="center"/>
          </w:tcPr>
          <w:p w14:paraId="5EECD513"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t>地点</w:t>
            </w:r>
          </w:p>
        </w:tc>
        <w:tc>
          <w:tcPr>
            <w:tcW w:w="6614" w:type="dxa"/>
            <w:tcBorders>
              <w:top w:val="single" w:sz="4" w:space="0" w:color="000000"/>
              <w:left w:val="nil"/>
              <w:bottom w:val="single" w:sz="4" w:space="0" w:color="000000"/>
              <w:right w:val="single" w:sz="4" w:space="0" w:color="000000"/>
            </w:tcBorders>
            <w:vAlign w:val="center"/>
          </w:tcPr>
          <w:p w14:paraId="3EB72E31" w14:textId="15EBDA9B" w:rsidR="00410214" w:rsidRDefault="00221B55" w:rsidP="00B40259">
            <w:pPr>
              <w:widowControl/>
              <w:rPr>
                <w:rFonts w:ascii="宋体" w:hAnsi="宋体"/>
                <w:szCs w:val="21"/>
              </w:rPr>
            </w:pPr>
            <w:r>
              <w:rPr>
                <w:rFonts w:ascii="宋体" w:hAnsi="宋体" w:hint="eastAsia"/>
                <w:szCs w:val="21"/>
              </w:rPr>
              <w:t>绍兴市越城区</w:t>
            </w:r>
            <w:proofErr w:type="gramStart"/>
            <w:r>
              <w:rPr>
                <w:rFonts w:ascii="宋体" w:hAnsi="宋体" w:hint="eastAsia"/>
                <w:szCs w:val="21"/>
              </w:rPr>
              <w:t>皋</w:t>
            </w:r>
            <w:proofErr w:type="gramEnd"/>
            <w:r>
              <w:rPr>
                <w:rFonts w:ascii="宋体" w:hAnsi="宋体" w:hint="eastAsia"/>
                <w:szCs w:val="21"/>
              </w:rPr>
              <w:t>埠</w:t>
            </w:r>
            <w:proofErr w:type="gramStart"/>
            <w:r>
              <w:rPr>
                <w:rFonts w:ascii="宋体" w:hAnsi="宋体" w:hint="eastAsia"/>
                <w:szCs w:val="21"/>
              </w:rPr>
              <w:t>街道</w:t>
            </w:r>
            <w:r w:rsidR="00B40259">
              <w:rPr>
                <w:rFonts w:ascii="宋体" w:hAnsi="宋体" w:hint="eastAsia"/>
                <w:szCs w:val="21"/>
              </w:rPr>
              <w:t>香积路</w:t>
            </w:r>
            <w:proofErr w:type="gramEnd"/>
            <w:r w:rsidR="00B40259">
              <w:rPr>
                <w:rFonts w:ascii="宋体" w:hAnsi="宋体" w:hint="eastAsia"/>
                <w:szCs w:val="21"/>
              </w:rPr>
              <w:t>5</w:t>
            </w:r>
            <w:r w:rsidR="00B40259">
              <w:rPr>
                <w:rFonts w:ascii="宋体" w:hAnsi="宋体"/>
                <w:szCs w:val="21"/>
              </w:rPr>
              <w:t>5</w:t>
            </w:r>
            <w:r w:rsidR="00B40259">
              <w:rPr>
                <w:rFonts w:ascii="宋体" w:hAnsi="宋体" w:hint="eastAsia"/>
                <w:szCs w:val="21"/>
              </w:rPr>
              <w:t>号</w:t>
            </w:r>
            <w:r>
              <w:rPr>
                <w:rFonts w:ascii="宋体" w:hAnsi="宋体" w:hint="eastAsia"/>
                <w:szCs w:val="21"/>
              </w:rPr>
              <w:t>振</w:t>
            </w:r>
            <w:proofErr w:type="gramStart"/>
            <w:r>
              <w:rPr>
                <w:rFonts w:ascii="宋体" w:hAnsi="宋体" w:hint="eastAsia"/>
                <w:szCs w:val="21"/>
              </w:rPr>
              <w:t>德医疗</w:t>
            </w:r>
            <w:proofErr w:type="gramEnd"/>
            <w:r>
              <w:rPr>
                <w:rFonts w:ascii="宋体" w:hAnsi="宋体" w:hint="eastAsia"/>
                <w:szCs w:val="21"/>
              </w:rPr>
              <w:t>总部会议室</w:t>
            </w:r>
          </w:p>
        </w:tc>
      </w:tr>
      <w:tr w:rsidR="00410214" w14:paraId="4745D812" w14:textId="77777777" w:rsidTr="00221B55">
        <w:tc>
          <w:tcPr>
            <w:tcW w:w="1908" w:type="dxa"/>
            <w:tcBorders>
              <w:top w:val="single" w:sz="4" w:space="0" w:color="000000"/>
              <w:left w:val="single" w:sz="4" w:space="0" w:color="000000"/>
              <w:bottom w:val="single" w:sz="4" w:space="0" w:color="000000"/>
              <w:right w:val="single" w:sz="4" w:space="0" w:color="000000"/>
            </w:tcBorders>
            <w:vAlign w:val="center"/>
          </w:tcPr>
          <w:p w14:paraId="3D005675"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t>上市公司接待人员姓名</w:t>
            </w:r>
          </w:p>
        </w:tc>
        <w:tc>
          <w:tcPr>
            <w:tcW w:w="6614" w:type="dxa"/>
            <w:tcBorders>
              <w:top w:val="single" w:sz="4" w:space="0" w:color="000000"/>
              <w:left w:val="nil"/>
              <w:bottom w:val="single" w:sz="4" w:space="0" w:color="000000"/>
              <w:right w:val="single" w:sz="4" w:space="0" w:color="000000"/>
            </w:tcBorders>
            <w:vAlign w:val="center"/>
          </w:tcPr>
          <w:p w14:paraId="1162E59D" w14:textId="55942EA8" w:rsidR="008B686A" w:rsidRDefault="008B686A" w:rsidP="00221B55">
            <w:pPr>
              <w:widowControl/>
              <w:spacing w:line="276" w:lineRule="auto"/>
              <w:rPr>
                <w:rFonts w:ascii="宋体" w:hAnsi="宋体"/>
                <w:szCs w:val="21"/>
              </w:rPr>
            </w:pPr>
            <w:r>
              <w:rPr>
                <w:rFonts w:ascii="宋体" w:hAnsi="宋体" w:hint="eastAsia"/>
                <w:szCs w:val="21"/>
              </w:rPr>
              <w:t>财务总监：金海萍</w:t>
            </w:r>
          </w:p>
          <w:p w14:paraId="5101A5E3" w14:textId="30CEC544" w:rsidR="008B686A" w:rsidRDefault="006D3C08" w:rsidP="00221B55">
            <w:pPr>
              <w:widowControl/>
              <w:spacing w:line="276" w:lineRule="auto"/>
              <w:rPr>
                <w:rFonts w:ascii="宋体" w:hAnsi="宋体"/>
                <w:szCs w:val="21"/>
              </w:rPr>
            </w:pPr>
            <w:r>
              <w:rPr>
                <w:rFonts w:ascii="宋体" w:hAnsi="宋体" w:hint="eastAsia"/>
                <w:szCs w:val="21"/>
              </w:rPr>
              <w:t>董事会秘书：</w:t>
            </w:r>
            <w:proofErr w:type="gramStart"/>
            <w:r>
              <w:rPr>
                <w:rFonts w:ascii="宋体" w:hAnsi="宋体" w:hint="eastAsia"/>
                <w:szCs w:val="21"/>
              </w:rPr>
              <w:t>季宝海</w:t>
            </w:r>
            <w:proofErr w:type="gramEnd"/>
          </w:p>
        </w:tc>
      </w:tr>
      <w:tr w:rsidR="00410214" w14:paraId="5447F71C" w14:textId="77777777" w:rsidTr="00575117">
        <w:trPr>
          <w:trHeight w:val="1757"/>
        </w:trPr>
        <w:tc>
          <w:tcPr>
            <w:tcW w:w="1908" w:type="dxa"/>
            <w:tcBorders>
              <w:top w:val="single" w:sz="4" w:space="0" w:color="000000"/>
              <w:left w:val="single" w:sz="4" w:space="0" w:color="000000"/>
              <w:bottom w:val="single" w:sz="4" w:space="0" w:color="000000"/>
              <w:right w:val="single" w:sz="4" w:space="0" w:color="000000"/>
            </w:tcBorders>
            <w:vAlign w:val="center"/>
          </w:tcPr>
          <w:p w14:paraId="5D7F05E0"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t>投资者关系活动主要内容介绍</w:t>
            </w:r>
          </w:p>
        </w:tc>
        <w:tc>
          <w:tcPr>
            <w:tcW w:w="6614" w:type="dxa"/>
            <w:tcBorders>
              <w:top w:val="single" w:sz="4" w:space="0" w:color="000000"/>
              <w:left w:val="nil"/>
              <w:bottom w:val="single" w:sz="4" w:space="0" w:color="000000"/>
              <w:right w:val="single" w:sz="4" w:space="0" w:color="000000"/>
            </w:tcBorders>
          </w:tcPr>
          <w:p w14:paraId="6D114C52" w14:textId="6D4FABAC" w:rsidR="00873633" w:rsidRDefault="008B686A" w:rsidP="008B686A">
            <w:r>
              <w:rPr>
                <w:rFonts w:hint="eastAsia"/>
              </w:rPr>
              <w:t>一、公司参观</w:t>
            </w:r>
          </w:p>
          <w:p w14:paraId="4BA9DFD9" w14:textId="0C396E3F" w:rsidR="00221B55" w:rsidRDefault="008B686A" w:rsidP="008B686A">
            <w:r>
              <w:rPr>
                <w:rFonts w:hint="eastAsia"/>
              </w:rPr>
              <w:t>二、公司介绍</w:t>
            </w:r>
          </w:p>
          <w:p w14:paraId="4EFD5DA0" w14:textId="799EE1EA" w:rsidR="00221B55" w:rsidRDefault="008B686A" w:rsidP="008B686A">
            <w:r>
              <w:rPr>
                <w:rFonts w:hint="eastAsia"/>
              </w:rPr>
              <w:t>三、交流的主要问题及答复</w:t>
            </w:r>
          </w:p>
          <w:p w14:paraId="1B601303" w14:textId="75E53607" w:rsidR="00533C5C" w:rsidRPr="00F10566" w:rsidRDefault="00533C5C" w:rsidP="00533C5C">
            <w:pPr>
              <w:rPr>
                <w:color w:val="FF0000"/>
              </w:rPr>
            </w:pPr>
            <w:bookmarkStart w:id="0" w:name="OLE_LINK1"/>
            <w:r w:rsidRPr="00367AD5">
              <w:rPr>
                <w:rFonts w:hint="eastAsia"/>
              </w:rPr>
              <w:t>1</w:t>
            </w:r>
            <w:r w:rsidRPr="00367AD5">
              <w:rPr>
                <w:rFonts w:hint="eastAsia"/>
              </w:rPr>
              <w:t>、请公司介绍下国内敷料行业的发展趋势和驱动力？</w:t>
            </w:r>
            <w:proofErr w:type="gramStart"/>
            <w:r w:rsidRPr="00367AD5">
              <w:rPr>
                <w:rFonts w:hint="eastAsia"/>
              </w:rPr>
              <w:t>手术感控产品</w:t>
            </w:r>
            <w:proofErr w:type="gramEnd"/>
            <w:r w:rsidRPr="00367AD5">
              <w:rPr>
                <w:rFonts w:hint="eastAsia"/>
              </w:rPr>
              <w:t>的发展趋势？</w:t>
            </w:r>
          </w:p>
          <w:p w14:paraId="4FC61608" w14:textId="142E1D2A" w:rsidR="00533C5C" w:rsidRDefault="00533C5C" w:rsidP="00533C5C">
            <w:pPr>
              <w:ind w:firstLineChars="200" w:firstLine="420"/>
            </w:pPr>
            <w:r>
              <w:rPr>
                <w:rFonts w:hint="eastAsia"/>
              </w:rPr>
              <w:t>医用敷料</w:t>
            </w:r>
            <w:r w:rsidR="00582CF2">
              <w:rPr>
                <w:rFonts w:hint="eastAsia"/>
              </w:rPr>
              <w:t>行业</w:t>
            </w:r>
            <w:r>
              <w:rPr>
                <w:rFonts w:hint="eastAsia"/>
              </w:rPr>
              <w:t>发展趋势：近年来，随着我国经济的快速发展，居民的生活水平与健康意识不断提高，医疗资源逐渐丰富，</w:t>
            </w:r>
            <w:proofErr w:type="gramStart"/>
            <w:r>
              <w:rPr>
                <w:rFonts w:hint="eastAsia"/>
              </w:rPr>
              <w:t>医</w:t>
            </w:r>
            <w:proofErr w:type="gramEnd"/>
            <w:r>
              <w:rPr>
                <w:rFonts w:hint="eastAsia"/>
              </w:rPr>
              <w:t>保力度持续加大，医用敷料市场迎来了快速发展时期。</w:t>
            </w:r>
          </w:p>
          <w:p w14:paraId="7D4816BB" w14:textId="48219838" w:rsidR="00533C5C" w:rsidRDefault="00533C5C" w:rsidP="00533C5C">
            <w:pPr>
              <w:ind w:firstLineChars="200" w:firstLine="420"/>
            </w:pPr>
            <w:r>
              <w:rPr>
                <w:rFonts w:hint="eastAsia"/>
              </w:rPr>
              <w:t>目前国内医用敷料行业整体以基础伤口护理产品为主，行业进入门槛较低，生产企业众多，产品同质化严重，品牌识别度和影响力相对较低。近年来，国内企业特别是行业领先企业不断加大在生产工艺、关键技术等方面的研发投入，已推动我国传统敷料产品向现代敷料转型。目前国内市场上的现代敷料产品主要还以进口品牌为主，进口品牌仍然占据主导地位。但随着国家鼓励创新、进口替代</w:t>
            </w:r>
            <w:r w:rsidR="00582CF2">
              <w:rPr>
                <w:rFonts w:hint="eastAsia"/>
              </w:rPr>
              <w:t>等</w:t>
            </w:r>
            <w:r>
              <w:rPr>
                <w:rFonts w:hint="eastAsia"/>
              </w:rPr>
              <w:t>政策鼓励，国内行业快速发展，国产与进口产品的差距不断缩小，性价比优势逐渐凸显。随着国内企业在技术研发方面的不断投入和突破</w:t>
            </w:r>
            <w:r>
              <w:rPr>
                <w:rFonts w:hint="eastAsia"/>
              </w:rPr>
              <w:t>,</w:t>
            </w:r>
            <w:r>
              <w:rPr>
                <w:rFonts w:hint="eastAsia"/>
              </w:rPr>
              <w:t>国产产品将凭借不断提升的性能、服务及成本优势进一步扩大国内市场份额，国产替代进程将不断推进。</w:t>
            </w:r>
          </w:p>
          <w:p w14:paraId="519CFE5E" w14:textId="6F24EB6D" w:rsidR="00533C5C" w:rsidRDefault="00533C5C" w:rsidP="00533C5C">
            <w:pPr>
              <w:ind w:firstLineChars="200" w:firstLine="420"/>
            </w:pPr>
            <w:r>
              <w:rPr>
                <w:rFonts w:hint="eastAsia"/>
              </w:rPr>
              <w:t>手术室感染控制耗材发展趋势：由于外科手术数量的增长及对感染控制措施的加强，手术室感染控制产品市场呈持续增长态势。根据</w:t>
            </w:r>
            <w:r>
              <w:rPr>
                <w:rFonts w:hint="eastAsia"/>
              </w:rPr>
              <w:t>CMI</w:t>
            </w:r>
            <w:r>
              <w:rPr>
                <w:rFonts w:hint="eastAsia"/>
              </w:rPr>
              <w:t>机构的统计，手术室感染控制产品全球市场规模预计将于</w:t>
            </w:r>
            <w:r>
              <w:rPr>
                <w:rFonts w:hint="eastAsia"/>
              </w:rPr>
              <w:t>2026</w:t>
            </w:r>
            <w:r>
              <w:rPr>
                <w:rFonts w:hint="eastAsia"/>
              </w:rPr>
              <w:t>年达到</w:t>
            </w:r>
            <w:r>
              <w:rPr>
                <w:rFonts w:hint="eastAsia"/>
              </w:rPr>
              <w:t>36.88</w:t>
            </w:r>
            <w:r>
              <w:rPr>
                <w:rFonts w:hint="eastAsia"/>
              </w:rPr>
              <w:t>亿美</w:t>
            </w:r>
            <w:r w:rsidR="00582CF2">
              <w:rPr>
                <w:rFonts w:hint="eastAsia"/>
              </w:rPr>
              <w:t>元，</w:t>
            </w:r>
            <w:r>
              <w:rPr>
                <w:rFonts w:hint="eastAsia"/>
              </w:rPr>
              <w:t>年复合增长率为</w:t>
            </w:r>
            <w:r>
              <w:rPr>
                <w:rFonts w:hint="eastAsia"/>
              </w:rPr>
              <w:t>4.90%</w:t>
            </w:r>
            <w:r>
              <w:rPr>
                <w:rFonts w:hint="eastAsia"/>
              </w:rPr>
              <w:t>。</w:t>
            </w:r>
          </w:p>
          <w:p w14:paraId="0ED72E7F" w14:textId="77777777" w:rsidR="00533C5C" w:rsidRDefault="00533C5C" w:rsidP="00533C5C">
            <w:pPr>
              <w:ind w:firstLineChars="200" w:firstLine="420"/>
            </w:pPr>
            <w:r>
              <w:rPr>
                <w:rFonts w:hint="eastAsia"/>
              </w:rPr>
              <w:lastRenderedPageBreak/>
              <w:t>手术室感染控制产品可分为重复使用型和一次性使用型。鉴于一次性使用型产品能更好的降低手术中的交叉感染风险以及在效率提升、成本等方面的优势，重复使用型产品向一次性使用型产品转变成为行业未来主要发展趋势。此外，相比于单个产品，定制</w:t>
            </w:r>
            <w:proofErr w:type="gramStart"/>
            <w:r>
              <w:rPr>
                <w:rFonts w:hint="eastAsia"/>
              </w:rPr>
              <w:t>化手术</w:t>
            </w:r>
            <w:proofErr w:type="gramEnd"/>
            <w:r>
              <w:rPr>
                <w:rFonts w:hint="eastAsia"/>
              </w:rPr>
              <w:t>组合包产品的市场规模将继续呈快速增长趋势。根据</w:t>
            </w:r>
            <w:r>
              <w:rPr>
                <w:rFonts w:hint="eastAsia"/>
              </w:rPr>
              <w:t>CMI</w:t>
            </w:r>
            <w:r>
              <w:rPr>
                <w:rFonts w:hint="eastAsia"/>
              </w:rPr>
              <w:t>机构的统计，全球定制</w:t>
            </w:r>
            <w:proofErr w:type="gramStart"/>
            <w:r>
              <w:rPr>
                <w:rFonts w:hint="eastAsia"/>
              </w:rPr>
              <w:t>化手术</w:t>
            </w:r>
            <w:proofErr w:type="gramEnd"/>
            <w:r>
              <w:rPr>
                <w:rFonts w:hint="eastAsia"/>
              </w:rPr>
              <w:t>组合包市场规模预计将于</w:t>
            </w:r>
            <w:r>
              <w:rPr>
                <w:rFonts w:hint="eastAsia"/>
              </w:rPr>
              <w:t>2026</w:t>
            </w:r>
            <w:r>
              <w:rPr>
                <w:rFonts w:hint="eastAsia"/>
              </w:rPr>
              <w:t>年增长至</w:t>
            </w:r>
            <w:r>
              <w:rPr>
                <w:rFonts w:hint="eastAsia"/>
              </w:rPr>
              <w:t>213.47</w:t>
            </w:r>
            <w:r>
              <w:rPr>
                <w:rFonts w:hint="eastAsia"/>
              </w:rPr>
              <w:t>亿美元，年均复合增长率为</w:t>
            </w:r>
            <w:r>
              <w:rPr>
                <w:rFonts w:hint="eastAsia"/>
              </w:rPr>
              <w:t>10.2%</w:t>
            </w:r>
            <w:r>
              <w:rPr>
                <w:rFonts w:hint="eastAsia"/>
              </w:rPr>
              <w:t>，其中，我国定制</w:t>
            </w:r>
            <w:proofErr w:type="gramStart"/>
            <w:r>
              <w:rPr>
                <w:rFonts w:hint="eastAsia"/>
              </w:rPr>
              <w:t>化手术组合包规模</w:t>
            </w:r>
            <w:proofErr w:type="gramEnd"/>
            <w:r>
              <w:rPr>
                <w:rFonts w:hint="eastAsia"/>
              </w:rPr>
              <w:t>预计将上升至</w:t>
            </w:r>
            <w:r>
              <w:rPr>
                <w:rFonts w:hint="eastAsia"/>
              </w:rPr>
              <w:t>15.04</w:t>
            </w:r>
            <w:r>
              <w:rPr>
                <w:rFonts w:hint="eastAsia"/>
              </w:rPr>
              <w:t>亿美元，年均复合增长率</w:t>
            </w:r>
            <w:r>
              <w:rPr>
                <w:rFonts w:hint="eastAsia"/>
              </w:rPr>
              <w:t>12.2%</w:t>
            </w:r>
            <w:r>
              <w:rPr>
                <w:rFonts w:hint="eastAsia"/>
              </w:rPr>
              <w:t>，市场前景十分广阔。根据新思界《</w:t>
            </w:r>
            <w:r>
              <w:rPr>
                <w:rFonts w:hint="eastAsia"/>
              </w:rPr>
              <w:t>2021-2026</w:t>
            </w:r>
            <w:r>
              <w:rPr>
                <w:rFonts w:hint="eastAsia"/>
              </w:rPr>
              <w:t>年中国手术感控产品行业细分市场需求及开拓机会研究报告》显示，国内</w:t>
            </w:r>
            <w:proofErr w:type="gramStart"/>
            <w:r>
              <w:rPr>
                <w:rFonts w:hint="eastAsia"/>
              </w:rPr>
              <w:t>手术感控产品</w:t>
            </w:r>
            <w:proofErr w:type="gramEnd"/>
            <w:r>
              <w:rPr>
                <w:rFonts w:hint="eastAsia"/>
              </w:rPr>
              <w:t>仍旧以重复使用型产品为主，我国</w:t>
            </w:r>
            <w:r>
              <w:rPr>
                <w:rFonts w:hint="eastAsia"/>
              </w:rPr>
              <w:t>2020</w:t>
            </w:r>
            <w:r>
              <w:rPr>
                <w:rFonts w:hint="eastAsia"/>
              </w:rPr>
              <w:t>年住院手术人次达到</w:t>
            </w:r>
            <w:r>
              <w:rPr>
                <w:rFonts w:hint="eastAsia"/>
              </w:rPr>
              <w:t>7000</w:t>
            </w:r>
            <w:r>
              <w:rPr>
                <w:rFonts w:hint="eastAsia"/>
              </w:rPr>
              <w:t>万左右，其中一次性手术包用量约为</w:t>
            </w:r>
            <w:r>
              <w:rPr>
                <w:rFonts w:hint="eastAsia"/>
              </w:rPr>
              <w:t>1960</w:t>
            </w:r>
            <w:r>
              <w:rPr>
                <w:rFonts w:hint="eastAsia"/>
              </w:rPr>
              <w:t>万左右，渗透率为</w:t>
            </w:r>
            <w:r>
              <w:rPr>
                <w:rFonts w:hint="eastAsia"/>
              </w:rPr>
              <w:t>28%</w:t>
            </w:r>
            <w:r>
              <w:rPr>
                <w:rFonts w:hint="eastAsia"/>
              </w:rPr>
              <w:t>左右，参考北美发达国家高达</w:t>
            </w:r>
            <w:r>
              <w:rPr>
                <w:rFonts w:hint="eastAsia"/>
              </w:rPr>
              <w:t>88%</w:t>
            </w:r>
            <w:r>
              <w:rPr>
                <w:rFonts w:hint="eastAsia"/>
              </w:rPr>
              <w:t>左右的市场渗透率，同时考虑老龄化等因素我国住院手术人次将不断增长，预计一次性手术包市场规模提升空间较大。</w:t>
            </w:r>
            <w:bookmarkEnd w:id="0"/>
          </w:p>
          <w:p w14:paraId="701F8983" w14:textId="77777777" w:rsidR="00533C5C" w:rsidRDefault="00533C5C" w:rsidP="00533C5C"/>
          <w:p w14:paraId="04EB5C75" w14:textId="1623D2B1" w:rsidR="00533C5C" w:rsidRPr="001E5DCE" w:rsidRDefault="00533C5C" w:rsidP="00533C5C">
            <w:pPr>
              <w:rPr>
                <w:color w:val="FF0000"/>
              </w:rPr>
            </w:pPr>
            <w:bookmarkStart w:id="1" w:name="OLE_LINK2"/>
            <w:r w:rsidRPr="00367AD5">
              <w:rPr>
                <w:rFonts w:hint="eastAsia"/>
              </w:rPr>
              <w:t>2</w:t>
            </w:r>
            <w:r w:rsidRPr="00367AD5">
              <w:rPr>
                <w:rFonts w:hint="eastAsia"/>
              </w:rPr>
              <w:t>、公司持续投入研发，请介绍公司近年来研发投入的方向及取得了哪些阶段性成果？如何加速研发成果向实际产品和经济效益的转化，缩短转化周期？</w:t>
            </w:r>
          </w:p>
          <w:p w14:paraId="54469D57" w14:textId="77777777" w:rsidR="00533C5C" w:rsidRDefault="00533C5C" w:rsidP="00533C5C">
            <w:pPr>
              <w:ind w:firstLineChars="200" w:firstLine="420"/>
            </w:pPr>
            <w:r>
              <w:rPr>
                <w:rFonts w:hint="eastAsia"/>
              </w:rPr>
              <w:t>一直以来公司</w:t>
            </w:r>
            <w:r w:rsidRPr="005A69CF">
              <w:rPr>
                <w:rFonts w:hint="eastAsia"/>
              </w:rPr>
              <w:t>坚持创新驱动发展战略</w:t>
            </w:r>
            <w:r>
              <w:rPr>
                <w:rFonts w:hint="eastAsia"/>
              </w:rPr>
              <w:t>，持续研发投入，以“源于市场，终于市场”为研发理念，实行“自主深入研发、广泛深入合作、拥有核心技术”的研发策略，拥有省级重点企业研究院和自主研究团队，与高等院校共建博士后流动工作站，并与浙江大学、湖北大学等国内知名高校和北京中医医院等医疗机构开展横向研发合作，为公司的研发和创新提供强大的技术和临床支持。</w:t>
            </w:r>
          </w:p>
          <w:p w14:paraId="340EEC39" w14:textId="77777777" w:rsidR="00533C5C" w:rsidRDefault="00533C5C" w:rsidP="00533C5C">
            <w:pPr>
              <w:ind w:firstLineChars="200" w:firstLine="420"/>
            </w:pPr>
            <w:r>
              <w:rPr>
                <w:rFonts w:hint="eastAsia"/>
              </w:rPr>
              <w:t>近年来，公司以创面</w:t>
            </w:r>
            <w:r>
              <w:rPr>
                <w:rFonts w:hint="eastAsia"/>
              </w:rPr>
              <w:t>/</w:t>
            </w:r>
            <w:r>
              <w:rPr>
                <w:rFonts w:hint="eastAsia"/>
              </w:rPr>
              <w:t>造口产品、</w:t>
            </w:r>
            <w:proofErr w:type="gramStart"/>
            <w:r>
              <w:rPr>
                <w:rFonts w:hint="eastAsia"/>
              </w:rPr>
              <w:t>感控材料</w:t>
            </w:r>
            <w:proofErr w:type="gramEnd"/>
            <w:r>
              <w:rPr>
                <w:rFonts w:hint="eastAsia"/>
              </w:rPr>
              <w:t>等领域为主要研发方向，完成博士后工作站课题《海藻酸盐基复合水凝胶的仿生构建及原位诱导皮肤创伤修复研究》的中期考核，项目进度和指标要求均达到设定目标；进一步深入与浙江大学绍兴研究院的技术合作，围绕高分子材料应用于创面</w:t>
            </w:r>
            <w:r>
              <w:rPr>
                <w:rFonts w:hint="eastAsia"/>
              </w:rPr>
              <w:t>/</w:t>
            </w:r>
            <w:r>
              <w:rPr>
                <w:rFonts w:hint="eastAsia"/>
              </w:rPr>
              <w:t>造口</w:t>
            </w:r>
            <w:proofErr w:type="gramStart"/>
            <w:r>
              <w:rPr>
                <w:rFonts w:hint="eastAsia"/>
              </w:rPr>
              <w:t>的胶流体改</w:t>
            </w:r>
            <w:proofErr w:type="gramEnd"/>
            <w:r>
              <w:rPr>
                <w:rFonts w:hint="eastAsia"/>
              </w:rPr>
              <w:t>性的技术开发项目，取得进展；充分利用和发挥高层次人才的引领作用，组织开展研讨会，识别行业共性的技术问题，如创面敷料的感染指示技术、难愈创面的气味控制技术等，推进创伤修复材料、高分子生物材料等领域的基础研究；在新型抗菌材料方面与中科院技术研究合作，推进在低毒、选择性抗菌、无耐药风险、促进慢性难愈创面愈合方面的新型材料和技术应用；在产品技术研发创新方面，聚焦功能性创面护理产品及技术领域，碘仿、</w:t>
            </w:r>
            <w:r>
              <w:rPr>
                <w:rFonts w:hint="eastAsia"/>
              </w:rPr>
              <w:t>PHMB</w:t>
            </w:r>
            <w:r>
              <w:rPr>
                <w:rFonts w:hint="eastAsia"/>
              </w:rPr>
              <w:t>、</w:t>
            </w:r>
            <w:proofErr w:type="gramStart"/>
            <w:r>
              <w:rPr>
                <w:rFonts w:hint="eastAsia"/>
              </w:rPr>
              <w:t>高渗盐等</w:t>
            </w:r>
            <w:proofErr w:type="gramEnd"/>
            <w:r>
              <w:rPr>
                <w:rFonts w:hint="eastAsia"/>
              </w:rPr>
              <w:t>敷料产品完成开发并取得产品全性能的检测试验报告；银离子、</w:t>
            </w:r>
            <w:r>
              <w:rPr>
                <w:rFonts w:hint="eastAsia"/>
              </w:rPr>
              <w:t>PHMB</w:t>
            </w:r>
            <w:r>
              <w:rPr>
                <w:rFonts w:hint="eastAsia"/>
              </w:rPr>
              <w:t>等抗菌技术应用于伤口护理的产品，已完成样品试制，取得部分产品性能的检测试验报告，完成</w:t>
            </w:r>
            <w:r>
              <w:t>功能性抗菌技术应用于伤口护理产品的转化</w:t>
            </w:r>
            <w:r>
              <w:rPr>
                <w:rFonts w:hint="eastAsia"/>
              </w:rPr>
              <w:t>。同时，在创新和产品开发中公司积极推行“环境责任和治理”的理念，关注可</w:t>
            </w:r>
            <w:proofErr w:type="gramStart"/>
            <w:r>
              <w:rPr>
                <w:rFonts w:hint="eastAsia"/>
              </w:rPr>
              <w:t>持续减碳技术</w:t>
            </w:r>
            <w:proofErr w:type="gramEnd"/>
            <w:r>
              <w:rPr>
                <w:rFonts w:hint="eastAsia"/>
              </w:rPr>
              <w:t>、可回收材料、可再生材料在医疗健康用品最终产品的应用。</w:t>
            </w:r>
          </w:p>
          <w:p w14:paraId="3B890379" w14:textId="1BC182FD" w:rsidR="00533C5C" w:rsidRDefault="00533C5C" w:rsidP="00533C5C">
            <w:pPr>
              <w:ind w:firstLineChars="200" w:firstLine="420"/>
            </w:pPr>
            <w:r>
              <w:rPr>
                <w:rFonts w:hint="eastAsia"/>
              </w:rPr>
              <w:t>为有效提高公司研发能力和研发效率，公司持续推进在高分子材料、生物医用材料和新型抗菌材料等领域复合型技术人才的引进工作，提升公司研究院的基础技术创新能力建设；同时</w:t>
            </w:r>
            <w:r w:rsidR="00582CF2">
              <w:rPr>
                <w:rFonts w:hint="eastAsia"/>
              </w:rPr>
              <w:t>公司强化以市场需求</w:t>
            </w:r>
            <w:r w:rsidR="00582CF2">
              <w:rPr>
                <w:rFonts w:hint="eastAsia"/>
              </w:rPr>
              <w:lastRenderedPageBreak/>
              <w:t>为导向，通过</w:t>
            </w:r>
            <w:r>
              <w:rPr>
                <w:rFonts w:hint="eastAsia"/>
              </w:rPr>
              <w:t>不断优化和固化</w:t>
            </w:r>
            <w:r>
              <w:rPr>
                <w:rFonts w:hint="eastAsia"/>
              </w:rPr>
              <w:t>IPD</w:t>
            </w:r>
            <w:r>
              <w:rPr>
                <w:rFonts w:hint="eastAsia"/>
              </w:rPr>
              <w:t>流程，</w:t>
            </w:r>
            <w:r w:rsidR="00582CF2">
              <w:rPr>
                <w:rFonts w:hint="eastAsia"/>
              </w:rPr>
              <w:t>设置有效激励机制，完善技术预研过程，探索</w:t>
            </w:r>
            <w:r w:rsidR="00582CF2">
              <w:rPr>
                <w:rFonts w:hint="eastAsia"/>
              </w:rPr>
              <w:t>AI</w:t>
            </w:r>
            <w:r w:rsidR="00582CF2">
              <w:rPr>
                <w:rFonts w:hint="eastAsia"/>
              </w:rPr>
              <w:t>工具使用，</w:t>
            </w:r>
            <w:r>
              <w:rPr>
                <w:rFonts w:hint="eastAsia"/>
              </w:rPr>
              <w:t>有效支持新产品上市，保障公司关键新产品研发项目的高效实施。</w:t>
            </w:r>
            <w:bookmarkEnd w:id="1"/>
          </w:p>
          <w:p w14:paraId="12571EB6" w14:textId="77777777" w:rsidR="00533C5C" w:rsidRPr="00F539AA" w:rsidRDefault="00533C5C" w:rsidP="00582CF2"/>
          <w:p w14:paraId="3341F938" w14:textId="00411318" w:rsidR="00533C5C" w:rsidRPr="003C18E5" w:rsidRDefault="00533C5C" w:rsidP="00533C5C">
            <w:pPr>
              <w:rPr>
                <w:color w:val="FF0000"/>
              </w:rPr>
            </w:pPr>
            <w:r w:rsidRPr="00367AD5">
              <w:rPr>
                <w:rFonts w:hint="eastAsia"/>
              </w:rPr>
              <w:t>3</w:t>
            </w:r>
            <w:r w:rsidRPr="00367AD5">
              <w:rPr>
                <w:rFonts w:hint="eastAsia"/>
              </w:rPr>
              <w:t>、在春季</w:t>
            </w:r>
            <w:r w:rsidR="0085731E" w:rsidRPr="00367AD5">
              <w:rPr>
                <w:rFonts w:hint="eastAsia"/>
              </w:rPr>
              <w:t>CMEF</w:t>
            </w:r>
            <w:r w:rsidRPr="00367AD5">
              <w:rPr>
                <w:rFonts w:hint="eastAsia"/>
              </w:rPr>
              <w:t>国际医疗器械博览会上，公司推出了手术废液收集智能系统和医用升温</w:t>
            </w:r>
            <w:proofErr w:type="gramStart"/>
            <w:r w:rsidRPr="00367AD5">
              <w:rPr>
                <w:rFonts w:hint="eastAsia"/>
              </w:rPr>
              <w:t>毯</w:t>
            </w:r>
            <w:proofErr w:type="gramEnd"/>
            <w:r w:rsidRPr="00367AD5">
              <w:rPr>
                <w:rFonts w:hint="eastAsia"/>
              </w:rPr>
              <w:t>等新品。未来公司还将推出哪些新产品，这些产品针对哪些细分市场和客户群体，如何在竞争激烈的市场中突出产品的差异化优势？</w:t>
            </w:r>
          </w:p>
          <w:p w14:paraId="0502AFAA" w14:textId="6F21BE22" w:rsidR="00533C5C" w:rsidRPr="003C18E5" w:rsidRDefault="00533C5C" w:rsidP="00533C5C">
            <w:pPr>
              <w:ind w:firstLineChars="200" w:firstLine="420"/>
            </w:pPr>
            <w:r w:rsidRPr="003C18E5">
              <w:rPr>
                <w:rFonts w:hint="eastAsia"/>
              </w:rPr>
              <w:t>一直以来，公司都十分重视市场洞察，以客户需求为导向，通过自主研发、外部合作、资源整合等方式不断推进产品的创新和迭代，丰富产品组合、优化产品设计、提升产品品质，提高产品市场竞争力和客户满意度。</w:t>
            </w:r>
            <w:proofErr w:type="gramStart"/>
            <w:r w:rsidRPr="003C18E5">
              <w:rPr>
                <w:rFonts w:hint="eastAsia"/>
              </w:rPr>
              <w:t>在伤造口</w:t>
            </w:r>
            <w:proofErr w:type="gramEnd"/>
            <w:r w:rsidRPr="003C18E5">
              <w:rPr>
                <w:rFonts w:hint="eastAsia"/>
              </w:rPr>
              <w:t>领域，公司根据临床需求进行产品设计</w:t>
            </w:r>
            <w:r w:rsidR="00582CF2">
              <w:rPr>
                <w:rFonts w:hint="eastAsia"/>
              </w:rPr>
              <w:t>（</w:t>
            </w:r>
            <w:r w:rsidRPr="003C18E5">
              <w:rPr>
                <w:rFonts w:hint="eastAsia"/>
              </w:rPr>
              <w:t>如造口底盘配方、形状设计；泡沫敷料在不同应用场景下性能设计</w:t>
            </w:r>
            <w:r w:rsidR="00582CF2">
              <w:rPr>
                <w:rFonts w:hint="eastAsia"/>
              </w:rPr>
              <w:t>），</w:t>
            </w:r>
            <w:r w:rsidRPr="003C18E5">
              <w:rPr>
                <w:rFonts w:hint="eastAsia"/>
              </w:rPr>
              <w:t>同时积极</w:t>
            </w:r>
            <w:proofErr w:type="gramStart"/>
            <w:r w:rsidRPr="003C18E5">
              <w:rPr>
                <w:rFonts w:hint="eastAsia"/>
              </w:rPr>
              <w:t>推进伤造口</w:t>
            </w:r>
            <w:proofErr w:type="gramEnd"/>
            <w:r w:rsidRPr="003C18E5">
              <w:rPr>
                <w:rFonts w:hint="eastAsia"/>
              </w:rPr>
              <w:t>产品临床应用循证工作</w:t>
            </w:r>
            <w:r w:rsidR="00582CF2">
              <w:rPr>
                <w:rFonts w:hint="eastAsia"/>
              </w:rPr>
              <w:t>；</w:t>
            </w:r>
            <w:r w:rsidRPr="003C18E5">
              <w:rPr>
                <w:rFonts w:hint="eastAsia"/>
              </w:rPr>
              <w:t>在</w:t>
            </w:r>
            <w:proofErr w:type="gramStart"/>
            <w:r w:rsidRPr="003C18E5">
              <w:rPr>
                <w:rFonts w:hint="eastAsia"/>
              </w:rPr>
              <w:t>手术感控产品</w:t>
            </w:r>
            <w:proofErr w:type="gramEnd"/>
            <w:r w:rsidRPr="003C18E5">
              <w:rPr>
                <w:rFonts w:hint="eastAsia"/>
              </w:rPr>
              <w:t>领域，公司持续推进</w:t>
            </w:r>
            <w:proofErr w:type="gramStart"/>
            <w:r w:rsidRPr="003C18E5">
              <w:rPr>
                <w:rFonts w:hint="eastAsia"/>
              </w:rPr>
              <w:t>感控材料</w:t>
            </w:r>
            <w:proofErr w:type="gramEnd"/>
            <w:r w:rsidRPr="003C18E5">
              <w:rPr>
                <w:rFonts w:hint="eastAsia"/>
              </w:rPr>
              <w:t>开发来满足市场需求变化，关注手术部位感染的全过程管理，从屏障隔离产品拓展到低体温管理、手术液体监测；</w:t>
            </w:r>
            <w:r w:rsidR="00582CF2">
              <w:rPr>
                <w:rFonts w:hint="eastAsia"/>
              </w:rPr>
              <w:t>在零售市场，围绕居家护理、运动康复、老年护理、疤痕管理等领域，不断挖掘大单品，丰富产品组合；</w:t>
            </w:r>
            <w:r w:rsidRPr="003C18E5">
              <w:rPr>
                <w:rFonts w:hint="eastAsia"/>
              </w:rPr>
              <w:t>供应</w:t>
            </w:r>
            <w:proofErr w:type="gramStart"/>
            <w:r w:rsidRPr="003C18E5">
              <w:rPr>
                <w:rFonts w:hint="eastAsia"/>
              </w:rPr>
              <w:t>链方面</w:t>
            </w:r>
            <w:proofErr w:type="gramEnd"/>
            <w:r w:rsidRPr="003C18E5">
              <w:rPr>
                <w:rFonts w:hint="eastAsia"/>
              </w:rPr>
              <w:t>通过</w:t>
            </w:r>
            <w:r w:rsidR="00582CF2">
              <w:rPr>
                <w:rFonts w:hint="eastAsia"/>
              </w:rPr>
              <w:t>精益制造、</w:t>
            </w:r>
            <w:r w:rsidRPr="003C18E5">
              <w:rPr>
                <w:rFonts w:hint="eastAsia"/>
              </w:rPr>
              <w:t>自动化设备的投入</w:t>
            </w:r>
            <w:r w:rsidR="00582CF2">
              <w:rPr>
                <w:rFonts w:hint="eastAsia"/>
              </w:rPr>
              <w:t>，</w:t>
            </w:r>
            <w:r w:rsidRPr="003C18E5">
              <w:rPr>
                <w:rFonts w:hint="eastAsia"/>
              </w:rPr>
              <w:t>提升产品质量、交期服务和成本控制</w:t>
            </w:r>
            <w:r w:rsidR="00582CF2">
              <w:rPr>
                <w:rFonts w:hint="eastAsia"/>
              </w:rPr>
              <w:t>能力</w:t>
            </w:r>
            <w:r w:rsidRPr="003C18E5">
              <w:rPr>
                <w:rFonts w:hint="eastAsia"/>
              </w:rPr>
              <w:t>，更好解决客户痛点。</w:t>
            </w:r>
          </w:p>
          <w:p w14:paraId="5319C9D3" w14:textId="77777777" w:rsidR="00533C5C" w:rsidRDefault="00533C5C" w:rsidP="00533C5C"/>
          <w:p w14:paraId="1F607EEB" w14:textId="39496DF9" w:rsidR="00533C5C" w:rsidRPr="006A7435" w:rsidRDefault="00533C5C" w:rsidP="00533C5C">
            <w:pPr>
              <w:rPr>
                <w:color w:val="FF0000"/>
              </w:rPr>
            </w:pPr>
            <w:r w:rsidRPr="00367AD5">
              <w:rPr>
                <w:rFonts w:hint="eastAsia"/>
              </w:rPr>
              <w:t>4</w:t>
            </w:r>
            <w:r w:rsidRPr="00367AD5">
              <w:rPr>
                <w:rFonts w:hint="eastAsia"/>
              </w:rPr>
              <w:t>、请介绍下公司</w:t>
            </w:r>
            <w:r w:rsidRPr="00367AD5">
              <w:rPr>
                <w:rFonts w:hint="eastAsia"/>
              </w:rPr>
              <w:t>2024</w:t>
            </w:r>
            <w:r w:rsidRPr="00367AD5">
              <w:rPr>
                <w:rFonts w:hint="eastAsia"/>
              </w:rPr>
              <w:t>年第三季度经营情况。</w:t>
            </w:r>
          </w:p>
          <w:p w14:paraId="53F1B9FD" w14:textId="7DB41153" w:rsidR="00533C5C" w:rsidRDefault="00533C5C" w:rsidP="00533C5C">
            <w:pPr>
              <w:ind w:firstLineChars="200" w:firstLine="420"/>
            </w:pPr>
            <w:r>
              <w:rPr>
                <w:rFonts w:hint="eastAsia"/>
              </w:rPr>
              <w:t>2024</w:t>
            </w:r>
            <w:r>
              <w:rPr>
                <w:rFonts w:hint="eastAsia"/>
              </w:rPr>
              <w:t>年第三季度（</w:t>
            </w:r>
            <w:r>
              <w:rPr>
                <w:rFonts w:hint="eastAsia"/>
              </w:rPr>
              <w:t>7-9</w:t>
            </w:r>
            <w:r>
              <w:rPr>
                <w:rFonts w:hint="eastAsia"/>
              </w:rPr>
              <w:t>月），公司实现营业收入</w:t>
            </w:r>
            <w:r>
              <w:rPr>
                <w:rFonts w:hint="eastAsia"/>
              </w:rPr>
              <w:t>10.83</w:t>
            </w:r>
            <w:r>
              <w:rPr>
                <w:rFonts w:hint="eastAsia"/>
              </w:rPr>
              <w:t>亿元，同比增长</w:t>
            </w:r>
            <w:r>
              <w:rPr>
                <w:rFonts w:hint="eastAsia"/>
              </w:rPr>
              <w:t>19.92%</w:t>
            </w:r>
            <w:r>
              <w:rPr>
                <w:rFonts w:hint="eastAsia"/>
              </w:rPr>
              <w:t>；其中，实现境外主营业务收入</w:t>
            </w:r>
            <w:r>
              <w:rPr>
                <w:rFonts w:hint="eastAsia"/>
              </w:rPr>
              <w:t>6.45</w:t>
            </w:r>
            <w:r>
              <w:rPr>
                <w:rFonts w:hint="eastAsia"/>
              </w:rPr>
              <w:t>亿元，较上年同期增</w:t>
            </w:r>
            <w:r w:rsidR="00582CF2">
              <w:rPr>
                <w:rFonts w:hint="eastAsia"/>
              </w:rPr>
              <w:t>长</w:t>
            </w:r>
            <w:r>
              <w:rPr>
                <w:rFonts w:hint="eastAsia"/>
              </w:rPr>
              <w:t>24.36%</w:t>
            </w:r>
            <w:r>
              <w:rPr>
                <w:rFonts w:hint="eastAsia"/>
              </w:rPr>
              <w:t>，公司海外业务恢复良好，稳步增长；实现境内主营业务收入</w:t>
            </w:r>
            <w:r>
              <w:rPr>
                <w:rFonts w:hint="eastAsia"/>
              </w:rPr>
              <w:t xml:space="preserve">4.32 </w:t>
            </w:r>
            <w:r>
              <w:rPr>
                <w:rFonts w:hint="eastAsia"/>
              </w:rPr>
              <w:t>亿元</w:t>
            </w:r>
            <w:r>
              <w:rPr>
                <w:rFonts w:hint="eastAsia"/>
              </w:rPr>
              <w:t>,</w:t>
            </w:r>
            <w:r>
              <w:rPr>
                <w:rFonts w:hint="eastAsia"/>
              </w:rPr>
              <w:t>较上年同期增长</w:t>
            </w:r>
            <w:r>
              <w:rPr>
                <w:rFonts w:hint="eastAsia"/>
              </w:rPr>
              <w:t>13.52%</w:t>
            </w:r>
            <w:r>
              <w:rPr>
                <w:rFonts w:hint="eastAsia"/>
              </w:rPr>
              <w:t>。</w:t>
            </w:r>
            <w:r>
              <w:rPr>
                <w:rFonts w:hint="eastAsia"/>
              </w:rPr>
              <w:t>2024</w:t>
            </w:r>
            <w:r>
              <w:rPr>
                <w:rFonts w:hint="eastAsia"/>
              </w:rPr>
              <w:t>年第三季度，公司实现归属于上市公司股东的净利润</w:t>
            </w:r>
            <w:r>
              <w:rPr>
                <w:rFonts w:hint="eastAsia"/>
              </w:rPr>
              <w:t>1.46</w:t>
            </w:r>
            <w:r>
              <w:rPr>
                <w:rFonts w:hint="eastAsia"/>
              </w:rPr>
              <w:t>亿元，同比增长</w:t>
            </w:r>
            <w:r>
              <w:rPr>
                <w:rFonts w:hint="eastAsia"/>
              </w:rPr>
              <w:t>131.73%</w:t>
            </w:r>
            <w:r>
              <w:rPr>
                <w:rFonts w:hint="eastAsia"/>
              </w:rPr>
              <w:t>，主要原因系绍兴</w:t>
            </w:r>
            <w:proofErr w:type="gramStart"/>
            <w:r>
              <w:rPr>
                <w:rFonts w:hint="eastAsia"/>
              </w:rPr>
              <w:t>鉴水科技</w:t>
            </w:r>
            <w:proofErr w:type="gramEnd"/>
            <w:r>
              <w:rPr>
                <w:rFonts w:hint="eastAsia"/>
              </w:rPr>
              <w:t>城开发建设有限公司收购公司位于浙江省绍兴市越城区东湖镇小</w:t>
            </w:r>
            <w:proofErr w:type="gramStart"/>
            <w:r>
              <w:rPr>
                <w:rFonts w:hint="eastAsia"/>
              </w:rPr>
              <w:t>皋</w:t>
            </w:r>
            <w:proofErr w:type="gramEnd"/>
            <w:r>
              <w:rPr>
                <w:rFonts w:hint="eastAsia"/>
              </w:rPr>
              <w:t>埠村的国有土地使用权及房屋等资产产生资产处置收益、因汇率波动</w:t>
            </w:r>
            <w:proofErr w:type="gramStart"/>
            <w:r>
              <w:rPr>
                <w:rFonts w:hint="eastAsia"/>
              </w:rPr>
              <w:t>致公司</w:t>
            </w:r>
            <w:proofErr w:type="gramEnd"/>
            <w:r>
              <w:rPr>
                <w:rFonts w:hint="eastAsia"/>
              </w:rPr>
              <w:t>外币资产产生汇兑损失以及公司业务增长共同影响。</w:t>
            </w:r>
          </w:p>
          <w:p w14:paraId="7B78F6B9" w14:textId="77777777" w:rsidR="00533C5C" w:rsidRDefault="00533C5C" w:rsidP="00533C5C"/>
          <w:p w14:paraId="6A9E12E9" w14:textId="125F53C3" w:rsidR="00533C5C" w:rsidRPr="00E777E0" w:rsidRDefault="00533C5C" w:rsidP="00533C5C">
            <w:pPr>
              <w:rPr>
                <w:color w:val="FF0000"/>
              </w:rPr>
            </w:pPr>
            <w:r w:rsidRPr="00367AD5">
              <w:rPr>
                <w:rFonts w:hint="eastAsia"/>
              </w:rPr>
              <w:t>5</w:t>
            </w:r>
            <w:r w:rsidRPr="00367AD5">
              <w:rPr>
                <w:rFonts w:hint="eastAsia"/>
              </w:rPr>
              <w:t>、公司将采取哪些措施增强投资者信心，提高投资者回报？</w:t>
            </w:r>
          </w:p>
          <w:p w14:paraId="4D4870A6" w14:textId="77777777" w:rsidR="00533C5C" w:rsidRDefault="00533C5C" w:rsidP="00533C5C">
            <w:pPr>
              <w:ind w:firstLineChars="200" w:firstLine="420"/>
            </w:pPr>
            <w:r>
              <w:rPr>
                <w:rFonts w:hint="eastAsia"/>
              </w:rPr>
              <w:t>公司始终</w:t>
            </w:r>
            <w:proofErr w:type="gramStart"/>
            <w:r>
              <w:rPr>
                <w:rFonts w:hint="eastAsia"/>
              </w:rPr>
              <w:t>践行</w:t>
            </w:r>
            <w:proofErr w:type="gramEnd"/>
            <w:r>
              <w:rPr>
                <w:rFonts w:hint="eastAsia"/>
              </w:rPr>
              <w:t>“以投资者为本”的理念，推动公司</w:t>
            </w:r>
            <w:bookmarkStart w:id="2" w:name="_GoBack"/>
            <w:bookmarkEnd w:id="2"/>
            <w:r>
              <w:rPr>
                <w:rFonts w:hint="eastAsia"/>
              </w:rPr>
              <w:t>高质量发展和投资价值提升，保护投资者尤其是中小投资者合法权益。</w:t>
            </w:r>
          </w:p>
          <w:p w14:paraId="6F1681BE" w14:textId="72BC7853" w:rsidR="00533C5C" w:rsidRDefault="00533C5C" w:rsidP="00533C5C">
            <w:pPr>
              <w:ind w:firstLineChars="200" w:firstLine="420"/>
            </w:pPr>
            <w:r>
              <w:rPr>
                <w:rFonts w:hint="eastAsia"/>
              </w:rPr>
              <w:t>一是</w:t>
            </w:r>
            <w:r w:rsidRPr="006A7435">
              <w:rPr>
                <w:rFonts w:hint="eastAsia"/>
              </w:rPr>
              <w:t>聚焦主业，稳步提升经营质量</w:t>
            </w:r>
            <w:r>
              <w:rPr>
                <w:rFonts w:hint="eastAsia"/>
              </w:rPr>
              <w:t>，坚定实施国内、国际、大</w:t>
            </w:r>
            <w:proofErr w:type="gramStart"/>
            <w:r>
              <w:rPr>
                <w:rFonts w:hint="eastAsia"/>
              </w:rPr>
              <w:t>零售全渠道</w:t>
            </w:r>
            <w:proofErr w:type="gramEnd"/>
            <w:r>
              <w:rPr>
                <w:rFonts w:hint="eastAsia"/>
              </w:rPr>
              <w:t>营销策略，深耕“医疗</w:t>
            </w:r>
            <w:r>
              <w:rPr>
                <w:rFonts w:hint="eastAsia"/>
              </w:rPr>
              <w:t>+</w:t>
            </w:r>
            <w:r>
              <w:rPr>
                <w:rFonts w:hint="eastAsia"/>
              </w:rPr>
              <w:t>健康”领域，通过市场洞察、研发创新及产品管理、海外供应链建设及有效运营、国际化运营、国内品牌建设、</w:t>
            </w:r>
            <w:r w:rsidR="0085731E">
              <w:rPr>
                <w:rFonts w:hint="eastAsia"/>
              </w:rPr>
              <w:t>ESG</w:t>
            </w:r>
            <w:r>
              <w:rPr>
                <w:rFonts w:hint="eastAsia"/>
              </w:rPr>
              <w:t>可持续发展、流程数字化治理等举措，将振</w:t>
            </w:r>
            <w:proofErr w:type="gramStart"/>
            <w:r>
              <w:rPr>
                <w:rFonts w:hint="eastAsia"/>
              </w:rPr>
              <w:t>德医疗</w:t>
            </w:r>
            <w:proofErr w:type="gramEnd"/>
            <w:r>
              <w:rPr>
                <w:rFonts w:hint="eastAsia"/>
              </w:rPr>
              <w:t>建设成为国内领先、具备国际影响力的领先医疗健康企业</w:t>
            </w:r>
            <w:r w:rsidR="00582CF2">
              <w:rPr>
                <w:rFonts w:hint="eastAsia"/>
              </w:rPr>
              <w:t>。</w:t>
            </w:r>
          </w:p>
          <w:p w14:paraId="4D7C5660" w14:textId="42103AB9" w:rsidR="00533C5C" w:rsidRDefault="00533C5C" w:rsidP="00533C5C">
            <w:pPr>
              <w:ind w:firstLineChars="200" w:firstLine="420"/>
            </w:pPr>
            <w:r>
              <w:rPr>
                <w:rFonts w:hint="eastAsia"/>
              </w:rPr>
              <w:t>二是</w:t>
            </w:r>
            <w:r w:rsidRPr="00E777E0">
              <w:rPr>
                <w:rFonts w:hint="eastAsia"/>
              </w:rPr>
              <w:t>重视投资者回报，共享发展成果</w:t>
            </w:r>
            <w:r>
              <w:rPr>
                <w:rFonts w:hint="eastAsia"/>
              </w:rPr>
              <w:t>。公司自</w:t>
            </w:r>
            <w:r w:rsidR="0085731E">
              <w:rPr>
                <w:rFonts w:hint="eastAsia"/>
              </w:rPr>
              <w:t>2018</w:t>
            </w:r>
            <w:r>
              <w:rPr>
                <w:rFonts w:hint="eastAsia"/>
              </w:rPr>
              <w:t>年在上海证券交易所主板挂牌上市以来，已累计向全体投资者现金分红</w:t>
            </w:r>
            <w:r w:rsidR="0085731E">
              <w:rPr>
                <w:rFonts w:hint="eastAsia"/>
              </w:rPr>
              <w:t>12.87</w:t>
            </w:r>
            <w:r>
              <w:rPr>
                <w:rFonts w:hint="eastAsia"/>
              </w:rPr>
              <w:t>亿元（含税），让投资者充分共享公司经营成果。公司重视保护投资者利益，多</w:t>
            </w:r>
            <w:proofErr w:type="gramStart"/>
            <w:r>
              <w:rPr>
                <w:rFonts w:hint="eastAsia"/>
              </w:rPr>
              <w:t>措</w:t>
            </w:r>
            <w:proofErr w:type="gramEnd"/>
            <w:r>
              <w:rPr>
                <w:rFonts w:hint="eastAsia"/>
              </w:rPr>
              <w:t>并举提升公司价值，公司分别于</w:t>
            </w:r>
            <w:r w:rsidR="0085731E">
              <w:rPr>
                <w:rFonts w:hint="eastAsia"/>
              </w:rPr>
              <w:t>2021</w:t>
            </w:r>
            <w:r>
              <w:rPr>
                <w:rFonts w:hint="eastAsia"/>
              </w:rPr>
              <w:t>年、</w:t>
            </w:r>
            <w:r w:rsidR="0085731E">
              <w:rPr>
                <w:rFonts w:hint="eastAsia"/>
              </w:rPr>
              <w:t>2022</w:t>
            </w:r>
            <w:r>
              <w:rPr>
                <w:rFonts w:hint="eastAsia"/>
              </w:rPr>
              <w:t>年通过上海证券交</w:t>
            </w:r>
            <w:r>
              <w:rPr>
                <w:rFonts w:hint="eastAsia"/>
              </w:rPr>
              <w:lastRenderedPageBreak/>
              <w:t>易所交易系统以集中竞价交易方式实施公司股份回购，累计回购</w:t>
            </w:r>
            <w:r>
              <w:rPr>
                <w:rFonts w:hint="eastAsia"/>
              </w:rPr>
              <w:t xml:space="preserve">449.99 </w:t>
            </w:r>
            <w:r>
              <w:rPr>
                <w:rFonts w:hint="eastAsia"/>
              </w:rPr>
              <w:t>万股，交易总金额为人民币</w:t>
            </w:r>
            <w:r w:rsidR="0085731E">
              <w:rPr>
                <w:rFonts w:hint="eastAsia"/>
              </w:rPr>
              <w:t>2.46</w:t>
            </w:r>
            <w:r>
              <w:rPr>
                <w:rFonts w:hint="eastAsia"/>
              </w:rPr>
              <w:t>亿元（不含交易费用）。未来，公司将继续坚定落实“增强分红稳定性、持续性”的要求，结合公司经营情况、盈利能力和业务发展规划，进一步健全和完善持续、稳定、科学的股东回报机制，注重提升投资者的获得感。</w:t>
            </w:r>
          </w:p>
          <w:p w14:paraId="2286D7B8" w14:textId="360A808F" w:rsidR="00FC0BB5" w:rsidRDefault="00533C5C" w:rsidP="00533C5C">
            <w:r>
              <w:rPr>
                <w:rFonts w:hint="eastAsia"/>
              </w:rPr>
              <w:t>三是</w:t>
            </w:r>
            <w:r w:rsidRPr="00E777E0">
              <w:t>重视信息披露质量，强化投资者关系管理</w:t>
            </w:r>
            <w:r>
              <w:rPr>
                <w:rFonts w:hint="eastAsia"/>
              </w:rPr>
              <w:t>。公司将继续严格落实信息披露监管要求，严格履行信息披露义务，持续提高信息披露质量。同时，公司也将继续以投资者需求为导向，持续强化投资者关系管理，不断创新和丰富与投资者的交流方式，加深投资者对公司生产经营情况的了解，提升投资者对公司战略和长期投资价值的认同感，提高公司的市场形象和价值。</w:t>
            </w:r>
          </w:p>
          <w:p w14:paraId="67D793A4" w14:textId="77777777" w:rsidR="008B686A" w:rsidRPr="00807631" w:rsidRDefault="008B686A" w:rsidP="008B686A"/>
        </w:tc>
      </w:tr>
      <w:tr w:rsidR="00410214" w14:paraId="28BE0793" w14:textId="77777777" w:rsidTr="00310439">
        <w:trPr>
          <w:trHeight w:val="417"/>
        </w:trPr>
        <w:tc>
          <w:tcPr>
            <w:tcW w:w="1908" w:type="dxa"/>
            <w:tcBorders>
              <w:top w:val="single" w:sz="4" w:space="0" w:color="000000"/>
              <w:left w:val="single" w:sz="4" w:space="0" w:color="000000"/>
              <w:bottom w:val="single" w:sz="4" w:space="0" w:color="000000"/>
              <w:right w:val="single" w:sz="4" w:space="0" w:color="000000"/>
            </w:tcBorders>
            <w:vAlign w:val="center"/>
          </w:tcPr>
          <w:p w14:paraId="67DFC2AA" w14:textId="77777777" w:rsidR="00410214" w:rsidRDefault="00410214" w:rsidP="00575117">
            <w:pPr>
              <w:widowControl/>
              <w:jc w:val="center"/>
              <w:rPr>
                <w:rFonts w:ascii="宋体" w:cs="宋体"/>
                <w:b/>
                <w:bCs/>
                <w:kern w:val="0"/>
                <w:sz w:val="24"/>
              </w:rPr>
            </w:pPr>
            <w:r>
              <w:rPr>
                <w:rFonts w:ascii="宋体" w:hAnsi="宋体" w:cs="宋体" w:hint="eastAsia"/>
                <w:b/>
                <w:bCs/>
                <w:kern w:val="0"/>
                <w:sz w:val="24"/>
              </w:rPr>
              <w:lastRenderedPageBreak/>
              <w:t>附件清单（如有）</w:t>
            </w:r>
          </w:p>
        </w:tc>
        <w:tc>
          <w:tcPr>
            <w:tcW w:w="6614" w:type="dxa"/>
            <w:tcBorders>
              <w:top w:val="single" w:sz="4" w:space="0" w:color="000000"/>
              <w:left w:val="nil"/>
              <w:bottom w:val="single" w:sz="4" w:space="0" w:color="000000"/>
              <w:right w:val="single" w:sz="4" w:space="0" w:color="000000"/>
            </w:tcBorders>
            <w:vAlign w:val="center"/>
          </w:tcPr>
          <w:p w14:paraId="0E3BD744" w14:textId="77777777" w:rsidR="00410214" w:rsidRPr="00310439" w:rsidRDefault="00410214" w:rsidP="00310439">
            <w:pPr>
              <w:widowControl/>
              <w:rPr>
                <w:rFonts w:ascii="宋体" w:hAnsi="宋体"/>
                <w:sz w:val="24"/>
                <w:szCs w:val="24"/>
              </w:rPr>
            </w:pPr>
            <w:r>
              <w:rPr>
                <w:rFonts w:ascii="宋体" w:hAnsi="宋体" w:hint="eastAsia"/>
                <w:sz w:val="24"/>
                <w:szCs w:val="24"/>
              </w:rPr>
              <w:t>无</w:t>
            </w:r>
          </w:p>
        </w:tc>
      </w:tr>
    </w:tbl>
    <w:p w14:paraId="1D354AE7" w14:textId="77777777" w:rsidR="000D7628" w:rsidRPr="000D7628" w:rsidRDefault="000D7628" w:rsidP="00465BF8">
      <w:pPr>
        <w:spacing w:line="480" w:lineRule="exact"/>
        <w:rPr>
          <w:rFonts w:ascii="宋体" w:eastAsia="宋体" w:hAnsi="宋体" w:cs="Times New Roman"/>
          <w:snapToGrid w:val="0"/>
          <w:kern w:val="0"/>
          <w:sz w:val="28"/>
          <w:szCs w:val="28"/>
        </w:rPr>
      </w:pPr>
    </w:p>
    <w:sectPr w:rsidR="000D7628" w:rsidRPr="000D76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31FD0" w14:textId="77777777" w:rsidR="00CC55CA" w:rsidRDefault="00CC55CA" w:rsidP="00FC3E86">
      <w:r>
        <w:separator/>
      </w:r>
    </w:p>
  </w:endnote>
  <w:endnote w:type="continuationSeparator" w:id="0">
    <w:p w14:paraId="0068E9D1" w14:textId="77777777" w:rsidR="00CC55CA" w:rsidRDefault="00CC55CA" w:rsidP="00FC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453227"/>
      <w:docPartObj>
        <w:docPartGallery w:val="Page Numbers (Bottom of Page)"/>
        <w:docPartUnique/>
      </w:docPartObj>
    </w:sdtPr>
    <w:sdtEndPr/>
    <w:sdtContent>
      <w:p w14:paraId="3FF6D24C" w14:textId="77777777" w:rsidR="00FC3E86" w:rsidRDefault="00FC3E86">
        <w:pPr>
          <w:pStyle w:val="a7"/>
          <w:jc w:val="center"/>
        </w:pPr>
        <w:r>
          <w:fldChar w:fldCharType="begin"/>
        </w:r>
        <w:r>
          <w:instrText>PAGE   \* MERGEFORMAT</w:instrText>
        </w:r>
        <w:r>
          <w:fldChar w:fldCharType="separate"/>
        </w:r>
        <w:r w:rsidR="00367AD5" w:rsidRPr="00367AD5">
          <w:rPr>
            <w:noProof/>
            <w:lang w:val="zh-CN"/>
          </w:rPr>
          <w:t>1</w:t>
        </w:r>
        <w:r>
          <w:fldChar w:fldCharType="end"/>
        </w:r>
      </w:p>
    </w:sdtContent>
  </w:sdt>
  <w:p w14:paraId="7AEE92AF" w14:textId="77777777" w:rsidR="00FC3E86" w:rsidRDefault="00FC3E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087C" w14:textId="77777777" w:rsidR="00CC55CA" w:rsidRDefault="00CC55CA" w:rsidP="00FC3E86">
      <w:r>
        <w:separator/>
      </w:r>
    </w:p>
  </w:footnote>
  <w:footnote w:type="continuationSeparator" w:id="0">
    <w:p w14:paraId="181EA143" w14:textId="77777777" w:rsidR="00CC55CA" w:rsidRDefault="00CC55CA" w:rsidP="00FC3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30EFF"/>
    <w:multiLevelType w:val="hybridMultilevel"/>
    <w:tmpl w:val="A852FF3C"/>
    <w:lvl w:ilvl="0" w:tplc="3FD8BA04">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37735F"/>
    <w:multiLevelType w:val="hybridMultilevel"/>
    <w:tmpl w:val="8F7639B2"/>
    <w:lvl w:ilvl="0" w:tplc="17D22E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1E8075C"/>
    <w:multiLevelType w:val="hybridMultilevel"/>
    <w:tmpl w:val="B3FE8BA8"/>
    <w:lvl w:ilvl="0" w:tplc="3B2C7D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8449CD"/>
    <w:multiLevelType w:val="hybridMultilevel"/>
    <w:tmpl w:val="E2EAF060"/>
    <w:lvl w:ilvl="0" w:tplc="0DF025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071B9B"/>
    <w:multiLevelType w:val="hybridMultilevel"/>
    <w:tmpl w:val="6CD48816"/>
    <w:lvl w:ilvl="0" w:tplc="7DA831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C0D706F"/>
    <w:multiLevelType w:val="hybridMultilevel"/>
    <w:tmpl w:val="57469F3A"/>
    <w:lvl w:ilvl="0" w:tplc="349A8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E31366"/>
    <w:multiLevelType w:val="hybridMultilevel"/>
    <w:tmpl w:val="49A6DEB0"/>
    <w:lvl w:ilvl="0" w:tplc="69369EF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75"/>
    <w:rsid w:val="000062F7"/>
    <w:rsid w:val="00011820"/>
    <w:rsid w:val="00015056"/>
    <w:rsid w:val="00017B83"/>
    <w:rsid w:val="00026D12"/>
    <w:rsid w:val="00034B4B"/>
    <w:rsid w:val="00046892"/>
    <w:rsid w:val="00077216"/>
    <w:rsid w:val="000A0AE4"/>
    <w:rsid w:val="000A1920"/>
    <w:rsid w:val="000A6A9A"/>
    <w:rsid w:val="000A6FD2"/>
    <w:rsid w:val="000C3E60"/>
    <w:rsid w:val="000D7628"/>
    <w:rsid w:val="000E36C9"/>
    <w:rsid w:val="000E6C5A"/>
    <w:rsid w:val="000E6DDA"/>
    <w:rsid w:val="000E7325"/>
    <w:rsid w:val="000F7C4D"/>
    <w:rsid w:val="0010407C"/>
    <w:rsid w:val="0010437F"/>
    <w:rsid w:val="0011400C"/>
    <w:rsid w:val="00127FDA"/>
    <w:rsid w:val="00135420"/>
    <w:rsid w:val="00136AB4"/>
    <w:rsid w:val="00151CB6"/>
    <w:rsid w:val="00152993"/>
    <w:rsid w:val="00155565"/>
    <w:rsid w:val="0018293E"/>
    <w:rsid w:val="00184E14"/>
    <w:rsid w:val="00186253"/>
    <w:rsid w:val="0019159D"/>
    <w:rsid w:val="001B0FF6"/>
    <w:rsid w:val="001B206B"/>
    <w:rsid w:val="001D41F2"/>
    <w:rsid w:val="001E2169"/>
    <w:rsid w:val="001F5675"/>
    <w:rsid w:val="0020199D"/>
    <w:rsid w:val="00206F01"/>
    <w:rsid w:val="00221660"/>
    <w:rsid w:val="00221B55"/>
    <w:rsid w:val="00224D4F"/>
    <w:rsid w:val="002341EB"/>
    <w:rsid w:val="0023644B"/>
    <w:rsid w:val="00246802"/>
    <w:rsid w:val="002734A3"/>
    <w:rsid w:val="00292522"/>
    <w:rsid w:val="0029582B"/>
    <w:rsid w:val="002A112F"/>
    <w:rsid w:val="002A7E97"/>
    <w:rsid w:val="002C2724"/>
    <w:rsid w:val="002D4C4E"/>
    <w:rsid w:val="002D7350"/>
    <w:rsid w:val="002E290E"/>
    <w:rsid w:val="00310439"/>
    <w:rsid w:val="00316B91"/>
    <w:rsid w:val="00316D8B"/>
    <w:rsid w:val="00320B87"/>
    <w:rsid w:val="003504F9"/>
    <w:rsid w:val="00357728"/>
    <w:rsid w:val="003625B0"/>
    <w:rsid w:val="00367AD5"/>
    <w:rsid w:val="00374144"/>
    <w:rsid w:val="003A4F0A"/>
    <w:rsid w:val="003E5A6A"/>
    <w:rsid w:val="003E70E8"/>
    <w:rsid w:val="00410214"/>
    <w:rsid w:val="00411CED"/>
    <w:rsid w:val="004271BD"/>
    <w:rsid w:val="00432707"/>
    <w:rsid w:val="00440370"/>
    <w:rsid w:val="004516A5"/>
    <w:rsid w:val="0045321B"/>
    <w:rsid w:val="00465BF8"/>
    <w:rsid w:val="004A0DCB"/>
    <w:rsid w:val="004A6045"/>
    <w:rsid w:val="004B4B26"/>
    <w:rsid w:val="004C0E5E"/>
    <w:rsid w:val="004C613D"/>
    <w:rsid w:val="00507882"/>
    <w:rsid w:val="00521327"/>
    <w:rsid w:val="00533C5C"/>
    <w:rsid w:val="005509D0"/>
    <w:rsid w:val="00553B44"/>
    <w:rsid w:val="00576615"/>
    <w:rsid w:val="00582440"/>
    <w:rsid w:val="00582CF2"/>
    <w:rsid w:val="0058653A"/>
    <w:rsid w:val="00591244"/>
    <w:rsid w:val="005B0CB3"/>
    <w:rsid w:val="005B3E07"/>
    <w:rsid w:val="005C58B7"/>
    <w:rsid w:val="005D782E"/>
    <w:rsid w:val="005E618D"/>
    <w:rsid w:val="005F11E3"/>
    <w:rsid w:val="005F290D"/>
    <w:rsid w:val="005F5508"/>
    <w:rsid w:val="00601C21"/>
    <w:rsid w:val="00607624"/>
    <w:rsid w:val="00626218"/>
    <w:rsid w:val="0063218A"/>
    <w:rsid w:val="006431D7"/>
    <w:rsid w:val="00653887"/>
    <w:rsid w:val="00675D6D"/>
    <w:rsid w:val="00675E99"/>
    <w:rsid w:val="00684697"/>
    <w:rsid w:val="006B147E"/>
    <w:rsid w:val="006B5CC1"/>
    <w:rsid w:val="006B750B"/>
    <w:rsid w:val="006C66AE"/>
    <w:rsid w:val="006D3C08"/>
    <w:rsid w:val="006D5D26"/>
    <w:rsid w:val="006E486F"/>
    <w:rsid w:val="00724CAE"/>
    <w:rsid w:val="00726A0C"/>
    <w:rsid w:val="007425AE"/>
    <w:rsid w:val="00794DD8"/>
    <w:rsid w:val="00795640"/>
    <w:rsid w:val="007A079A"/>
    <w:rsid w:val="007C65CB"/>
    <w:rsid w:val="007C6D8C"/>
    <w:rsid w:val="007C79F2"/>
    <w:rsid w:val="007D7CB9"/>
    <w:rsid w:val="007F3216"/>
    <w:rsid w:val="00802DCB"/>
    <w:rsid w:val="00807631"/>
    <w:rsid w:val="00811360"/>
    <w:rsid w:val="0082426D"/>
    <w:rsid w:val="00830ABF"/>
    <w:rsid w:val="00841FCD"/>
    <w:rsid w:val="00843907"/>
    <w:rsid w:val="0085731E"/>
    <w:rsid w:val="0087347D"/>
    <w:rsid w:val="00873633"/>
    <w:rsid w:val="00877047"/>
    <w:rsid w:val="0088679B"/>
    <w:rsid w:val="00886801"/>
    <w:rsid w:val="008B59B6"/>
    <w:rsid w:val="008B686A"/>
    <w:rsid w:val="008C4284"/>
    <w:rsid w:val="008D2CB9"/>
    <w:rsid w:val="008F37F2"/>
    <w:rsid w:val="0091350B"/>
    <w:rsid w:val="00916AB9"/>
    <w:rsid w:val="00922577"/>
    <w:rsid w:val="00931230"/>
    <w:rsid w:val="0093464E"/>
    <w:rsid w:val="009433F5"/>
    <w:rsid w:val="00950993"/>
    <w:rsid w:val="00955B0D"/>
    <w:rsid w:val="00960843"/>
    <w:rsid w:val="00965C31"/>
    <w:rsid w:val="0097604C"/>
    <w:rsid w:val="009965D2"/>
    <w:rsid w:val="009B100C"/>
    <w:rsid w:val="009B6590"/>
    <w:rsid w:val="009C21CA"/>
    <w:rsid w:val="009D2503"/>
    <w:rsid w:val="009D7D42"/>
    <w:rsid w:val="00A03C1B"/>
    <w:rsid w:val="00A13FDE"/>
    <w:rsid w:val="00A433A6"/>
    <w:rsid w:val="00A55233"/>
    <w:rsid w:val="00A5791A"/>
    <w:rsid w:val="00A80937"/>
    <w:rsid w:val="00A824F4"/>
    <w:rsid w:val="00AC6934"/>
    <w:rsid w:val="00AC6E1A"/>
    <w:rsid w:val="00B03C22"/>
    <w:rsid w:val="00B21FE1"/>
    <w:rsid w:val="00B26BEA"/>
    <w:rsid w:val="00B40259"/>
    <w:rsid w:val="00B472D4"/>
    <w:rsid w:val="00B65734"/>
    <w:rsid w:val="00B75467"/>
    <w:rsid w:val="00BD5228"/>
    <w:rsid w:val="00C0365C"/>
    <w:rsid w:val="00C426D0"/>
    <w:rsid w:val="00C44989"/>
    <w:rsid w:val="00C50BB9"/>
    <w:rsid w:val="00C56BF8"/>
    <w:rsid w:val="00C814D7"/>
    <w:rsid w:val="00C95798"/>
    <w:rsid w:val="00CA1A15"/>
    <w:rsid w:val="00CB64C3"/>
    <w:rsid w:val="00CC54B6"/>
    <w:rsid w:val="00CC55CA"/>
    <w:rsid w:val="00CD6DBC"/>
    <w:rsid w:val="00CD75C7"/>
    <w:rsid w:val="00D046E7"/>
    <w:rsid w:val="00D255F9"/>
    <w:rsid w:val="00D2639E"/>
    <w:rsid w:val="00D31A22"/>
    <w:rsid w:val="00D356D9"/>
    <w:rsid w:val="00D60A81"/>
    <w:rsid w:val="00D615B0"/>
    <w:rsid w:val="00D84274"/>
    <w:rsid w:val="00D94351"/>
    <w:rsid w:val="00D951CD"/>
    <w:rsid w:val="00DA011B"/>
    <w:rsid w:val="00DB1076"/>
    <w:rsid w:val="00DD511C"/>
    <w:rsid w:val="00DE152F"/>
    <w:rsid w:val="00DE54F0"/>
    <w:rsid w:val="00DF2825"/>
    <w:rsid w:val="00DF4889"/>
    <w:rsid w:val="00E055E8"/>
    <w:rsid w:val="00E305CC"/>
    <w:rsid w:val="00E3514A"/>
    <w:rsid w:val="00E4080F"/>
    <w:rsid w:val="00E84629"/>
    <w:rsid w:val="00E90531"/>
    <w:rsid w:val="00E94453"/>
    <w:rsid w:val="00E95464"/>
    <w:rsid w:val="00EB4431"/>
    <w:rsid w:val="00EB6B33"/>
    <w:rsid w:val="00EC44E9"/>
    <w:rsid w:val="00EC4F7D"/>
    <w:rsid w:val="00EC65EC"/>
    <w:rsid w:val="00EC7282"/>
    <w:rsid w:val="00EE3377"/>
    <w:rsid w:val="00EE7830"/>
    <w:rsid w:val="00EF2344"/>
    <w:rsid w:val="00EF2475"/>
    <w:rsid w:val="00EF761A"/>
    <w:rsid w:val="00F12A37"/>
    <w:rsid w:val="00F20185"/>
    <w:rsid w:val="00F270FF"/>
    <w:rsid w:val="00F3254F"/>
    <w:rsid w:val="00FC0BB5"/>
    <w:rsid w:val="00FC19EF"/>
    <w:rsid w:val="00FC3E86"/>
    <w:rsid w:val="00FD0694"/>
    <w:rsid w:val="00FD219A"/>
    <w:rsid w:val="00FD6912"/>
    <w:rsid w:val="00FE1B63"/>
    <w:rsid w:val="00FF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E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2475"/>
    <w:pPr>
      <w:ind w:firstLineChars="200" w:firstLine="420"/>
    </w:pPr>
  </w:style>
  <w:style w:type="paragraph" w:styleId="a5">
    <w:name w:val="Balloon Text"/>
    <w:basedOn w:val="a"/>
    <w:link w:val="Char"/>
    <w:uiPriority w:val="99"/>
    <w:semiHidden/>
    <w:unhideWhenUsed/>
    <w:rsid w:val="004C0E5E"/>
    <w:rPr>
      <w:sz w:val="18"/>
      <w:szCs w:val="18"/>
    </w:rPr>
  </w:style>
  <w:style w:type="character" w:customStyle="1" w:styleId="Char">
    <w:name w:val="批注框文本 Char"/>
    <w:basedOn w:val="a0"/>
    <w:link w:val="a5"/>
    <w:uiPriority w:val="99"/>
    <w:semiHidden/>
    <w:rsid w:val="004C0E5E"/>
    <w:rPr>
      <w:sz w:val="18"/>
      <w:szCs w:val="18"/>
    </w:rPr>
  </w:style>
  <w:style w:type="paragraph" w:styleId="a6">
    <w:name w:val="header"/>
    <w:basedOn w:val="a"/>
    <w:link w:val="Char0"/>
    <w:uiPriority w:val="99"/>
    <w:unhideWhenUsed/>
    <w:rsid w:val="00FC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C3E86"/>
    <w:rPr>
      <w:sz w:val="18"/>
      <w:szCs w:val="18"/>
    </w:rPr>
  </w:style>
  <w:style w:type="paragraph" w:styleId="a7">
    <w:name w:val="footer"/>
    <w:basedOn w:val="a"/>
    <w:link w:val="Char1"/>
    <w:uiPriority w:val="99"/>
    <w:unhideWhenUsed/>
    <w:rsid w:val="00FC3E86"/>
    <w:pPr>
      <w:tabs>
        <w:tab w:val="center" w:pos="4153"/>
        <w:tab w:val="right" w:pos="8306"/>
      </w:tabs>
      <w:snapToGrid w:val="0"/>
      <w:jc w:val="left"/>
    </w:pPr>
    <w:rPr>
      <w:sz w:val="18"/>
      <w:szCs w:val="18"/>
    </w:rPr>
  </w:style>
  <w:style w:type="character" w:customStyle="1" w:styleId="Char1">
    <w:name w:val="页脚 Char"/>
    <w:basedOn w:val="a0"/>
    <w:link w:val="a7"/>
    <w:uiPriority w:val="99"/>
    <w:rsid w:val="00FC3E86"/>
    <w:rPr>
      <w:sz w:val="18"/>
      <w:szCs w:val="18"/>
    </w:rPr>
  </w:style>
  <w:style w:type="paragraph" w:customStyle="1" w:styleId="a8">
    <w:basedOn w:val="a"/>
    <w:next w:val="a4"/>
    <w:uiPriority w:val="34"/>
    <w:qFormat/>
    <w:rsid w:val="00410214"/>
    <w:pPr>
      <w:ind w:firstLineChars="200" w:firstLine="420"/>
    </w:pPr>
    <w:rPr>
      <w:rFonts w:ascii="Times New Roman" w:eastAsia="宋体" w:hAnsi="Times New Roman" w:cs="Times New Roman"/>
      <w:szCs w:val="24"/>
    </w:rPr>
  </w:style>
  <w:style w:type="table" w:customStyle="1" w:styleId="g1">
    <w:name w:val="g1"/>
    <w:uiPriority w:val="99"/>
    <w:semiHidden/>
    <w:unhideWhenUsed/>
    <w:rsid w:val="00EF2344"/>
    <w:rPr>
      <w:rFonts w:ascii="Calibri" w:eastAsia="宋体" w:hAnsi="Calibri" w:cs="Times New Roman"/>
      <w:kern w:val="0"/>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2475"/>
    <w:pPr>
      <w:ind w:firstLineChars="200" w:firstLine="420"/>
    </w:pPr>
  </w:style>
  <w:style w:type="paragraph" w:styleId="a5">
    <w:name w:val="Balloon Text"/>
    <w:basedOn w:val="a"/>
    <w:link w:val="Char"/>
    <w:uiPriority w:val="99"/>
    <w:semiHidden/>
    <w:unhideWhenUsed/>
    <w:rsid w:val="004C0E5E"/>
    <w:rPr>
      <w:sz w:val="18"/>
      <w:szCs w:val="18"/>
    </w:rPr>
  </w:style>
  <w:style w:type="character" w:customStyle="1" w:styleId="Char">
    <w:name w:val="批注框文本 Char"/>
    <w:basedOn w:val="a0"/>
    <w:link w:val="a5"/>
    <w:uiPriority w:val="99"/>
    <w:semiHidden/>
    <w:rsid w:val="004C0E5E"/>
    <w:rPr>
      <w:sz w:val="18"/>
      <w:szCs w:val="18"/>
    </w:rPr>
  </w:style>
  <w:style w:type="paragraph" w:styleId="a6">
    <w:name w:val="header"/>
    <w:basedOn w:val="a"/>
    <w:link w:val="Char0"/>
    <w:uiPriority w:val="99"/>
    <w:unhideWhenUsed/>
    <w:rsid w:val="00FC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C3E86"/>
    <w:rPr>
      <w:sz w:val="18"/>
      <w:szCs w:val="18"/>
    </w:rPr>
  </w:style>
  <w:style w:type="paragraph" w:styleId="a7">
    <w:name w:val="footer"/>
    <w:basedOn w:val="a"/>
    <w:link w:val="Char1"/>
    <w:uiPriority w:val="99"/>
    <w:unhideWhenUsed/>
    <w:rsid w:val="00FC3E86"/>
    <w:pPr>
      <w:tabs>
        <w:tab w:val="center" w:pos="4153"/>
        <w:tab w:val="right" w:pos="8306"/>
      </w:tabs>
      <w:snapToGrid w:val="0"/>
      <w:jc w:val="left"/>
    </w:pPr>
    <w:rPr>
      <w:sz w:val="18"/>
      <w:szCs w:val="18"/>
    </w:rPr>
  </w:style>
  <w:style w:type="character" w:customStyle="1" w:styleId="Char1">
    <w:name w:val="页脚 Char"/>
    <w:basedOn w:val="a0"/>
    <w:link w:val="a7"/>
    <w:uiPriority w:val="99"/>
    <w:rsid w:val="00FC3E86"/>
    <w:rPr>
      <w:sz w:val="18"/>
      <w:szCs w:val="18"/>
    </w:rPr>
  </w:style>
  <w:style w:type="paragraph" w:customStyle="1" w:styleId="a8">
    <w:basedOn w:val="a"/>
    <w:next w:val="a4"/>
    <w:uiPriority w:val="34"/>
    <w:qFormat/>
    <w:rsid w:val="00410214"/>
    <w:pPr>
      <w:ind w:firstLineChars="200" w:firstLine="420"/>
    </w:pPr>
    <w:rPr>
      <w:rFonts w:ascii="Times New Roman" w:eastAsia="宋体" w:hAnsi="Times New Roman" w:cs="Times New Roman"/>
      <w:szCs w:val="24"/>
    </w:rPr>
  </w:style>
  <w:style w:type="table" w:customStyle="1" w:styleId="g1">
    <w:name w:val="g1"/>
    <w:uiPriority w:val="99"/>
    <w:semiHidden/>
    <w:unhideWhenUsed/>
    <w:rsid w:val="00EF2344"/>
    <w:rPr>
      <w:rFonts w:ascii="Calibri" w:eastAsia="宋体" w:hAnsi="Calibri" w:cs="Times New Roman"/>
      <w:kern w:val="0"/>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02592">
      <w:bodyDiv w:val="1"/>
      <w:marLeft w:val="0"/>
      <w:marRight w:val="0"/>
      <w:marTop w:val="0"/>
      <w:marBottom w:val="0"/>
      <w:divBdr>
        <w:top w:val="none" w:sz="0" w:space="0" w:color="auto"/>
        <w:left w:val="none" w:sz="0" w:space="0" w:color="auto"/>
        <w:bottom w:val="none" w:sz="0" w:space="0" w:color="auto"/>
        <w:right w:val="none" w:sz="0" w:space="0" w:color="auto"/>
      </w:divBdr>
    </w:div>
    <w:div w:id="1661302237">
      <w:bodyDiv w:val="1"/>
      <w:marLeft w:val="0"/>
      <w:marRight w:val="0"/>
      <w:marTop w:val="0"/>
      <w:marBottom w:val="0"/>
      <w:divBdr>
        <w:top w:val="none" w:sz="0" w:space="0" w:color="auto"/>
        <w:left w:val="none" w:sz="0" w:space="0" w:color="auto"/>
        <w:bottom w:val="none" w:sz="0" w:space="0" w:color="auto"/>
        <w:right w:val="none" w:sz="0" w:space="0" w:color="auto"/>
      </w:divBdr>
    </w:div>
    <w:div w:id="18215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4</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吴lily</dc:creator>
  <cp:lastModifiedBy>FY</cp:lastModifiedBy>
  <cp:revision>95</cp:revision>
  <cp:lastPrinted>2025-03-28T01:59:00Z</cp:lastPrinted>
  <dcterms:created xsi:type="dcterms:W3CDTF">2015-09-14T08:46:00Z</dcterms:created>
  <dcterms:modified xsi:type="dcterms:W3CDTF">2025-03-28T05:09:00Z</dcterms:modified>
</cp:coreProperties>
</file>