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eastAsia="zh-CN"/>
        </w:rPr>
      </w:pPr>
      <w:r>
        <w:rPr>
          <w:rFonts w:hint="eastAsia" w:ascii="宋体" w:hAnsi="宋体" w:cs="宋体"/>
          <w:sz w:val="24"/>
        </w:rPr>
        <w:t>编号：2025-00</w:t>
      </w:r>
      <w:r>
        <w:rPr>
          <w:rFonts w:hint="eastAsia" w:ascii="宋体" w:hAnsi="宋体" w:cs="宋体"/>
          <w:sz w:val="24"/>
          <w:lang w:val="en-US" w:eastAsia="zh-CN"/>
        </w:rPr>
        <w:t>2</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022"/>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022"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6E3EB3A">
            <w:pPr>
              <w:jc w:val="center"/>
              <w:rPr>
                <w:rFonts w:hint="eastAsia" w:ascii="宋体" w:hAnsi="宋体" w:cs="宋体"/>
                <w:b/>
                <w:bCs/>
                <w:sz w:val="24"/>
              </w:rPr>
            </w:pPr>
            <w:r>
              <w:rPr>
                <w:rFonts w:hint="eastAsia" w:ascii="宋体" w:hAnsi="宋体" w:cs="宋体"/>
                <w:b/>
                <w:bCs/>
                <w:sz w:val="24"/>
              </w:rPr>
              <w:t>参与单位及人员名称</w:t>
            </w:r>
          </w:p>
        </w:tc>
        <w:tc>
          <w:tcPr>
            <w:tcW w:w="7022" w:type="dxa"/>
            <w:tcBorders>
              <w:top w:val="single" w:color="auto" w:sz="4" w:space="0"/>
              <w:left w:val="single" w:color="auto" w:sz="4" w:space="0"/>
              <w:bottom w:val="single" w:color="auto" w:sz="4" w:space="0"/>
              <w:right w:val="single" w:color="auto" w:sz="12" w:space="0"/>
            </w:tcBorders>
            <w:vAlign w:val="center"/>
          </w:tcPr>
          <w:p w14:paraId="005B9F8B">
            <w:pPr>
              <w:rPr>
                <w:rFonts w:hint="default" w:ascii="宋体" w:hAnsi="宋体" w:cs="宋体"/>
                <w:sz w:val="24"/>
                <w:lang w:val="en-US" w:eastAsia="zh-CN"/>
              </w:rPr>
            </w:pPr>
            <w:r>
              <w:rPr>
                <w:rFonts w:hint="default" w:ascii="宋体" w:hAnsi="宋体" w:cs="宋体"/>
                <w:sz w:val="24"/>
                <w:lang w:val="en-US" w:eastAsia="zh-CN"/>
              </w:rPr>
              <w:t>中信证券 刘方鹏、王涛、卢娟</w:t>
            </w:r>
          </w:p>
          <w:p w14:paraId="34271918">
            <w:pPr>
              <w:rPr>
                <w:rFonts w:hint="default" w:ascii="宋体" w:hAnsi="宋体" w:cs="宋体"/>
                <w:sz w:val="24"/>
                <w:lang w:val="en-US" w:eastAsia="zh-CN"/>
              </w:rPr>
            </w:pPr>
            <w:r>
              <w:rPr>
                <w:rFonts w:hint="default" w:ascii="宋体" w:hAnsi="宋体" w:cs="宋体"/>
                <w:sz w:val="24"/>
                <w:lang w:val="en-US" w:eastAsia="zh-CN"/>
              </w:rPr>
              <w:t>海富通基金 产滔</w:t>
            </w:r>
          </w:p>
          <w:p w14:paraId="3765FCF3">
            <w:pPr>
              <w:rPr>
                <w:rFonts w:hint="default" w:ascii="宋体" w:hAnsi="宋体" w:cs="宋体"/>
                <w:sz w:val="24"/>
                <w:lang w:val="en-US" w:eastAsia="zh-CN"/>
              </w:rPr>
            </w:pPr>
            <w:r>
              <w:rPr>
                <w:rFonts w:hint="default" w:ascii="宋体" w:hAnsi="宋体" w:cs="宋体"/>
                <w:sz w:val="24"/>
                <w:lang w:val="en-US" w:eastAsia="zh-CN"/>
              </w:rPr>
              <w:t>西南证券 邰桂龙、周鑫雨</w:t>
            </w:r>
          </w:p>
          <w:p w14:paraId="4D515D7A">
            <w:pPr>
              <w:rPr>
                <w:rFonts w:hint="default" w:ascii="宋体" w:hAnsi="宋体" w:cs="宋体"/>
                <w:sz w:val="24"/>
                <w:lang w:val="en-US" w:eastAsia="zh-CN"/>
              </w:rPr>
            </w:pPr>
            <w:r>
              <w:rPr>
                <w:rFonts w:hint="default" w:ascii="宋体" w:hAnsi="宋体" w:cs="宋体"/>
                <w:sz w:val="24"/>
                <w:lang w:val="en-US" w:eastAsia="zh-CN"/>
              </w:rPr>
              <w:t>国寿养老 郭琳</w:t>
            </w:r>
          </w:p>
          <w:p w14:paraId="288C8BED">
            <w:pPr>
              <w:rPr>
                <w:rFonts w:hint="default" w:ascii="宋体" w:hAnsi="宋体" w:cs="宋体"/>
                <w:sz w:val="24"/>
                <w:lang w:val="en-US" w:eastAsia="zh-CN"/>
              </w:rPr>
            </w:pPr>
            <w:r>
              <w:rPr>
                <w:rFonts w:hint="default" w:ascii="宋体" w:hAnsi="宋体" w:cs="宋体"/>
                <w:sz w:val="24"/>
                <w:lang w:val="en-US" w:eastAsia="zh-CN"/>
              </w:rPr>
              <w:t>大家资产 李恩国 、张浩</w:t>
            </w:r>
          </w:p>
          <w:p w14:paraId="051E3AE3">
            <w:pPr>
              <w:rPr>
                <w:rFonts w:hint="default" w:ascii="宋体" w:hAnsi="宋体" w:cs="宋体"/>
                <w:sz w:val="24"/>
                <w:lang w:val="en-US" w:eastAsia="zh-CN"/>
              </w:rPr>
            </w:pPr>
            <w:r>
              <w:rPr>
                <w:rFonts w:hint="default" w:ascii="宋体" w:hAnsi="宋体" w:cs="宋体"/>
                <w:sz w:val="24"/>
                <w:lang w:val="en-US" w:eastAsia="zh-CN"/>
              </w:rPr>
              <w:t>广发基金 王丽媛</w:t>
            </w:r>
          </w:p>
          <w:p w14:paraId="5AA63302">
            <w:pPr>
              <w:rPr>
                <w:rFonts w:hint="default" w:ascii="宋体" w:hAnsi="宋体" w:cs="宋体"/>
                <w:sz w:val="24"/>
                <w:lang w:val="en-US" w:eastAsia="zh-CN"/>
              </w:rPr>
            </w:pPr>
            <w:r>
              <w:rPr>
                <w:rFonts w:hint="default" w:ascii="宋体" w:hAnsi="宋体" w:cs="宋体"/>
                <w:sz w:val="24"/>
                <w:lang w:val="en-US" w:eastAsia="zh-CN"/>
              </w:rPr>
              <w:t>泰康资产 蔺皓天</w:t>
            </w:r>
          </w:p>
          <w:p w14:paraId="432CF86F">
            <w:pPr>
              <w:rPr>
                <w:rFonts w:hint="default" w:ascii="宋体" w:hAnsi="宋体" w:cs="宋体"/>
                <w:sz w:val="24"/>
                <w:lang w:val="en-US" w:eastAsia="zh-CN"/>
              </w:rPr>
            </w:pPr>
            <w:r>
              <w:rPr>
                <w:rFonts w:hint="default" w:ascii="宋体" w:hAnsi="宋体" w:cs="宋体"/>
                <w:sz w:val="24"/>
                <w:lang w:val="en-US" w:eastAsia="zh-CN"/>
              </w:rPr>
              <w:t>光大证券资产管理公司 郭冲冲、孟祥飞、尚青</w:t>
            </w:r>
          </w:p>
          <w:p w14:paraId="1D4821D7">
            <w:pPr>
              <w:rPr>
                <w:rFonts w:hint="default" w:ascii="宋体" w:hAnsi="宋体" w:cs="宋体"/>
                <w:sz w:val="24"/>
                <w:lang w:val="en-US" w:eastAsia="zh-CN"/>
              </w:rPr>
            </w:pPr>
            <w:r>
              <w:rPr>
                <w:rFonts w:hint="default" w:ascii="宋体" w:hAnsi="宋体" w:cs="宋体"/>
                <w:sz w:val="24"/>
                <w:lang w:val="en-US" w:eastAsia="zh-CN"/>
              </w:rPr>
              <w:t>华夏基金 张俊</w:t>
            </w:r>
          </w:p>
          <w:p w14:paraId="205B0FEC">
            <w:pPr>
              <w:rPr>
                <w:rFonts w:hint="default" w:ascii="宋体" w:hAnsi="宋体" w:cs="宋体"/>
                <w:sz w:val="24"/>
                <w:lang w:val="en-US" w:eastAsia="zh-CN"/>
              </w:rPr>
            </w:pPr>
            <w:r>
              <w:rPr>
                <w:rFonts w:hint="default" w:ascii="宋体" w:hAnsi="宋体" w:cs="宋体"/>
                <w:sz w:val="24"/>
                <w:lang w:val="en-US" w:eastAsia="zh-CN"/>
              </w:rPr>
              <w:t>海富</w:t>
            </w:r>
            <w:r>
              <w:rPr>
                <w:rFonts w:hint="default" w:ascii="宋体" w:hAnsi="宋体" w:cs="宋体"/>
                <w:sz w:val="24"/>
                <w:highlight w:val="none"/>
                <w:lang w:val="en-US" w:eastAsia="zh-CN"/>
              </w:rPr>
              <w:t>通 吕越超</w:t>
            </w:r>
          </w:p>
          <w:p w14:paraId="0D8D1B5B">
            <w:pPr>
              <w:rPr>
                <w:rFonts w:hint="default" w:ascii="宋体" w:hAnsi="宋体" w:cs="宋体"/>
                <w:sz w:val="24"/>
                <w:lang w:val="en-US" w:eastAsia="zh-CN"/>
              </w:rPr>
            </w:pPr>
            <w:r>
              <w:rPr>
                <w:rFonts w:hint="default" w:ascii="宋体" w:hAnsi="宋体" w:cs="宋体"/>
                <w:sz w:val="24"/>
                <w:lang w:val="en-US" w:eastAsia="zh-CN"/>
              </w:rPr>
              <w:t>天风证券 孙潇雅</w:t>
            </w:r>
          </w:p>
          <w:p w14:paraId="4DB09320">
            <w:pPr>
              <w:rPr>
                <w:rFonts w:hint="default" w:ascii="宋体" w:hAnsi="宋体" w:cs="宋体"/>
                <w:sz w:val="24"/>
                <w:lang w:val="en-US" w:eastAsia="zh-CN"/>
              </w:rPr>
            </w:pPr>
            <w:r>
              <w:rPr>
                <w:rFonts w:hint="default" w:ascii="宋体" w:hAnsi="宋体" w:cs="宋体"/>
                <w:sz w:val="24"/>
                <w:lang w:val="en-US" w:eastAsia="zh-CN"/>
              </w:rPr>
              <w:t>外贸信托 徐伟平</w:t>
            </w:r>
          </w:p>
          <w:p w14:paraId="7DF9AE85">
            <w:pPr>
              <w:rPr>
                <w:rFonts w:hint="default" w:ascii="宋体" w:hAnsi="宋体" w:cs="宋体"/>
                <w:sz w:val="24"/>
                <w:lang w:val="en-US" w:eastAsia="zh-CN"/>
              </w:rPr>
            </w:pPr>
            <w:r>
              <w:rPr>
                <w:rFonts w:hint="default" w:ascii="宋体" w:hAnsi="宋体" w:cs="宋体"/>
                <w:sz w:val="24"/>
                <w:lang w:val="en-US" w:eastAsia="zh-CN"/>
              </w:rPr>
              <w:t>宏兴钢铁 王玥</w:t>
            </w:r>
          </w:p>
          <w:p w14:paraId="4811EEC7">
            <w:pPr>
              <w:rPr>
                <w:rFonts w:hint="default" w:ascii="宋体" w:hAnsi="宋体" w:cs="宋体"/>
                <w:sz w:val="24"/>
                <w:lang w:val="en-US" w:eastAsia="zh-CN"/>
              </w:rPr>
            </w:pPr>
            <w:r>
              <w:rPr>
                <w:rFonts w:hint="default" w:ascii="宋体" w:hAnsi="宋体" w:cs="宋体"/>
                <w:sz w:val="24"/>
                <w:lang w:val="en-US" w:eastAsia="zh-CN"/>
              </w:rPr>
              <w:t>中信自营 刘瑞雯</w:t>
            </w:r>
          </w:p>
          <w:p w14:paraId="793ABE0C">
            <w:pPr>
              <w:rPr>
                <w:rFonts w:hint="default" w:ascii="宋体" w:hAnsi="宋体" w:cs="宋体"/>
                <w:sz w:val="24"/>
                <w:lang w:val="en-US" w:eastAsia="zh-CN"/>
              </w:rPr>
            </w:pPr>
            <w:r>
              <w:rPr>
                <w:rFonts w:hint="default" w:ascii="宋体" w:hAnsi="宋体" w:cs="宋体"/>
                <w:sz w:val="24"/>
                <w:lang w:val="en-US" w:eastAsia="zh-CN"/>
              </w:rPr>
              <w:t>北京劲衡企业管理有限公司 张茂鑫</w:t>
            </w:r>
          </w:p>
          <w:p w14:paraId="35054C92">
            <w:pPr>
              <w:rPr>
                <w:rFonts w:hint="default" w:ascii="宋体" w:hAnsi="宋体" w:cs="宋体"/>
                <w:sz w:val="24"/>
                <w:lang w:val="en-US" w:eastAsia="zh-CN"/>
              </w:rPr>
            </w:pPr>
            <w:r>
              <w:rPr>
                <w:rFonts w:hint="default" w:ascii="宋体" w:hAnsi="宋体" w:cs="宋体"/>
                <w:sz w:val="24"/>
                <w:lang w:val="en-US" w:eastAsia="zh-CN"/>
              </w:rPr>
              <w:t>金鼎资本 韩慧君</w:t>
            </w:r>
          </w:p>
          <w:p w14:paraId="5CB8801F">
            <w:pPr>
              <w:rPr>
                <w:rFonts w:hint="default" w:ascii="宋体" w:hAnsi="宋体" w:cs="宋体"/>
                <w:sz w:val="24"/>
                <w:lang w:val="en-US" w:eastAsia="zh-CN"/>
              </w:rPr>
            </w:pPr>
            <w:r>
              <w:rPr>
                <w:rFonts w:hint="default" w:ascii="宋体" w:hAnsi="宋体" w:cs="宋体"/>
                <w:sz w:val="24"/>
                <w:lang w:val="en-US" w:eastAsia="zh-CN"/>
              </w:rPr>
              <w:t>淡马锡富敦 邵冠棋</w:t>
            </w:r>
          </w:p>
          <w:p w14:paraId="55633B7B">
            <w:pPr>
              <w:rPr>
                <w:rFonts w:hint="default" w:ascii="宋体" w:hAnsi="宋体" w:cs="宋体"/>
                <w:sz w:val="24"/>
                <w:lang w:val="en-US" w:eastAsia="zh-CN"/>
              </w:rPr>
            </w:pPr>
            <w:r>
              <w:rPr>
                <w:rFonts w:hint="default" w:ascii="宋体" w:hAnsi="宋体" w:cs="宋体"/>
                <w:sz w:val="24"/>
                <w:lang w:val="en-US" w:eastAsia="zh-CN"/>
              </w:rPr>
              <w:t>观富资产 赵栋</w:t>
            </w:r>
          </w:p>
          <w:p w14:paraId="2ADEF623">
            <w:pPr>
              <w:rPr>
                <w:rFonts w:hint="default" w:ascii="宋体" w:hAnsi="宋体" w:cs="宋体"/>
                <w:sz w:val="24"/>
                <w:lang w:val="en-US" w:eastAsia="zh-CN"/>
              </w:rPr>
            </w:pPr>
            <w:r>
              <w:rPr>
                <w:rFonts w:hint="default" w:ascii="宋体" w:hAnsi="宋体" w:cs="宋体"/>
                <w:sz w:val="24"/>
                <w:lang w:val="en-US" w:eastAsia="zh-CN"/>
              </w:rPr>
              <w:t>柏治投资 马栋</w:t>
            </w:r>
          </w:p>
          <w:p w14:paraId="4BC38E72">
            <w:pPr>
              <w:rPr>
                <w:rFonts w:hint="default" w:ascii="宋体" w:hAnsi="宋体" w:cs="宋体"/>
                <w:sz w:val="24"/>
                <w:lang w:val="en-US" w:eastAsia="zh-CN"/>
              </w:rPr>
            </w:pPr>
            <w:r>
              <w:rPr>
                <w:rFonts w:hint="default" w:ascii="宋体" w:hAnsi="宋体" w:cs="宋体"/>
                <w:sz w:val="24"/>
                <w:lang w:val="en-US" w:eastAsia="zh-CN"/>
              </w:rPr>
              <w:t>衍航投资 宋健</w:t>
            </w:r>
          </w:p>
          <w:p w14:paraId="7E35AE78">
            <w:pPr>
              <w:rPr>
                <w:rFonts w:hint="default" w:ascii="宋体" w:hAnsi="宋体" w:cs="宋体"/>
                <w:sz w:val="24"/>
                <w:lang w:val="en-US" w:eastAsia="zh-CN"/>
              </w:rPr>
            </w:pPr>
            <w:r>
              <w:rPr>
                <w:rFonts w:hint="default" w:ascii="宋体" w:hAnsi="宋体" w:cs="宋体"/>
                <w:sz w:val="24"/>
                <w:lang w:val="en-US" w:eastAsia="zh-CN"/>
              </w:rPr>
              <w:t>中泰电新 吴鹏</w:t>
            </w:r>
            <w:bookmarkStart w:id="0" w:name="_GoBack"/>
            <w:bookmarkEnd w:id="0"/>
          </w:p>
          <w:p w14:paraId="4521F67D">
            <w:pPr>
              <w:rPr>
                <w:rFonts w:hint="eastAsia" w:ascii="宋体" w:hAnsi="宋体" w:cs="宋体"/>
                <w:sz w:val="24"/>
                <w:lang w:val="en-US" w:eastAsia="zh-CN"/>
              </w:rPr>
            </w:pPr>
            <w:r>
              <w:rPr>
                <w:rFonts w:hint="default" w:ascii="宋体" w:hAnsi="宋体" w:cs="宋体"/>
                <w:sz w:val="24"/>
                <w:lang w:val="en-US" w:eastAsia="zh-CN"/>
              </w:rPr>
              <w:t>景顺长城</w:t>
            </w:r>
            <w:r>
              <w:rPr>
                <w:rFonts w:hint="eastAsia" w:ascii="宋体" w:hAnsi="宋体" w:cs="宋体"/>
                <w:sz w:val="24"/>
                <w:lang w:val="en-US" w:eastAsia="zh-CN"/>
              </w:rPr>
              <w:t xml:space="preserve"> 曾英捷</w:t>
            </w:r>
          </w:p>
          <w:p w14:paraId="15D49195">
            <w:pPr>
              <w:rPr>
                <w:rFonts w:hint="default" w:ascii="宋体" w:hAnsi="宋体" w:cs="宋体"/>
                <w:sz w:val="24"/>
                <w:lang w:val="en-US" w:eastAsia="zh-CN"/>
              </w:rPr>
            </w:pPr>
            <w:r>
              <w:rPr>
                <w:rFonts w:hint="eastAsia" w:ascii="宋体" w:hAnsi="宋体" w:cs="宋体"/>
                <w:sz w:val="24"/>
                <w:lang w:val="en-US" w:eastAsia="zh-CN"/>
              </w:rPr>
              <w:t>展博投资 陈龙</w:t>
            </w:r>
          </w:p>
          <w:p w14:paraId="42009361">
            <w:pPr>
              <w:rPr>
                <w:rFonts w:hint="default" w:ascii="宋体" w:hAnsi="宋体" w:cs="宋体"/>
                <w:sz w:val="24"/>
                <w:lang w:val="en-US" w:eastAsia="zh-CN"/>
              </w:rPr>
            </w:pPr>
            <w:r>
              <w:rPr>
                <w:rFonts w:hint="eastAsia" w:ascii="宋体" w:hAnsi="宋体" w:cs="宋体"/>
                <w:sz w:val="24"/>
                <w:lang w:val="en-US" w:eastAsia="zh-CN"/>
              </w:rPr>
              <w:t>南方基金 万朝辉、薛原、王杰</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022"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3月10日</w:t>
            </w:r>
            <w:r>
              <w:rPr>
                <w:rFonts w:hint="eastAsia" w:ascii="宋体" w:hAnsi="宋体" w:cs="宋体"/>
                <w:sz w:val="24"/>
                <w:szCs w:val="24"/>
                <w:highlight w:val="none"/>
                <w:lang w:val="en-US" w:eastAsia="zh-CN"/>
              </w:rPr>
              <w:t>、3月11日、3月13日、3月14日、3月18日、3月20日、3月24日、3月27日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地点</w:t>
            </w:r>
          </w:p>
        </w:tc>
        <w:tc>
          <w:tcPr>
            <w:tcW w:w="7022" w:type="dxa"/>
            <w:tcBorders>
              <w:top w:val="single" w:color="auto" w:sz="4" w:space="0"/>
              <w:left w:val="single" w:color="auto" w:sz="4" w:space="0"/>
              <w:bottom w:val="single" w:color="auto" w:sz="4" w:space="0"/>
              <w:right w:val="single" w:color="auto" w:sz="12" w:space="0"/>
            </w:tcBorders>
            <w:vAlign w:val="center"/>
          </w:tcPr>
          <w:p w14:paraId="13ABF2BC">
            <w:pPr>
              <w:spacing w:before="156" w:beforeLines="50" w:after="156" w:afterLines="50"/>
              <w:rPr>
                <w:rFonts w:hint="default" w:ascii="宋体" w:hAnsi="宋体" w:eastAsia="宋体" w:cs="宋体"/>
                <w:sz w:val="24"/>
                <w:lang w:val="en-US" w:eastAsia="zh-CN"/>
              </w:rPr>
            </w:pPr>
            <w:r>
              <w:rPr>
                <w:rFonts w:hint="eastAsia" w:ascii="宋体" w:hAnsi="宋体" w:cs="宋体"/>
                <w:sz w:val="24"/>
                <w:lang w:val="en-US" w:eastAsia="zh-CN"/>
              </w:rPr>
              <w:t>腾讯会议、现场调研</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022" w:type="dxa"/>
            <w:tcBorders>
              <w:top w:val="single" w:color="auto" w:sz="4" w:space="0"/>
              <w:left w:val="single" w:color="auto" w:sz="4" w:space="0"/>
              <w:bottom w:val="single" w:color="auto" w:sz="4" w:space="0"/>
              <w:right w:val="single" w:color="auto" w:sz="12" w:space="0"/>
            </w:tcBorders>
            <w:vAlign w:val="center"/>
          </w:tcPr>
          <w:p w14:paraId="4C0B57AB">
            <w:pPr>
              <w:spacing w:before="156" w:beforeLines="50" w:after="156" w:afterLines="50"/>
              <w:rPr>
                <w:rFonts w:hint="eastAsia" w:ascii="宋体" w:hAnsi="宋体" w:cs="宋体"/>
                <w:sz w:val="24"/>
                <w:lang w:val="en-US" w:eastAsia="zh-CN"/>
              </w:rPr>
            </w:pPr>
            <w:r>
              <w:rPr>
                <w:rFonts w:hint="eastAsia" w:ascii="宋体" w:hAnsi="宋体" w:cs="宋体"/>
                <w:sz w:val="24"/>
                <w:lang w:val="en-US" w:eastAsia="zh-CN"/>
              </w:rPr>
              <w:t>董事会秘书：薛泰尧</w:t>
            </w:r>
          </w:p>
          <w:p w14:paraId="0D038D8E">
            <w:pPr>
              <w:spacing w:before="156" w:beforeLines="50" w:after="156" w:afterLines="50"/>
              <w:rPr>
                <w:rFonts w:hint="default" w:ascii="宋体" w:hAnsi="宋体" w:cs="宋体"/>
                <w:sz w:val="24"/>
                <w:lang w:val="en-US" w:eastAsia="zh-CN"/>
              </w:rPr>
            </w:pPr>
            <w:r>
              <w:rPr>
                <w:rFonts w:hint="eastAsia" w:ascii="宋体" w:hAnsi="宋体" w:cs="宋体"/>
                <w:sz w:val="24"/>
                <w:lang w:val="en-US" w:eastAsia="zh-CN"/>
              </w:rPr>
              <w:t>证券事务代表：赵海军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022" w:type="dxa"/>
            <w:tcBorders>
              <w:top w:val="single" w:color="auto" w:sz="4" w:space="0"/>
              <w:left w:val="single" w:color="auto" w:sz="4" w:space="0"/>
              <w:bottom w:val="single" w:color="auto" w:sz="4" w:space="0"/>
              <w:right w:val="single" w:color="auto" w:sz="12" w:space="0"/>
            </w:tcBorders>
          </w:tcPr>
          <w:p w14:paraId="57FDC0CB">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公司主要业务及产品介绍</w:t>
            </w:r>
          </w:p>
          <w:p w14:paraId="50917928">
            <w:pPr>
              <w:pStyle w:val="17"/>
              <w:tabs>
                <w:tab w:val="left" w:pos="788"/>
              </w:tabs>
              <w:spacing w:line="360" w:lineRule="auto"/>
              <w:rPr>
                <w:rFonts w:hint="eastAsia" w:ascii="宋体" w:hAnsi="宋体" w:cs="宋体"/>
                <w:szCs w:val="21"/>
                <w:lang w:eastAsia="zh-CN"/>
              </w:rPr>
            </w:pPr>
            <w:r>
              <w:rPr>
                <w:rFonts w:hint="eastAsia" w:ascii="宋体" w:hAnsi="宋体" w:cs="宋体"/>
                <w:szCs w:val="21"/>
              </w:rPr>
              <w:t>公司的主要产品为轴承保持架、汽车精密零部件和轴承配件</w:t>
            </w:r>
            <w:r>
              <w:rPr>
                <w:rFonts w:hint="eastAsia" w:ascii="宋体" w:hAnsi="宋体" w:cs="宋体"/>
                <w:szCs w:val="21"/>
                <w:lang w:eastAsia="zh-CN"/>
              </w:rPr>
              <w:t>。</w:t>
            </w:r>
          </w:p>
          <w:p w14:paraId="0BB995E3">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轴承保持架是专门配套组装轴承的关键零部件，公司轴承保持架的直接客户主要为国内外的轴承成品生产商。专用于风电机组的保持架最终应用于风电行业，其余类型保持架则最终应用于汽车工业、家用电器、工程机械、机床工业等多个领域。</w:t>
            </w:r>
          </w:p>
          <w:p w14:paraId="15C45CAE">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汽车精密零部件产品主要在传统汽车及混动汽车变速箱、发动机和新能源汽车电驱动系统等动力系统中应用，另外在门锁、安全、座椅等系统进行平台化应用，新能源汽车电驱动系统应用中，在铝转子总成产品成功批量应用的基础上，形成碳纤维转子总成、永磁转子总成、定转子总成等新能源电驱动系统总成系列部件。公司电驱动异步感应铝转子总成产品采用新材料配方，实验测试在导电性能不改变的情况下，强度可提升20%，最高转速可达到25000转以上，为市场客户提供高转速应用场景，具有较高的成本性能优势。</w:t>
            </w:r>
          </w:p>
          <w:p w14:paraId="3FAF9F0C">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、公司产品和业务发展规划</w:t>
            </w:r>
          </w:p>
          <w:p w14:paraId="085145BE">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在新能源汽车电驱动领域，公司为更好更快地服务好客户，自主开发了3个异步电机定转子平台（定子外径分别为220mm，200mm和180mm)，可应用于400V及800V，水冷及油冷电机，通过更改叠长，可满足市面绝大部分客户应用需求。面对客户个性化技术要求时，基于公司定转子平台化的开发，相关产线/模具、铁芯/铜线/铜排/过盈压环等子零部件、绕组结构专利/高强高导铝材配方等平台化技术可实现全部或者部分的共用，可极大助力客户定转子产品的开发速度、成本、可靠性等得到大幅优化。</w:t>
            </w:r>
          </w:p>
          <w:p w14:paraId="51F6ADB0">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在汽车精密零部件领域，与下游客户紧密合作深入打造平台化零件或部件应用，实现多车型、多品牌平台化应用，如：冷挤压调角器、轴承挡板等产品。</w:t>
            </w:r>
          </w:p>
          <w:p w14:paraId="36801C3C">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在轴承保持架产品领域，通过采用新工艺、新材料、新技术等，丰富轴承保持架的产品类型和产品线，满足客户的一站式采购需求。</w:t>
            </w:r>
          </w:p>
          <w:p w14:paraId="449C006D">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在氢能源产品领域，在前期布局氢汽车电堆核心零件金属双极板的基础上，进行前瞻性的研发电解制氢中的碱性电解槽（ALK）技术和质子交换膜电解槽（PEM）技术中的电解槽核心零部件，在制氢领域拓展应用。</w:t>
            </w:r>
          </w:p>
          <w:p w14:paraId="387BC1DD">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上述业务规划基于公司多年的精密冲压研发、生产、技术、工艺应用经验积累，以精密冲压为主线，凭借注塑、铸造、加工、热处理和表面处理等领域的卓越制造能力，拓展公司的产品线，向客户交付零件、交付部件、交付总成的目标的逐步推进，满足客户的一站式采购需求，提升公司的市场占有率。</w:t>
            </w:r>
          </w:p>
          <w:p w14:paraId="2A521B18">
            <w:pPr>
              <w:pStyle w:val="17"/>
              <w:tabs>
                <w:tab w:val="left" w:pos="788"/>
              </w:tabs>
              <w:spacing w:line="360" w:lineRule="auto"/>
              <w:ind w:firstLine="0" w:firstLineChars="0"/>
              <w:rPr>
                <w:rFonts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、公司精冲业务拓展及柔轮新产品的研发情况</w:t>
            </w:r>
          </w:p>
          <w:p w14:paraId="66ABE9F3">
            <w:pPr>
              <w:pStyle w:val="17"/>
              <w:tabs>
                <w:tab w:val="left" w:pos="788"/>
              </w:tabs>
              <w:spacing w:line="360" w:lineRule="auto"/>
              <w:rPr>
                <w:rFonts w:hint="eastAsia" w:ascii="宋体" w:hAnsi="宋体" w:cs="宋体"/>
                <w:szCs w:val="21"/>
              </w:rPr>
            </w:pPr>
            <w:r>
              <w:rPr>
                <w:rFonts w:hint="eastAsia" w:ascii="宋体" w:hAnsi="宋体" w:cs="宋体"/>
                <w:szCs w:val="21"/>
              </w:rPr>
              <w:t>公司始终致力于根据行业技术的发展方向开展前瞻性技术研究工作，结合公司的工艺生产装备优势、模具加工装备优势、检测设备优势以及精密冲压工艺技术优势积极拓展新产品。在精冲业务领域，探索以精密冲压工艺代替锻造工艺研发生产柔轮初坯产品，该产品需要协同钢材母材生产厂、精冲材料二次加工压延厂商进行原材料的开发，以替代国外进口材料，从而满足该产品需要一定的刚性和柔性的特殊材质。截至目前，柔轮初坯产品尚处于研发阶段，柔轮初坯产品需要根据客户的工艺技术要求试制并由客户进行加工装配进行性能测试，尚未得到测试验证结果，未与任何客户签署正式开发合同及销售合同，能否研发成功及获取客户订单存在不确定性，相关行业的未来发展亦存在不确定性，请投资者注意投资风险。</w:t>
            </w:r>
          </w:p>
          <w:p w14:paraId="3643BADA">
            <w:pPr>
              <w:pStyle w:val="17"/>
              <w:tabs>
                <w:tab w:val="left" w:pos="788"/>
              </w:tabs>
              <w:spacing w:line="360" w:lineRule="auto"/>
              <w:ind w:firstLine="0" w:firstLineChars="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4、如何看待风电业务未来市场空间</w:t>
            </w:r>
          </w:p>
          <w:p w14:paraId="1AB2EADA">
            <w:pPr>
              <w:pStyle w:val="17"/>
              <w:tabs>
                <w:tab w:val="left" w:pos="788"/>
              </w:tabs>
              <w:spacing w:line="360" w:lineRule="auto"/>
              <w:ind w:left="0" w:leftChars="0" w:firstLine="420" w:firstLineChars="200"/>
              <w:rPr>
                <w:rFonts w:hint="eastAsia" w:ascii="宋体" w:hAnsi="宋体" w:cs="宋体"/>
                <w:szCs w:val="21"/>
              </w:rPr>
            </w:pPr>
            <w:r>
              <w:rPr>
                <w:rFonts w:hint="eastAsia" w:ascii="宋体" w:hAnsi="宋体" w:cs="宋体"/>
                <w:szCs w:val="21"/>
              </w:rPr>
              <w:t>2024年3月，《国家发展改革委 国家能源局 农业农村部关于组织开展“千乡万村驭风行动”的通知》发布：“十四五”期间，在具备条件的县（市、区、旗）域农村地区，以村为单位，建成一批就地就近开发利用的风电项目，原则上每个行政村不超过20兆瓦，探索形成“村企合作”的风电投资建设新模式和“共建共享”的收益分配新机制，推动构建“村里有风电、集体增收益、村民得实惠”的风电开发利用新格局。2024年10月，《国家发展改革委等部门关于大力实施可再生能源替代行动的指导意见》发布：加快推进以沙漠、戈壁、荒漠地区为重点的大型风电光伏基地建设，推动海上风电集群化开发。</w:t>
            </w:r>
          </w:p>
          <w:p w14:paraId="7A996BD8">
            <w:pPr>
              <w:pStyle w:val="17"/>
              <w:tabs>
                <w:tab w:val="left" w:pos="788"/>
              </w:tabs>
              <w:spacing w:line="360" w:lineRule="auto"/>
              <w:ind w:left="0" w:leftChars="0" w:firstLine="420" w:firstLineChars="200"/>
              <w:rPr>
                <w:rFonts w:hint="eastAsia" w:ascii="宋体" w:hAnsi="宋体" w:cs="宋体"/>
                <w:szCs w:val="21"/>
              </w:rPr>
            </w:pPr>
            <w:r>
              <w:rPr>
                <w:rFonts w:hint="eastAsia" w:ascii="宋体" w:hAnsi="宋体" w:cs="宋体"/>
                <w:szCs w:val="21"/>
              </w:rPr>
              <w:t>根据每日风电的招标数据，2024年1到12月份中国风电不含框架招标项目总规模为220.644GW（含国际项目），同比上涨90%。</w:t>
            </w:r>
          </w:p>
          <w:p w14:paraId="16DF5FE3">
            <w:pPr>
              <w:pStyle w:val="17"/>
              <w:tabs>
                <w:tab w:val="left" w:pos="788"/>
              </w:tabs>
              <w:spacing w:line="360" w:lineRule="auto"/>
              <w:ind w:left="0" w:leftChars="0" w:firstLine="420" w:firstLineChars="200"/>
              <w:rPr>
                <w:rFonts w:hint="eastAsia" w:ascii="宋体" w:hAnsi="宋体" w:cs="宋体"/>
                <w:szCs w:val="21"/>
              </w:rPr>
            </w:pPr>
            <w:r>
              <w:rPr>
                <w:rFonts w:hint="eastAsia" w:ascii="宋体" w:hAnsi="宋体" w:cs="宋体"/>
                <w:szCs w:val="21"/>
              </w:rPr>
              <w:t>上述政策的积极推进及招标规模的持续增长，将为公司风电行业轴承保持架产品提供增量商机，有助于提高产品出货量。公司在风电轴承保持架领域，实现了风电偏航变桨轴承、主轴轴承、齿轮箱轴承、发电机轴承保持架品类的全覆盖，根据客户需求和产品批量等因素设计不同的产品工艺，包含冲压工艺轴承保持架、铸造机加工艺轴承保持架、锻造机加工艺轴承保持架、复合工艺轴承保持架、注塑轴承保持架等多种产品，满足不同客户的个性化需求，同时加强与下游客户、终端应用客户的协同开发和技术交流，保持行业领先。</w:t>
            </w:r>
          </w:p>
          <w:p w14:paraId="4ED4A451">
            <w:pPr>
              <w:pStyle w:val="17"/>
              <w:tabs>
                <w:tab w:val="left" w:pos="788"/>
              </w:tabs>
              <w:spacing w:line="360" w:lineRule="auto"/>
              <w:ind w:firstLine="0" w:firstLineChars="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5、现场参观</w:t>
            </w:r>
          </w:p>
          <w:p w14:paraId="35BEDBFD">
            <w:pPr>
              <w:pStyle w:val="17"/>
              <w:tabs>
                <w:tab w:val="left" w:pos="788"/>
              </w:tabs>
              <w:spacing w:line="360" w:lineRule="auto"/>
              <w:rPr>
                <w:rFonts w:hint="eastAsia" w:ascii="宋体" w:hAnsi="宋体" w:cs="宋体"/>
                <w:szCs w:val="21"/>
                <w:lang w:val="en-US" w:eastAsia="zh-CN"/>
              </w:rPr>
            </w:pPr>
            <w:r>
              <w:rPr>
                <w:rFonts w:hint="eastAsia" w:ascii="宋体" w:hAnsi="宋体" w:cs="宋体"/>
                <w:szCs w:val="21"/>
                <w:lang w:val="en-US" w:eastAsia="zh-CN"/>
              </w:rPr>
              <w:t>参观生产现场及实验室检测设备现场。</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3757BE4B">
            <w:pPr>
              <w:jc w:val="center"/>
              <w:rPr>
                <w:rFonts w:hint="eastAsia" w:ascii="宋体" w:hAnsi="宋体" w:cs="宋体"/>
                <w:b/>
                <w:bCs/>
                <w:sz w:val="24"/>
              </w:rPr>
            </w:pPr>
            <w:r>
              <w:rPr>
                <w:rFonts w:hint="eastAsia" w:ascii="宋体" w:hAnsi="宋体" w:cs="宋体"/>
                <w:b/>
                <w:bCs/>
                <w:sz w:val="24"/>
              </w:rPr>
              <w:t>附件清单（如有）</w:t>
            </w:r>
          </w:p>
        </w:tc>
        <w:tc>
          <w:tcPr>
            <w:tcW w:w="7022" w:type="dxa"/>
            <w:tcBorders>
              <w:top w:val="single" w:color="auto" w:sz="4" w:space="0"/>
              <w:left w:val="single" w:color="auto" w:sz="4" w:space="0"/>
              <w:bottom w:val="single" w:color="auto" w:sz="4" w:space="0"/>
              <w:right w:val="single" w:color="auto" w:sz="12" w:space="0"/>
            </w:tcBorders>
            <w:vAlign w:val="center"/>
          </w:tcPr>
          <w:p w14:paraId="59290502">
            <w:pPr>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1100" w:right="1800" w:bottom="1043"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86A7C"/>
    <w:rsid w:val="009918C4"/>
    <w:rsid w:val="009A084D"/>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3372B"/>
    <w:rsid w:val="00C358B5"/>
    <w:rsid w:val="00C42CBD"/>
    <w:rsid w:val="00C4451C"/>
    <w:rsid w:val="00C47C64"/>
    <w:rsid w:val="00C51B18"/>
    <w:rsid w:val="00C5461F"/>
    <w:rsid w:val="00C61A3F"/>
    <w:rsid w:val="00C63FD3"/>
    <w:rsid w:val="00C70626"/>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5FE4D9E"/>
    <w:rsid w:val="062A4F87"/>
    <w:rsid w:val="065D7953"/>
    <w:rsid w:val="06624721"/>
    <w:rsid w:val="06B50CF4"/>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104135F9"/>
    <w:rsid w:val="1136523C"/>
    <w:rsid w:val="11DB182B"/>
    <w:rsid w:val="12541D09"/>
    <w:rsid w:val="12B83A1C"/>
    <w:rsid w:val="13084BF5"/>
    <w:rsid w:val="134A4EBA"/>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2827E15"/>
    <w:rsid w:val="22AF4D3A"/>
    <w:rsid w:val="2370112B"/>
    <w:rsid w:val="23A83C63"/>
    <w:rsid w:val="23DB3F63"/>
    <w:rsid w:val="24465EFD"/>
    <w:rsid w:val="24DE5462"/>
    <w:rsid w:val="25333A00"/>
    <w:rsid w:val="2562533C"/>
    <w:rsid w:val="269229A8"/>
    <w:rsid w:val="26DA5C3E"/>
    <w:rsid w:val="2745371A"/>
    <w:rsid w:val="27CE7A10"/>
    <w:rsid w:val="27F600B2"/>
    <w:rsid w:val="28EA2F04"/>
    <w:rsid w:val="29F71032"/>
    <w:rsid w:val="2AEF5D34"/>
    <w:rsid w:val="2B1B32F7"/>
    <w:rsid w:val="2B3F3269"/>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FC2660"/>
    <w:rsid w:val="360C6034"/>
    <w:rsid w:val="3680281D"/>
    <w:rsid w:val="36C2479A"/>
    <w:rsid w:val="36F079A3"/>
    <w:rsid w:val="372206EE"/>
    <w:rsid w:val="37586C7E"/>
    <w:rsid w:val="38174ABC"/>
    <w:rsid w:val="38EF7122"/>
    <w:rsid w:val="3A396F6B"/>
    <w:rsid w:val="3CDF3E63"/>
    <w:rsid w:val="3D235CB1"/>
    <w:rsid w:val="3D54230E"/>
    <w:rsid w:val="3DB039E8"/>
    <w:rsid w:val="3F3B5533"/>
    <w:rsid w:val="3F855194"/>
    <w:rsid w:val="3F9E5AF5"/>
    <w:rsid w:val="3FFB177B"/>
    <w:rsid w:val="406A5594"/>
    <w:rsid w:val="41A87A44"/>
    <w:rsid w:val="41B15F81"/>
    <w:rsid w:val="41BE41FA"/>
    <w:rsid w:val="42417305"/>
    <w:rsid w:val="42777F20"/>
    <w:rsid w:val="42A45AE6"/>
    <w:rsid w:val="42B51AA1"/>
    <w:rsid w:val="42CB6BCE"/>
    <w:rsid w:val="42DD053E"/>
    <w:rsid w:val="43892C26"/>
    <w:rsid w:val="43D81D74"/>
    <w:rsid w:val="44A26356"/>
    <w:rsid w:val="44A616A1"/>
    <w:rsid w:val="45A51959"/>
    <w:rsid w:val="462C02CC"/>
    <w:rsid w:val="47AA594C"/>
    <w:rsid w:val="47EA3E68"/>
    <w:rsid w:val="485E5304"/>
    <w:rsid w:val="486E77C8"/>
    <w:rsid w:val="489772F0"/>
    <w:rsid w:val="48981C49"/>
    <w:rsid w:val="493E26B7"/>
    <w:rsid w:val="49D42A65"/>
    <w:rsid w:val="4A4F27DB"/>
    <w:rsid w:val="4AFA62A3"/>
    <w:rsid w:val="4B48362D"/>
    <w:rsid w:val="4BA12BC2"/>
    <w:rsid w:val="4C0D2006"/>
    <w:rsid w:val="4C8074D6"/>
    <w:rsid w:val="4C9C48D0"/>
    <w:rsid w:val="4EEE652E"/>
    <w:rsid w:val="4EF63225"/>
    <w:rsid w:val="50646EE4"/>
    <w:rsid w:val="51295E33"/>
    <w:rsid w:val="53257A81"/>
    <w:rsid w:val="53AB6CD4"/>
    <w:rsid w:val="546D21DB"/>
    <w:rsid w:val="556331D3"/>
    <w:rsid w:val="56DB79FF"/>
    <w:rsid w:val="57392849"/>
    <w:rsid w:val="580A7B81"/>
    <w:rsid w:val="593F3A1A"/>
    <w:rsid w:val="59871AC3"/>
    <w:rsid w:val="59D309F0"/>
    <w:rsid w:val="5A1A017F"/>
    <w:rsid w:val="5A364A3A"/>
    <w:rsid w:val="5A916CD3"/>
    <w:rsid w:val="5AFC6067"/>
    <w:rsid w:val="5BA16936"/>
    <w:rsid w:val="5BE709C6"/>
    <w:rsid w:val="5BEA4B0C"/>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5444B12"/>
    <w:rsid w:val="660202AA"/>
    <w:rsid w:val="67BD3F72"/>
    <w:rsid w:val="67DC5256"/>
    <w:rsid w:val="67E5006B"/>
    <w:rsid w:val="68523C9C"/>
    <w:rsid w:val="69735746"/>
    <w:rsid w:val="69F60125"/>
    <w:rsid w:val="6A4946F9"/>
    <w:rsid w:val="6A694D9B"/>
    <w:rsid w:val="6ADF0C04"/>
    <w:rsid w:val="6B6E799E"/>
    <w:rsid w:val="6B8C6F93"/>
    <w:rsid w:val="6C266F3E"/>
    <w:rsid w:val="6C835B15"/>
    <w:rsid w:val="6D8601D1"/>
    <w:rsid w:val="6D88378A"/>
    <w:rsid w:val="6E254810"/>
    <w:rsid w:val="6E9248C1"/>
    <w:rsid w:val="6F2226D7"/>
    <w:rsid w:val="6F3A28AE"/>
    <w:rsid w:val="6F581E54"/>
    <w:rsid w:val="6FB62831"/>
    <w:rsid w:val="70CE7706"/>
    <w:rsid w:val="70DD4CE7"/>
    <w:rsid w:val="7143510B"/>
    <w:rsid w:val="71C034F3"/>
    <w:rsid w:val="72946600"/>
    <w:rsid w:val="72C53305"/>
    <w:rsid w:val="72C57C74"/>
    <w:rsid w:val="72CE7E91"/>
    <w:rsid w:val="72D40618"/>
    <w:rsid w:val="730E401F"/>
    <w:rsid w:val="735C724B"/>
    <w:rsid w:val="73775FE8"/>
    <w:rsid w:val="7399049F"/>
    <w:rsid w:val="73B10D49"/>
    <w:rsid w:val="74F57957"/>
    <w:rsid w:val="74FC2707"/>
    <w:rsid w:val="75A60C51"/>
    <w:rsid w:val="75AD70BD"/>
    <w:rsid w:val="75EE10A6"/>
    <w:rsid w:val="763B3A90"/>
    <w:rsid w:val="77594010"/>
    <w:rsid w:val="783830F2"/>
    <w:rsid w:val="784C05C2"/>
    <w:rsid w:val="784F4498"/>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2294</Words>
  <Characters>2364</Characters>
  <Lines>16</Lines>
  <Paragraphs>4</Paragraphs>
  <TotalTime>155</TotalTime>
  <ScaleCrop>false</ScaleCrop>
  <LinksUpToDate>false</LinksUpToDate>
  <CharactersWithSpaces>2463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86186</dc:creator>
  <cp:lastModifiedBy>姜怡</cp:lastModifiedBy>
  <cp:lastPrinted>2025-02-14T06:02:00Z</cp:lastPrinted>
  <dcterms:modified xsi:type="dcterms:W3CDTF">2025-03-28T07:55:21Z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8CDCF04A83DF44E89019682932690EDB_12</vt:lpwstr>
  </property>
  <property fmtid="{D5CDD505-2E9C-101B-9397-08002B2CF9AE}" pid="4" name="KSOTemplateDocerSaveRecord">
    <vt:lpwstr>eyJoZGlkIjoiNDdiZGQxNmMzYTcwYjk0ZmU1Y2E2MWRhMzUyNWU5ZWQiLCJ1c2VySWQiOiIzODQ4ODI1MDMifQ==</vt:lpwstr>
  </property>
</Properties>
</file>