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69AF8">
      <w:pPr>
        <w:spacing w:before="156" w:beforeLines="50" w:after="156" w:afterLines="50" w:line="400" w:lineRule="exact"/>
        <w:ind w:firstLine="723" w:firstLineChars="300"/>
        <w:rPr>
          <w:rFonts w:hint="default" w:ascii="Times New Roman" w:hAnsi="Times New Roman" w:eastAsia="宋体" w:cs="Times New Roman"/>
          <w:b/>
          <w:bCs/>
          <w:iCs/>
          <w:sz w:val="24"/>
        </w:rPr>
      </w:pPr>
      <w:r>
        <w:rPr>
          <w:rFonts w:hint="default" w:ascii="Times New Roman" w:hAnsi="Times New Roman" w:eastAsia="宋体" w:cs="Times New Roman"/>
          <w:b/>
          <w:bCs/>
          <w:iCs/>
          <w:sz w:val="24"/>
        </w:rPr>
        <w:t>证券代码：603275                        证券简称：众辰科技</w:t>
      </w:r>
    </w:p>
    <w:p w14:paraId="173305F3">
      <w:pPr>
        <w:autoSpaceDE w:val="0"/>
        <w:autoSpaceDN w:val="0"/>
        <w:adjustRightInd w:val="0"/>
        <w:snapToGrid w:val="0"/>
        <w:ind w:left="141" w:hanging="141" w:hangingChars="50"/>
        <w:jc w:val="center"/>
        <w:rPr>
          <w:rFonts w:hint="default" w:ascii="Times New Roman" w:hAnsi="Times New Roman" w:eastAsia="宋体" w:cs="Times New Roman"/>
          <w:b/>
          <w:sz w:val="28"/>
          <w:szCs w:val="24"/>
        </w:rPr>
      </w:pPr>
      <w:bookmarkStart w:id="0" w:name="_Hlk144910966"/>
      <w:r>
        <w:rPr>
          <w:rFonts w:hint="default" w:ascii="Times New Roman" w:hAnsi="Times New Roman" w:eastAsia="宋体" w:cs="Times New Roman"/>
          <w:b/>
          <w:sz w:val="28"/>
          <w:szCs w:val="24"/>
        </w:rPr>
        <w:t>上海众辰电子科技股份有限公司</w:t>
      </w:r>
      <w:bookmarkEnd w:id="0"/>
    </w:p>
    <w:p w14:paraId="41ABE3EA">
      <w:pPr>
        <w:autoSpaceDE w:val="0"/>
        <w:autoSpaceDN w:val="0"/>
        <w:adjustRightInd w:val="0"/>
        <w:snapToGrid w:val="0"/>
        <w:ind w:left="141" w:hanging="141" w:hangingChars="50"/>
        <w:jc w:val="center"/>
        <w:rPr>
          <w:rFonts w:hint="default" w:ascii="Times New Roman" w:hAnsi="Times New Roman" w:eastAsia="宋体" w:cs="Times New Roman"/>
          <w:b/>
          <w:sz w:val="28"/>
          <w:szCs w:val="24"/>
        </w:rPr>
      </w:pPr>
      <w:r>
        <w:rPr>
          <w:rFonts w:hint="default" w:ascii="Times New Roman" w:hAnsi="Times New Roman" w:eastAsia="宋体" w:cs="Times New Roman"/>
          <w:b/>
          <w:sz w:val="28"/>
          <w:szCs w:val="24"/>
        </w:rPr>
        <w:t>投资者关系活动记录表</w:t>
      </w:r>
    </w:p>
    <w:p w14:paraId="76B4DE06">
      <w:pPr>
        <w:spacing w:line="400" w:lineRule="exact"/>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bCs/>
          <w:iCs/>
          <w:sz w:val="24"/>
          <w:szCs w:val="24"/>
        </w:rPr>
        <w:t xml:space="preserve">                                                      编号：</w:t>
      </w:r>
      <w:r>
        <w:rPr>
          <w:rFonts w:hint="eastAsia" w:ascii="宋体" w:hAnsi="宋体" w:eastAsia="宋体" w:cs="宋体"/>
          <w:bCs/>
          <w:iCs/>
          <w:sz w:val="24"/>
          <w:szCs w:val="24"/>
        </w:rPr>
        <w:t>202</w:t>
      </w:r>
      <w:r>
        <w:rPr>
          <w:rFonts w:hint="eastAsia" w:ascii="宋体" w:hAnsi="宋体" w:eastAsia="宋体" w:cs="宋体"/>
          <w:bCs/>
          <w:iCs/>
          <w:sz w:val="24"/>
          <w:szCs w:val="24"/>
          <w:lang w:val="en-US" w:eastAsia="zh-CN"/>
        </w:rPr>
        <w:t>5</w:t>
      </w:r>
      <w:r>
        <w:rPr>
          <w:rFonts w:hint="eastAsia" w:ascii="宋体" w:hAnsi="宋体" w:eastAsia="宋体" w:cs="宋体"/>
          <w:bCs/>
          <w:iCs/>
          <w:sz w:val="24"/>
          <w:szCs w:val="24"/>
        </w:rPr>
        <w:t>-0</w:t>
      </w:r>
      <w:r>
        <w:rPr>
          <w:rFonts w:hint="eastAsia" w:ascii="宋体" w:hAnsi="宋体" w:eastAsia="宋体" w:cs="宋体"/>
          <w:bCs/>
          <w:iCs/>
          <w:sz w:val="24"/>
          <w:szCs w:val="24"/>
          <w:lang w:val="en-US" w:eastAsia="zh-CN"/>
        </w:rPr>
        <w:t>03</w:t>
      </w:r>
    </w:p>
    <w:tbl>
      <w:tblPr>
        <w:tblStyle w:val="9"/>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6693"/>
      </w:tblGrid>
      <w:tr w14:paraId="0A7C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1931" w:type="dxa"/>
            <w:shd w:val="clear" w:color="auto" w:fill="auto"/>
            <w:vAlign w:val="center"/>
          </w:tcPr>
          <w:p w14:paraId="04277553">
            <w:pP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投资者关系</w:t>
            </w:r>
          </w:p>
          <w:p w14:paraId="52A44470">
            <w:pP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活动类别</w:t>
            </w:r>
          </w:p>
          <w:p w14:paraId="205B8B16">
            <w:pPr>
              <w:rPr>
                <w:rFonts w:hint="default" w:ascii="Times New Roman" w:hAnsi="Times New Roman" w:eastAsia="宋体" w:cs="Times New Roman"/>
                <w:b/>
                <w:bCs/>
                <w:iCs/>
                <w:sz w:val="24"/>
                <w:szCs w:val="24"/>
                <w:highlight w:val="none"/>
              </w:rPr>
            </w:pPr>
          </w:p>
        </w:tc>
        <w:tc>
          <w:tcPr>
            <w:tcW w:w="6693" w:type="dxa"/>
            <w:shd w:val="clear" w:color="auto" w:fill="auto"/>
          </w:tcPr>
          <w:p w14:paraId="3E6FAE82">
            <w:pPr>
              <w:spacing w:line="480" w:lineRule="atLeast"/>
              <w:rPr>
                <w:rFonts w:hint="default" w:ascii="Times New Roman" w:hAnsi="Times New Roman" w:eastAsia="宋体" w:cs="Times New Roman"/>
                <w:sz w:val="24"/>
                <w:szCs w:val="24"/>
                <w:highlight w:val="none"/>
              </w:rPr>
            </w:pPr>
            <w:r>
              <w:rPr>
                <w:rFonts w:hint="eastAsia" w:cs="Times New Roman"/>
                <w:bCs/>
                <w:iCs/>
                <w:sz w:val="24"/>
                <w:szCs w:val="24"/>
                <w:highlight w:val="none"/>
                <w:lang w:eastAsia="zh-CN"/>
              </w:rPr>
              <w:t>☑</w:t>
            </w:r>
            <w:r>
              <w:rPr>
                <w:rFonts w:hint="default" w:ascii="Times New Roman" w:hAnsi="Times New Roman" w:eastAsia="宋体" w:cs="Times New Roman"/>
                <w:sz w:val="24"/>
                <w:szCs w:val="24"/>
                <w:highlight w:val="none"/>
              </w:rPr>
              <w:t xml:space="preserve">特定对象调研       </w:t>
            </w:r>
            <w:r>
              <w:rPr>
                <w:rFonts w:hint="eastAsia" w:cs="Times New Roman"/>
                <w:sz w:val="24"/>
                <w:szCs w:val="24"/>
                <w:highlight w:val="none"/>
                <w:lang w:val="en-US" w:eastAsia="zh-CN"/>
              </w:rPr>
              <w:t xml:space="preserve"> </w:t>
            </w:r>
            <w:r>
              <w:rPr>
                <w:rFonts w:hint="eastAsia" w:cs="Times New Roman"/>
                <w:bCs/>
                <w:iCs/>
                <w:sz w:val="24"/>
                <w:szCs w:val="24"/>
                <w:highlight w:val="none"/>
                <w:lang w:eastAsia="zh-CN"/>
              </w:rPr>
              <w:t>□</w:t>
            </w:r>
            <w:r>
              <w:rPr>
                <w:rFonts w:hint="default" w:ascii="Times New Roman" w:hAnsi="Times New Roman" w:eastAsia="宋体" w:cs="Times New Roman"/>
                <w:sz w:val="24"/>
                <w:szCs w:val="24"/>
                <w:highlight w:val="none"/>
              </w:rPr>
              <w:t>分析师会议</w:t>
            </w:r>
          </w:p>
          <w:p w14:paraId="38E12847">
            <w:pPr>
              <w:spacing w:line="480" w:lineRule="atLeast"/>
              <w:rPr>
                <w:rFonts w:hint="default" w:ascii="Times New Roman" w:hAnsi="Times New Roman" w:eastAsia="宋体" w:cs="Times New Roman"/>
                <w:bCs/>
                <w:iCs/>
                <w:sz w:val="24"/>
                <w:szCs w:val="24"/>
                <w:highlight w:val="none"/>
              </w:rPr>
            </w:pPr>
            <w:r>
              <w:rPr>
                <w:rFonts w:hint="eastAsia" w:cs="Times New Roman"/>
                <w:bCs/>
                <w:iCs/>
                <w:sz w:val="24"/>
                <w:szCs w:val="24"/>
                <w:highlight w:val="none"/>
                <w:lang w:eastAsia="zh-CN"/>
              </w:rPr>
              <w:t>□</w:t>
            </w:r>
            <w:r>
              <w:rPr>
                <w:rFonts w:hint="default" w:ascii="Times New Roman" w:hAnsi="Times New Roman" w:eastAsia="宋体" w:cs="Times New Roman"/>
                <w:sz w:val="24"/>
                <w:szCs w:val="24"/>
                <w:highlight w:val="none"/>
              </w:rPr>
              <w:t xml:space="preserve">媒体采访            </w:t>
            </w:r>
            <w:r>
              <w:rPr>
                <w:rFonts w:hint="eastAsia" w:cs="Times New Roman"/>
                <w:bCs/>
                <w:iCs/>
                <w:sz w:val="24"/>
                <w:szCs w:val="24"/>
                <w:highlight w:val="none"/>
                <w:lang w:eastAsia="zh-CN"/>
              </w:rPr>
              <w:t>□</w:t>
            </w:r>
            <w:r>
              <w:rPr>
                <w:rFonts w:hint="default" w:ascii="Times New Roman" w:hAnsi="Times New Roman" w:eastAsia="宋体" w:cs="Times New Roman"/>
                <w:sz w:val="24"/>
                <w:szCs w:val="24"/>
                <w:highlight w:val="none"/>
              </w:rPr>
              <w:t>业绩说明会</w:t>
            </w:r>
          </w:p>
          <w:p w14:paraId="089216CE">
            <w:pPr>
              <w:spacing w:line="480" w:lineRule="atLeast"/>
              <w:rPr>
                <w:rFonts w:hint="default" w:ascii="Times New Roman" w:hAnsi="Times New Roman" w:eastAsia="宋体" w:cs="Times New Roman"/>
                <w:bCs/>
                <w:iCs/>
                <w:sz w:val="24"/>
                <w:szCs w:val="24"/>
                <w:highlight w:val="none"/>
              </w:rPr>
            </w:pPr>
            <w:r>
              <w:rPr>
                <w:rFonts w:hint="eastAsia" w:cs="Times New Roman"/>
                <w:bCs/>
                <w:iCs/>
                <w:sz w:val="24"/>
                <w:szCs w:val="24"/>
                <w:highlight w:val="none"/>
                <w:lang w:eastAsia="zh-CN"/>
              </w:rPr>
              <w:t>□</w:t>
            </w:r>
            <w:r>
              <w:rPr>
                <w:rFonts w:hint="default" w:ascii="Times New Roman" w:hAnsi="Times New Roman" w:eastAsia="宋体" w:cs="Times New Roman"/>
                <w:sz w:val="24"/>
                <w:szCs w:val="24"/>
                <w:highlight w:val="none"/>
              </w:rPr>
              <w:t xml:space="preserve">新闻发布会          </w:t>
            </w:r>
            <w:r>
              <w:rPr>
                <w:rFonts w:hint="eastAsia" w:cs="Times New Roman"/>
                <w:bCs/>
                <w:iCs/>
                <w:sz w:val="24"/>
                <w:szCs w:val="24"/>
                <w:highlight w:val="none"/>
                <w:lang w:eastAsia="zh-CN"/>
              </w:rPr>
              <w:t>□</w:t>
            </w:r>
            <w:r>
              <w:rPr>
                <w:rFonts w:hint="default" w:ascii="Times New Roman" w:hAnsi="Times New Roman" w:eastAsia="宋体" w:cs="Times New Roman"/>
                <w:sz w:val="24"/>
                <w:szCs w:val="24"/>
                <w:highlight w:val="none"/>
              </w:rPr>
              <w:t>路演活动</w:t>
            </w:r>
          </w:p>
          <w:p w14:paraId="444AD6EE">
            <w:pPr>
              <w:tabs>
                <w:tab w:val="left" w:pos="3045"/>
                <w:tab w:val="center" w:pos="3199"/>
              </w:tabs>
              <w:spacing w:line="480" w:lineRule="atLeast"/>
              <w:rPr>
                <w:rFonts w:hint="default" w:ascii="Times New Roman" w:hAnsi="Times New Roman" w:eastAsia="宋体" w:cs="Times New Roman"/>
                <w:bCs/>
                <w:iCs/>
                <w:sz w:val="24"/>
                <w:szCs w:val="24"/>
                <w:highlight w:val="none"/>
              </w:rPr>
            </w:pPr>
            <w:r>
              <w:rPr>
                <w:rFonts w:hint="eastAsia" w:cs="Times New Roman"/>
                <w:bCs/>
                <w:iCs/>
                <w:sz w:val="24"/>
                <w:szCs w:val="24"/>
                <w:highlight w:val="none"/>
                <w:lang w:eastAsia="zh-CN"/>
              </w:rPr>
              <w:t>□</w:t>
            </w:r>
            <w:r>
              <w:rPr>
                <w:rFonts w:hint="default" w:ascii="Times New Roman" w:hAnsi="Times New Roman" w:eastAsia="宋体" w:cs="Times New Roman"/>
                <w:sz w:val="24"/>
                <w:szCs w:val="24"/>
                <w:highlight w:val="none"/>
              </w:rPr>
              <w:t>现场参观</w:t>
            </w:r>
            <w:r>
              <w:rPr>
                <w:rFonts w:hint="default" w:ascii="Times New Roman" w:hAnsi="Times New Roman" w:eastAsia="宋体" w:cs="Times New Roman"/>
                <w:bCs/>
                <w:iCs/>
                <w:sz w:val="24"/>
                <w:szCs w:val="24"/>
                <w:highlight w:val="none"/>
              </w:rPr>
              <w:tab/>
            </w:r>
          </w:p>
          <w:p w14:paraId="253E4B91">
            <w:pPr>
              <w:tabs>
                <w:tab w:val="center" w:pos="3199"/>
              </w:tabs>
              <w:spacing w:line="480" w:lineRule="atLeast"/>
              <w:rPr>
                <w:rFonts w:hint="default" w:ascii="Times New Roman" w:hAnsi="Times New Roman" w:eastAsia="宋体" w:cs="Times New Roman"/>
                <w:bCs/>
                <w:iCs/>
                <w:sz w:val="24"/>
                <w:szCs w:val="24"/>
                <w:highlight w:val="none"/>
                <w:lang w:eastAsia="zh-CN"/>
              </w:rPr>
            </w:pPr>
            <w:r>
              <w:rPr>
                <w:rFonts w:hint="eastAsia" w:cs="Times New Roman"/>
                <w:bCs/>
                <w:iCs/>
                <w:sz w:val="24"/>
                <w:szCs w:val="24"/>
                <w:highlight w:val="none"/>
                <w:lang w:eastAsia="zh-CN"/>
              </w:rPr>
              <w:t>□</w:t>
            </w:r>
            <w:r>
              <w:rPr>
                <w:rFonts w:hint="default" w:ascii="Times New Roman" w:hAnsi="Times New Roman" w:eastAsia="宋体" w:cs="Times New Roman"/>
                <w:sz w:val="24"/>
                <w:szCs w:val="24"/>
                <w:highlight w:val="none"/>
              </w:rPr>
              <w:t>其他 （请文字说明其他活动内容）</w:t>
            </w:r>
          </w:p>
        </w:tc>
      </w:tr>
      <w:tr w14:paraId="358A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31" w:type="dxa"/>
            <w:shd w:val="clear" w:color="auto" w:fill="auto"/>
            <w:vAlign w:val="center"/>
          </w:tcPr>
          <w:p w14:paraId="7370743A">
            <w:pP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参与单位名称</w:t>
            </w:r>
          </w:p>
          <w:p w14:paraId="45D789B7">
            <w:pP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及人员姓名</w:t>
            </w:r>
          </w:p>
        </w:tc>
        <w:tc>
          <w:tcPr>
            <w:tcW w:w="6693" w:type="dxa"/>
            <w:shd w:val="clear" w:color="auto" w:fill="auto"/>
          </w:tcPr>
          <w:p w14:paraId="0A18F806">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华泰证券：杨云逍、杨景文</w:t>
            </w:r>
          </w:p>
          <w:p w14:paraId="07CBE6AC">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嘉实基金：项静远</w:t>
            </w:r>
          </w:p>
          <w:p w14:paraId="052F3704">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合远基金：林映吟</w:t>
            </w:r>
          </w:p>
          <w:p w14:paraId="25957D0F">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健顺投资：罗庆</w:t>
            </w:r>
          </w:p>
          <w:p w14:paraId="53AC9608">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东北证券：韩金呈</w:t>
            </w:r>
          </w:p>
          <w:p w14:paraId="7F331922">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淳厚基金：杨泽宇</w:t>
            </w:r>
          </w:p>
          <w:p w14:paraId="15602D81">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彤源投资：尹力</w:t>
            </w:r>
          </w:p>
          <w:p w14:paraId="5922C59D">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国海证券：张钰莹 </w:t>
            </w:r>
          </w:p>
          <w:p w14:paraId="0FB5A1D0">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富安达基金：杨红</w:t>
            </w:r>
          </w:p>
          <w:p w14:paraId="086A29DD">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民生证券：周晓萌、李哲</w:t>
            </w:r>
          </w:p>
          <w:p w14:paraId="59C43C99">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玄元投资：陈剑博</w:t>
            </w:r>
          </w:p>
          <w:p w14:paraId="05F6F5A6">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鑫元基金：李彪</w:t>
            </w:r>
          </w:p>
          <w:p w14:paraId="0A8E1DE0">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上海昱奕资产：李奕霖</w:t>
            </w:r>
          </w:p>
          <w:p w14:paraId="322161BE">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东北证券：周兴武</w:t>
            </w:r>
          </w:p>
          <w:p w14:paraId="4AF0FFE7">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华创证券：杨天翼</w:t>
            </w:r>
          </w:p>
          <w:p w14:paraId="3F4C3D72">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兴银基金：翁公羽</w:t>
            </w:r>
          </w:p>
          <w:p w14:paraId="1548C317">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广发机械：蒲明琪</w:t>
            </w:r>
          </w:p>
          <w:p w14:paraId="1E1BB6B9">
            <w:pPr>
              <w:spacing w:line="48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深圳时代伯乐：蒋国龙、邓澄江</w:t>
            </w:r>
          </w:p>
        </w:tc>
      </w:tr>
      <w:tr w14:paraId="430A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31" w:type="dxa"/>
            <w:shd w:val="clear" w:color="auto" w:fill="auto"/>
            <w:vAlign w:val="center"/>
          </w:tcPr>
          <w:p w14:paraId="7C7CA301">
            <w:pP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时间</w:t>
            </w:r>
          </w:p>
        </w:tc>
        <w:tc>
          <w:tcPr>
            <w:tcW w:w="6693" w:type="dxa"/>
            <w:shd w:val="clear" w:color="auto" w:fill="auto"/>
          </w:tcPr>
          <w:p w14:paraId="2B4BE22C">
            <w:pPr>
              <w:spacing w:line="480" w:lineRule="atLeast"/>
              <w:rPr>
                <w:rFonts w:hint="eastAsia" w:ascii="宋体" w:hAnsi="宋体" w:eastAsia="宋体" w:cs="宋体"/>
                <w:bCs/>
                <w:iCs/>
                <w:sz w:val="24"/>
                <w:szCs w:val="24"/>
                <w:highlight w:val="none"/>
                <w:lang w:val="en-US" w:eastAsia="zh-CN"/>
              </w:rPr>
            </w:pPr>
            <w:r>
              <w:rPr>
                <w:rFonts w:hint="eastAsia" w:ascii="宋体" w:hAnsi="宋体" w:eastAsia="宋体" w:cs="宋体"/>
                <w:bCs/>
                <w:iCs/>
                <w:sz w:val="24"/>
                <w:szCs w:val="24"/>
                <w:highlight w:val="none"/>
                <w:lang w:val="en-US" w:eastAsia="zh-CN"/>
              </w:rPr>
              <w:t>2025年3月1日      15:00-16:00</w:t>
            </w:r>
          </w:p>
          <w:p w14:paraId="5FAF2CF9">
            <w:pPr>
              <w:spacing w:line="480" w:lineRule="atLeast"/>
              <w:rPr>
                <w:rFonts w:hint="eastAsia" w:ascii="宋体" w:hAnsi="宋体" w:eastAsia="宋体" w:cs="宋体"/>
                <w:bCs/>
                <w:iCs/>
                <w:sz w:val="24"/>
                <w:szCs w:val="24"/>
                <w:highlight w:val="none"/>
                <w:lang w:val="en-US" w:eastAsia="zh-CN"/>
              </w:rPr>
            </w:pPr>
            <w:r>
              <w:rPr>
                <w:rFonts w:hint="eastAsia" w:ascii="宋体" w:hAnsi="宋体" w:eastAsia="宋体" w:cs="宋体"/>
                <w:bCs/>
                <w:iCs/>
                <w:sz w:val="24"/>
                <w:szCs w:val="24"/>
                <w:highlight w:val="none"/>
                <w:lang w:val="en-US" w:eastAsia="zh-CN"/>
              </w:rPr>
              <w:t>2025年3月6日      15:00-16:00</w:t>
            </w:r>
          </w:p>
          <w:p w14:paraId="5023731B">
            <w:pPr>
              <w:spacing w:line="480" w:lineRule="atLeast"/>
              <w:rPr>
                <w:rFonts w:hint="eastAsia" w:ascii="宋体" w:hAnsi="宋体" w:eastAsia="宋体" w:cs="宋体"/>
                <w:bCs/>
                <w:iCs/>
                <w:sz w:val="24"/>
                <w:szCs w:val="24"/>
                <w:highlight w:val="none"/>
                <w:lang w:val="en-US" w:eastAsia="zh-CN"/>
              </w:rPr>
            </w:pPr>
            <w:r>
              <w:rPr>
                <w:rFonts w:hint="eastAsia" w:ascii="宋体" w:hAnsi="宋体" w:eastAsia="宋体" w:cs="宋体"/>
                <w:bCs/>
                <w:iCs/>
                <w:sz w:val="24"/>
                <w:szCs w:val="24"/>
                <w:highlight w:val="none"/>
                <w:lang w:val="en-US" w:eastAsia="zh-CN"/>
              </w:rPr>
              <w:t>2025年3月8日      14:00-15:00</w:t>
            </w:r>
          </w:p>
          <w:p w14:paraId="74EBE7FA">
            <w:pPr>
              <w:spacing w:line="480" w:lineRule="atLeast"/>
              <w:rPr>
                <w:rFonts w:hint="eastAsia" w:ascii="宋体" w:hAnsi="宋体" w:eastAsia="宋体" w:cs="宋体"/>
                <w:bCs/>
                <w:iCs/>
                <w:sz w:val="24"/>
                <w:szCs w:val="24"/>
                <w:highlight w:val="none"/>
                <w:lang w:val="en-US" w:eastAsia="zh-CN"/>
              </w:rPr>
            </w:pPr>
            <w:r>
              <w:rPr>
                <w:rFonts w:hint="eastAsia" w:ascii="宋体" w:hAnsi="宋体" w:eastAsia="宋体" w:cs="宋体"/>
                <w:bCs/>
                <w:iCs/>
                <w:sz w:val="24"/>
                <w:szCs w:val="24"/>
                <w:highlight w:val="none"/>
                <w:lang w:val="en-US" w:eastAsia="zh-CN"/>
              </w:rPr>
              <w:t>2025年3月12日     16:00-17:00</w:t>
            </w:r>
          </w:p>
          <w:p w14:paraId="4390F800">
            <w:pPr>
              <w:spacing w:line="480" w:lineRule="atLeast"/>
              <w:rPr>
                <w:rFonts w:hint="default" w:ascii="Times New Roman" w:hAnsi="Times New Roman" w:eastAsia="宋体" w:cs="Times New Roman"/>
                <w:bCs/>
                <w:iCs/>
                <w:sz w:val="24"/>
                <w:szCs w:val="24"/>
                <w:highlight w:val="none"/>
                <w:lang w:val="en-US" w:eastAsia="zh-CN"/>
              </w:rPr>
            </w:pPr>
            <w:r>
              <w:rPr>
                <w:rFonts w:hint="eastAsia" w:ascii="宋体" w:hAnsi="宋体" w:eastAsia="宋体" w:cs="宋体"/>
                <w:bCs/>
                <w:iCs/>
                <w:color w:val="000000" w:themeColor="text1"/>
                <w:sz w:val="24"/>
                <w:szCs w:val="24"/>
                <w:highlight w:val="none"/>
                <w:lang w:val="en-US" w:eastAsia="zh-CN"/>
                <w14:textFill>
                  <w14:solidFill>
                    <w14:schemeClr w14:val="tx1"/>
                  </w14:solidFill>
                </w14:textFill>
              </w:rPr>
              <w:t>2025年3月13日     10:00-11:00</w:t>
            </w:r>
          </w:p>
        </w:tc>
      </w:tr>
      <w:tr w14:paraId="755B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31" w:type="dxa"/>
            <w:shd w:val="clear" w:color="auto" w:fill="auto"/>
            <w:vAlign w:val="center"/>
          </w:tcPr>
          <w:p w14:paraId="4439C622">
            <w:pP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地点</w:t>
            </w:r>
          </w:p>
        </w:tc>
        <w:tc>
          <w:tcPr>
            <w:tcW w:w="6693" w:type="dxa"/>
            <w:shd w:val="clear" w:color="auto" w:fill="auto"/>
          </w:tcPr>
          <w:p w14:paraId="2E392B15">
            <w:pPr>
              <w:spacing w:line="480" w:lineRule="atLeast"/>
              <w:rPr>
                <w:rFonts w:hint="default" w:ascii="Times New Roman" w:hAnsi="Times New Roman" w:eastAsia="宋体" w:cs="Times New Roman"/>
                <w:bCs/>
                <w:iCs/>
                <w:sz w:val="24"/>
                <w:szCs w:val="24"/>
                <w:highlight w:val="none"/>
              </w:rPr>
            </w:pPr>
            <w:r>
              <w:rPr>
                <w:rFonts w:hint="default" w:ascii="Times New Roman" w:hAnsi="Times New Roman" w:eastAsia="宋体" w:cs="Times New Roman"/>
                <w:bCs/>
                <w:iCs/>
                <w:sz w:val="24"/>
                <w:szCs w:val="24"/>
                <w:highlight w:val="none"/>
              </w:rPr>
              <w:t>公司会议室</w:t>
            </w:r>
          </w:p>
        </w:tc>
      </w:tr>
      <w:tr w14:paraId="52E1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31" w:type="dxa"/>
            <w:shd w:val="clear" w:color="auto" w:fill="auto"/>
            <w:vAlign w:val="center"/>
          </w:tcPr>
          <w:p w14:paraId="57ECF0DA">
            <w:pP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上市公司接待</w:t>
            </w:r>
          </w:p>
          <w:p w14:paraId="5FC0662E">
            <w:pP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人员姓名</w:t>
            </w:r>
          </w:p>
        </w:tc>
        <w:tc>
          <w:tcPr>
            <w:tcW w:w="6693" w:type="dxa"/>
            <w:shd w:val="clear" w:color="auto" w:fill="auto"/>
          </w:tcPr>
          <w:p w14:paraId="6551DF34">
            <w:pPr>
              <w:spacing w:line="480" w:lineRule="atLeast"/>
              <w:rPr>
                <w:rFonts w:hint="default" w:ascii="Times New Roman" w:hAnsi="Times New Roman" w:eastAsia="宋体" w:cs="Times New Roman"/>
                <w:bCs/>
                <w:iCs/>
                <w:sz w:val="24"/>
                <w:szCs w:val="24"/>
                <w:highlight w:val="none"/>
              </w:rPr>
            </w:pPr>
            <w:r>
              <w:rPr>
                <w:rFonts w:hint="default" w:ascii="Times New Roman" w:hAnsi="Times New Roman" w:eastAsia="宋体" w:cs="Times New Roman"/>
                <w:bCs/>
                <w:iCs/>
                <w:sz w:val="24"/>
                <w:szCs w:val="24"/>
                <w:highlight w:val="none"/>
              </w:rPr>
              <w:t>董事会秘书、财务总监：徐文俊</w:t>
            </w:r>
          </w:p>
          <w:p w14:paraId="67B970B1">
            <w:pPr>
              <w:spacing w:line="480" w:lineRule="atLeast"/>
              <w:rPr>
                <w:rFonts w:hint="default" w:ascii="Times New Roman" w:hAnsi="Times New Roman" w:eastAsia="宋体" w:cs="Times New Roman"/>
                <w:bCs/>
                <w:iCs/>
                <w:sz w:val="24"/>
                <w:szCs w:val="24"/>
                <w:highlight w:val="none"/>
              </w:rPr>
            </w:pPr>
            <w:r>
              <w:rPr>
                <w:rFonts w:hint="default" w:ascii="Times New Roman" w:hAnsi="Times New Roman" w:eastAsia="宋体" w:cs="Times New Roman"/>
                <w:bCs/>
                <w:iCs/>
                <w:sz w:val="24"/>
                <w:szCs w:val="24"/>
                <w:highlight w:val="none"/>
              </w:rPr>
              <w:t>证券事务代表：陈嵚崟</w:t>
            </w:r>
          </w:p>
        </w:tc>
      </w:tr>
      <w:tr w14:paraId="263F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931" w:type="dxa"/>
            <w:shd w:val="clear" w:color="auto" w:fill="auto"/>
            <w:vAlign w:val="center"/>
          </w:tcPr>
          <w:p w14:paraId="22F14664">
            <w:pP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投资者关系活动主要内容介绍</w:t>
            </w:r>
          </w:p>
          <w:p w14:paraId="75F41A00">
            <w:pPr>
              <w:rPr>
                <w:rFonts w:hint="default" w:ascii="Times New Roman" w:hAnsi="Times New Roman" w:eastAsia="宋体" w:cs="Times New Roman"/>
                <w:b/>
                <w:bCs/>
                <w:iCs/>
                <w:sz w:val="24"/>
                <w:szCs w:val="24"/>
                <w:highlight w:val="none"/>
              </w:rPr>
            </w:pPr>
          </w:p>
        </w:tc>
        <w:tc>
          <w:tcPr>
            <w:tcW w:w="6693" w:type="dxa"/>
            <w:shd w:val="clear" w:color="auto" w:fill="auto"/>
          </w:tcPr>
          <w:p w14:paraId="7A35FAA2">
            <w:pPr>
              <w:spacing w:line="480" w:lineRule="atLeast"/>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
                <w:bCs/>
                <w:sz w:val="21"/>
                <w:szCs w:val="21"/>
                <w:highlight w:val="none"/>
              </w:rPr>
              <w:t>公司与投资者交流的主要内容如下：</w:t>
            </w:r>
          </w:p>
          <w:p w14:paraId="79516FA0">
            <w:pPr>
              <w:spacing w:line="480" w:lineRule="atLeast"/>
              <w:ind w:firstLine="422" w:firstLineChars="200"/>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sz w:val="21"/>
                <w:szCs w:val="21"/>
                <w:highlight w:val="none"/>
                <w:lang w:val="en-US" w:eastAsia="zh-CN"/>
              </w:rPr>
              <w:t>问</w:t>
            </w:r>
            <w:r>
              <w:rPr>
                <w:rFonts w:hint="default" w:ascii="Times New Roman" w:hAnsi="Times New Roman" w:eastAsia="宋体" w:cs="Times New Roman"/>
                <w:b/>
                <w:bCs w:val="0"/>
                <w:color w:val="auto"/>
                <w:sz w:val="21"/>
                <w:szCs w:val="21"/>
                <w:highlight w:val="none"/>
                <w:lang w:val="en-US" w:eastAsia="zh-CN"/>
              </w:rPr>
              <w:t>题1.公司在伺服产品方面有什么进展？</w:t>
            </w:r>
          </w:p>
          <w:p w14:paraId="2D975C16">
            <w:pPr>
              <w:spacing w:line="480" w:lineRule="atLeast"/>
              <w:ind w:firstLine="420" w:firstLineChars="200"/>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答：公司专注于工业自动化行业，将持续扩大公司伺服系统的产品线。公司已推出US880系列高性能伺服系统，主要面向高端机床、高端铣床、车铣复合等相关领域</w:t>
            </w:r>
            <w:r>
              <w:rPr>
                <w:rFonts w:hint="eastAsia" w:cs="Times New Roman"/>
                <w:bCs/>
                <w:color w:val="auto"/>
                <w:sz w:val="21"/>
                <w:szCs w:val="21"/>
                <w:highlight w:val="none"/>
                <w:lang w:val="en-US" w:eastAsia="zh-CN"/>
              </w:rPr>
              <w:t>，目前已在多个行业实现应用落地，有效提升了公司伺服系统的销售规模。</w:t>
            </w:r>
          </w:p>
          <w:p w14:paraId="4B7EA110">
            <w:pPr>
              <w:spacing w:line="480" w:lineRule="atLeast"/>
              <w:ind w:firstLine="422" w:firstLineChars="200"/>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问题2.公司如何保持毛利率的稳定？</w:t>
            </w:r>
          </w:p>
          <w:p w14:paraId="6CB9555B">
            <w:pPr>
              <w:spacing w:line="480" w:lineRule="atLeast"/>
              <w:ind w:firstLine="420" w:firstLineChars="200"/>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答：公司毛利率总体保持稳定，预计未来不会产生较大波动。公司</w:t>
            </w:r>
            <w:r>
              <w:rPr>
                <w:rFonts w:hint="eastAsia" w:cs="Times New Roman"/>
                <w:bCs/>
                <w:color w:val="auto"/>
                <w:sz w:val="21"/>
                <w:szCs w:val="21"/>
                <w:highlight w:val="none"/>
                <w:lang w:val="en-US" w:eastAsia="zh-CN"/>
              </w:rPr>
              <w:t>产品采</w:t>
            </w:r>
            <w:r>
              <w:rPr>
                <w:rFonts w:hint="eastAsia" w:ascii="宋体" w:hAnsi="宋体" w:eastAsia="宋体" w:cs="宋体"/>
                <w:bCs/>
                <w:color w:val="auto"/>
                <w:sz w:val="21"/>
                <w:szCs w:val="21"/>
                <w:highlight w:val="none"/>
                <w:lang w:val="en-US" w:eastAsia="zh-CN"/>
              </w:rPr>
              <w:t>用“成本加成”</w:t>
            </w:r>
            <w:r>
              <w:rPr>
                <w:rFonts w:hint="default" w:ascii="Times New Roman" w:hAnsi="Times New Roman" w:eastAsia="宋体" w:cs="Times New Roman"/>
                <w:bCs/>
                <w:color w:val="auto"/>
                <w:sz w:val="21"/>
                <w:szCs w:val="21"/>
                <w:highlight w:val="none"/>
                <w:lang w:val="en-US" w:eastAsia="zh-CN"/>
              </w:rPr>
              <w:t>的定价方式，对同型号的变频器、伺服系统等产品制定一个基准价格，在基准价格的基础上综合客户的重要程度、未来增长潜力、开发难度、客户所在区域面临的竞争情况以及竞争对手的销售策略做相应的调整。未来，公司会通过不断加强技术与产品创新，持续提升产品竞争力，并通过精细化管理强化成本与费用控制，保障公司持续盈利能力。</w:t>
            </w:r>
          </w:p>
          <w:p w14:paraId="4D90875B">
            <w:pPr>
              <w:spacing w:line="480" w:lineRule="atLeast"/>
              <w:ind w:firstLine="422" w:firstLineChars="200"/>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问题3.公司订单账期</w:t>
            </w:r>
            <w:r>
              <w:rPr>
                <w:rFonts w:hint="eastAsia" w:cs="Times New Roman"/>
                <w:b/>
                <w:bCs w:val="0"/>
                <w:color w:val="auto"/>
                <w:sz w:val="21"/>
                <w:szCs w:val="21"/>
                <w:highlight w:val="none"/>
                <w:lang w:val="en-US" w:eastAsia="zh-CN"/>
              </w:rPr>
              <w:t>如何</w:t>
            </w:r>
            <w:r>
              <w:rPr>
                <w:rFonts w:hint="default" w:ascii="Times New Roman" w:hAnsi="Times New Roman" w:eastAsia="宋体" w:cs="Times New Roman"/>
                <w:b/>
                <w:bCs w:val="0"/>
                <w:color w:val="auto"/>
                <w:sz w:val="21"/>
                <w:szCs w:val="21"/>
                <w:highlight w:val="none"/>
                <w:lang w:val="en-US" w:eastAsia="zh-CN"/>
              </w:rPr>
              <w:t>？目前的回款情况？</w:t>
            </w:r>
          </w:p>
          <w:p w14:paraId="20F64D96">
            <w:pPr>
              <w:spacing w:line="480" w:lineRule="atLeast"/>
              <w:ind w:firstLine="420" w:firstLineChars="200"/>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答：公司与客户签订的销售合同</w:t>
            </w:r>
            <w:r>
              <w:rPr>
                <w:rFonts w:hint="eastAsia" w:cs="Times New Roman"/>
                <w:bCs/>
                <w:color w:val="auto"/>
                <w:sz w:val="21"/>
                <w:szCs w:val="21"/>
                <w:highlight w:val="none"/>
                <w:lang w:val="en-US" w:eastAsia="zh-CN"/>
              </w:rPr>
              <w:t>、销售协议中</w:t>
            </w:r>
            <w:r>
              <w:rPr>
                <w:rFonts w:hint="default" w:ascii="Times New Roman" w:hAnsi="Times New Roman" w:eastAsia="宋体" w:cs="Times New Roman"/>
                <w:bCs/>
                <w:color w:val="auto"/>
                <w:sz w:val="21"/>
                <w:szCs w:val="21"/>
                <w:highlight w:val="none"/>
                <w:lang w:val="en-US" w:eastAsia="zh-CN"/>
              </w:rPr>
              <w:t>明确约定产品价格、</w:t>
            </w:r>
            <w:r>
              <w:rPr>
                <w:rFonts w:hint="eastAsia" w:cs="Times New Roman"/>
                <w:bCs/>
                <w:color w:val="auto"/>
                <w:sz w:val="21"/>
                <w:szCs w:val="21"/>
                <w:highlight w:val="none"/>
                <w:lang w:val="en-US" w:eastAsia="zh-CN"/>
              </w:rPr>
              <w:t>账期等，</w:t>
            </w:r>
            <w:r>
              <w:rPr>
                <w:rFonts w:hint="default" w:ascii="Times New Roman" w:hAnsi="Times New Roman" w:eastAsia="宋体" w:cs="Times New Roman"/>
                <w:bCs/>
                <w:color w:val="auto"/>
                <w:sz w:val="21"/>
                <w:szCs w:val="21"/>
                <w:highlight w:val="none"/>
                <w:lang w:val="en-US" w:eastAsia="zh-CN"/>
              </w:rPr>
              <w:t>有现款现货和</w:t>
            </w:r>
            <w:r>
              <w:rPr>
                <w:rFonts w:hint="eastAsia" w:cs="Times New Roman"/>
                <w:bCs/>
                <w:color w:val="auto"/>
                <w:sz w:val="21"/>
                <w:szCs w:val="21"/>
                <w:highlight w:val="none"/>
                <w:lang w:val="en-US" w:eastAsia="zh-CN"/>
              </w:rPr>
              <w:t>不同</w:t>
            </w:r>
            <w:r>
              <w:rPr>
                <w:rFonts w:hint="default" w:ascii="Times New Roman" w:hAnsi="Times New Roman" w:eastAsia="宋体" w:cs="Times New Roman"/>
                <w:bCs/>
                <w:color w:val="auto"/>
                <w:sz w:val="21"/>
                <w:szCs w:val="21"/>
                <w:highlight w:val="none"/>
                <w:lang w:val="en-US" w:eastAsia="zh-CN"/>
              </w:rPr>
              <w:t>月结账期，目前</w:t>
            </w:r>
            <w:r>
              <w:rPr>
                <w:rFonts w:hint="eastAsia" w:cs="Times New Roman"/>
                <w:bCs/>
                <w:color w:val="auto"/>
                <w:sz w:val="21"/>
                <w:szCs w:val="21"/>
                <w:highlight w:val="none"/>
                <w:lang w:val="en-US" w:eastAsia="zh-CN"/>
              </w:rPr>
              <w:t>公司</w:t>
            </w:r>
            <w:r>
              <w:rPr>
                <w:rFonts w:hint="default" w:ascii="Times New Roman" w:hAnsi="Times New Roman" w:eastAsia="宋体" w:cs="Times New Roman"/>
                <w:bCs/>
                <w:color w:val="auto"/>
                <w:sz w:val="21"/>
                <w:szCs w:val="21"/>
                <w:highlight w:val="none"/>
                <w:lang w:val="en-US" w:eastAsia="zh-CN"/>
              </w:rPr>
              <w:t>回款情况整体良好。</w:t>
            </w:r>
          </w:p>
          <w:p w14:paraId="657764EF">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0" w:leftChars="0" w:firstLine="422" w:firstLineChars="200"/>
              <w:jc w:val="both"/>
              <w:textAlignment w:val="auto"/>
              <w:rPr>
                <w:rFonts w:hint="default" w:ascii="Times New Roman" w:hAnsi="Times New Roman" w:eastAsia="宋体" w:cs="Times New Roman"/>
                <w:b/>
                <w:bCs w:val="0"/>
                <w:sz w:val="21"/>
                <w:szCs w:val="21"/>
                <w:highlight w:val="none"/>
                <w:lang w:val="en-US" w:eastAsia="zh-CN"/>
              </w:rPr>
            </w:pPr>
            <w:r>
              <w:rPr>
                <w:rFonts w:hint="default" w:ascii="Times New Roman" w:hAnsi="Times New Roman" w:eastAsia="宋体" w:cs="Times New Roman"/>
                <w:b/>
                <w:bCs w:val="0"/>
                <w:sz w:val="21"/>
                <w:szCs w:val="21"/>
                <w:highlight w:val="none"/>
                <w:lang w:val="en-US" w:eastAsia="zh-CN"/>
              </w:rPr>
              <w:t>问题4.募投项目进展如何？</w:t>
            </w:r>
            <w:r>
              <w:rPr>
                <w:rFonts w:hint="default" w:ascii="Times New Roman" w:hAnsi="Times New Roman" w:eastAsia="宋体" w:cs="Times New Roman"/>
                <w:b/>
                <w:bCs/>
                <w:sz w:val="21"/>
                <w:szCs w:val="21"/>
                <w:lang w:val="en-US" w:eastAsia="zh-CN"/>
              </w:rPr>
              <w:t>公司如何分配产能</w:t>
            </w:r>
            <w:r>
              <w:rPr>
                <w:rFonts w:hint="eastAsia" w:cs="Times New Roman"/>
                <w:b/>
                <w:bCs/>
                <w:sz w:val="21"/>
                <w:szCs w:val="21"/>
                <w:lang w:val="en-US" w:eastAsia="zh-CN"/>
              </w:rPr>
              <w:t>？</w:t>
            </w:r>
          </w:p>
          <w:p w14:paraId="68E30FA8">
            <w:pPr>
              <w:spacing w:line="480" w:lineRule="atLeast"/>
              <w:ind w:firstLine="420" w:firstLineChars="200"/>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答：实施地点在安徽芜湖的“变频器、伺服系统、电梯及施工升降机系统集成生产基地建设项目”，部分厂房已按计划步入生产阶段，该项目已进入产能爬坡释放阶段，该项目新增变频器和伺服系统生产线，从而在丰富产品品类、扩充产品产能方面增强公司的综合竞争能力，增强公司盈利能力；实施地点在上海的“变频器及伺服系统产业化建设项目”，已完成竣工验收工作，部分厂房已经开始生产，将根据生产计划陆续释放产能；“高压变频器生产基地及辅助用房建设项目”正在实施过程中，即将进入基建施工阶段，本项目拟新建高压变频器生产车间和辅助用房，从而新增高压变频器类产品的产能。</w:t>
            </w:r>
            <w:bookmarkStart w:id="1" w:name="_GoBack"/>
            <w:bookmarkEnd w:id="1"/>
          </w:p>
          <w:p w14:paraId="21A1D57C">
            <w:pPr>
              <w:spacing w:line="480" w:lineRule="atLeast"/>
              <w:ind w:firstLine="422"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问题</w:t>
            </w:r>
            <w:r>
              <w:rPr>
                <w:rFonts w:hint="eastAsia" w:cs="Times New Roman"/>
                <w:b/>
                <w:bCs/>
                <w:sz w:val="21"/>
                <w:szCs w:val="21"/>
                <w:lang w:val="en-US" w:eastAsia="zh-CN"/>
              </w:rPr>
              <w:t>5</w:t>
            </w:r>
            <w:r>
              <w:rPr>
                <w:rFonts w:hint="default" w:ascii="Times New Roman" w:hAnsi="Times New Roman" w:eastAsia="宋体" w:cs="Times New Roman"/>
                <w:b/>
                <w:bCs/>
                <w:sz w:val="21"/>
                <w:szCs w:val="21"/>
                <w:lang w:val="en-US" w:eastAsia="zh-CN"/>
              </w:rPr>
              <w:t>.</w:t>
            </w:r>
            <w:r>
              <w:rPr>
                <w:rFonts w:hint="eastAsia" w:cs="Times New Roman"/>
                <w:b/>
                <w:bCs/>
                <w:sz w:val="21"/>
                <w:szCs w:val="21"/>
                <w:lang w:val="en-US" w:eastAsia="zh-CN"/>
              </w:rPr>
              <w:t>公司人才</w:t>
            </w:r>
            <w:r>
              <w:rPr>
                <w:rFonts w:hint="default" w:ascii="Times New Roman" w:hAnsi="Times New Roman" w:eastAsia="宋体" w:cs="Times New Roman"/>
                <w:b/>
                <w:bCs/>
                <w:sz w:val="21"/>
                <w:szCs w:val="21"/>
                <w:lang w:val="en-US" w:eastAsia="zh-CN"/>
              </w:rPr>
              <w:t>招聘进展情况</w:t>
            </w:r>
            <w:r>
              <w:rPr>
                <w:rFonts w:hint="eastAsia" w:cs="Times New Roman"/>
                <w:b/>
                <w:bCs/>
                <w:sz w:val="21"/>
                <w:szCs w:val="21"/>
                <w:lang w:val="en-US" w:eastAsia="zh-CN"/>
              </w:rPr>
              <w:t>？</w:t>
            </w:r>
          </w:p>
          <w:p w14:paraId="4DF71466">
            <w:pPr>
              <w:spacing w:line="480" w:lineRule="atLeast"/>
              <w:ind w:firstLine="420" w:firstLineChars="200"/>
              <w:rPr>
                <w:rFonts w:hint="eastAsia" w:cs="Times New Roman"/>
                <w:bCs/>
                <w:color w:val="auto"/>
                <w:sz w:val="21"/>
                <w:szCs w:val="21"/>
                <w:highlight w:val="none"/>
                <w:lang w:val="en-US" w:eastAsia="zh-CN"/>
              </w:rPr>
            </w:pPr>
            <w:r>
              <w:rPr>
                <w:rFonts w:hint="eastAsia" w:cs="Times New Roman"/>
                <w:bCs/>
                <w:color w:val="auto"/>
                <w:sz w:val="21"/>
                <w:szCs w:val="21"/>
                <w:highlight w:val="none"/>
                <w:lang w:val="en-US" w:eastAsia="zh-CN"/>
              </w:rPr>
              <w:t>答：公司人才主要来自公司内部培养和外部招聘。</w:t>
            </w:r>
            <w:r>
              <w:rPr>
                <w:rFonts w:hint="default" w:ascii="Times New Roman" w:hAnsi="Times New Roman" w:eastAsia="宋体" w:cs="Times New Roman"/>
                <w:bCs/>
                <w:color w:val="auto"/>
                <w:sz w:val="21"/>
                <w:szCs w:val="21"/>
                <w:highlight w:val="none"/>
                <w:lang w:val="en-US" w:eastAsia="zh-CN"/>
              </w:rPr>
              <w:t>公司会依据市场情况</w:t>
            </w:r>
            <w:r>
              <w:rPr>
                <w:rFonts w:hint="eastAsia" w:cs="Times New Roman"/>
                <w:bCs/>
                <w:color w:val="auto"/>
                <w:sz w:val="21"/>
                <w:szCs w:val="21"/>
                <w:highlight w:val="none"/>
                <w:lang w:val="en-US" w:eastAsia="zh-CN"/>
              </w:rPr>
              <w:t>、</w:t>
            </w:r>
            <w:r>
              <w:rPr>
                <w:rFonts w:hint="default" w:ascii="Times New Roman" w:hAnsi="Times New Roman" w:eastAsia="宋体" w:cs="Times New Roman"/>
                <w:bCs/>
                <w:color w:val="auto"/>
                <w:sz w:val="21"/>
                <w:szCs w:val="21"/>
                <w:highlight w:val="none"/>
                <w:lang w:val="en-US" w:eastAsia="zh-CN"/>
              </w:rPr>
              <w:t>产能</w:t>
            </w:r>
            <w:r>
              <w:rPr>
                <w:rFonts w:hint="eastAsia" w:cs="Times New Roman"/>
                <w:bCs/>
                <w:color w:val="auto"/>
                <w:sz w:val="21"/>
                <w:szCs w:val="21"/>
                <w:highlight w:val="none"/>
                <w:lang w:val="en-US" w:eastAsia="zh-CN"/>
              </w:rPr>
              <w:t>释放情况、</w:t>
            </w:r>
            <w:r>
              <w:rPr>
                <w:rFonts w:hint="default" w:ascii="Times New Roman" w:hAnsi="Times New Roman" w:eastAsia="宋体" w:cs="Times New Roman"/>
                <w:bCs/>
                <w:color w:val="auto"/>
                <w:sz w:val="21"/>
                <w:szCs w:val="21"/>
                <w:highlight w:val="none"/>
                <w:lang w:val="en-US" w:eastAsia="zh-CN"/>
              </w:rPr>
              <w:t>成本控制情况</w:t>
            </w:r>
            <w:r>
              <w:rPr>
                <w:rFonts w:hint="eastAsia" w:cs="Times New Roman"/>
                <w:bCs/>
                <w:color w:val="auto"/>
                <w:sz w:val="21"/>
                <w:szCs w:val="21"/>
                <w:highlight w:val="none"/>
                <w:lang w:val="en-US" w:eastAsia="zh-CN"/>
              </w:rPr>
              <w:t>等综合因素</w:t>
            </w:r>
            <w:r>
              <w:rPr>
                <w:rFonts w:hint="default" w:ascii="Times New Roman" w:hAnsi="Times New Roman" w:eastAsia="宋体" w:cs="Times New Roman"/>
                <w:bCs/>
                <w:color w:val="auto"/>
                <w:sz w:val="21"/>
                <w:szCs w:val="21"/>
                <w:highlight w:val="none"/>
                <w:lang w:val="en-US" w:eastAsia="zh-CN"/>
              </w:rPr>
              <w:t>，持续优化内部组织</w:t>
            </w:r>
            <w:r>
              <w:rPr>
                <w:rFonts w:hint="eastAsia" w:cs="Times New Roman"/>
                <w:bCs/>
                <w:color w:val="auto"/>
                <w:sz w:val="21"/>
                <w:szCs w:val="21"/>
                <w:highlight w:val="none"/>
                <w:lang w:val="en-US" w:eastAsia="zh-CN"/>
              </w:rPr>
              <w:t>，适时调整人员招聘计划，使其与公司业务的发展情况相匹配，以保障未来业务的发展、项目的顺利实施。</w:t>
            </w:r>
          </w:p>
          <w:p w14:paraId="4831EDAD">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0" w:leftChars="0" w:firstLine="422" w:firstLineChars="200"/>
              <w:jc w:val="both"/>
              <w:textAlignment w:val="auto"/>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问题6.</w:t>
            </w:r>
            <w:r>
              <w:rPr>
                <w:rFonts w:hint="default" w:ascii="Times New Roman" w:hAnsi="Times New Roman" w:eastAsia="宋体" w:cs="Times New Roman"/>
                <w:b/>
                <w:bCs/>
                <w:sz w:val="21"/>
                <w:szCs w:val="21"/>
                <w:lang w:val="en-US" w:eastAsia="zh-CN"/>
              </w:rPr>
              <w:t>公司</w:t>
            </w:r>
            <w:r>
              <w:rPr>
                <w:rFonts w:hint="eastAsia" w:cs="Times New Roman"/>
                <w:b/>
                <w:bCs/>
                <w:sz w:val="21"/>
                <w:szCs w:val="21"/>
                <w:lang w:val="en-US" w:eastAsia="zh-CN"/>
              </w:rPr>
              <w:t>后续</w:t>
            </w:r>
            <w:r>
              <w:rPr>
                <w:rFonts w:hint="default" w:ascii="Times New Roman" w:hAnsi="Times New Roman" w:eastAsia="宋体" w:cs="Times New Roman"/>
                <w:b/>
                <w:bCs/>
                <w:sz w:val="21"/>
                <w:szCs w:val="21"/>
                <w:lang w:val="en-US" w:eastAsia="zh-CN"/>
              </w:rPr>
              <w:t>股权激励计划</w:t>
            </w:r>
            <w:r>
              <w:rPr>
                <w:rFonts w:hint="eastAsia" w:cs="Times New Roman"/>
                <w:b/>
                <w:bCs/>
                <w:sz w:val="21"/>
                <w:szCs w:val="21"/>
                <w:lang w:val="en-US" w:eastAsia="zh-CN"/>
              </w:rPr>
              <w:t>如何</w:t>
            </w:r>
            <w:r>
              <w:rPr>
                <w:rFonts w:hint="default" w:ascii="Times New Roman" w:hAnsi="Times New Roman" w:eastAsia="宋体" w:cs="Times New Roman"/>
                <w:b/>
                <w:bCs/>
                <w:sz w:val="21"/>
                <w:szCs w:val="21"/>
                <w:lang w:val="en-US" w:eastAsia="zh-CN"/>
              </w:rPr>
              <w:t>？</w:t>
            </w:r>
          </w:p>
          <w:p w14:paraId="468BD4D2">
            <w:pPr>
              <w:spacing w:line="480" w:lineRule="atLeast"/>
              <w:ind w:firstLine="420" w:firstLineChars="200"/>
              <w:rPr>
                <w:rFonts w:hint="default" w:cs="Times New Roman"/>
                <w:bCs/>
                <w:color w:val="auto"/>
                <w:sz w:val="21"/>
                <w:szCs w:val="21"/>
                <w:highlight w:val="none"/>
                <w:lang w:val="en-US" w:eastAsia="zh-CN"/>
              </w:rPr>
            </w:pPr>
            <w:r>
              <w:rPr>
                <w:rFonts w:hint="default" w:cs="Times New Roman"/>
                <w:bCs/>
                <w:color w:val="auto"/>
                <w:sz w:val="21"/>
                <w:szCs w:val="21"/>
                <w:highlight w:val="none"/>
                <w:lang w:val="en-US" w:eastAsia="zh-CN"/>
              </w:rPr>
              <w:t>答：公司</w:t>
            </w:r>
            <w:r>
              <w:rPr>
                <w:rFonts w:hint="eastAsia" w:cs="Times New Roman"/>
                <w:bCs/>
                <w:color w:val="auto"/>
                <w:sz w:val="21"/>
                <w:szCs w:val="21"/>
                <w:highlight w:val="none"/>
                <w:lang w:val="en-US" w:eastAsia="zh-CN"/>
              </w:rPr>
              <w:t>已公示2025年限制性股票激励计划（草案），未来公司视实际情况会适时推进，后续股权激励的具体情况公司将根据相关规定及时进行信息披露，可关注公司后续披露的相关公告。</w:t>
            </w:r>
          </w:p>
          <w:p w14:paraId="7441C6E4">
            <w:pPr>
              <w:keepNext w:val="0"/>
              <w:keepLines w:val="0"/>
              <w:pageBreakBefore w:val="0"/>
              <w:widowControl w:val="0"/>
              <w:kinsoku/>
              <w:wordWrap/>
              <w:overflowPunct/>
              <w:topLinePunct w:val="0"/>
              <w:autoSpaceDE/>
              <w:autoSpaceDN/>
              <w:bidi w:val="0"/>
              <w:adjustRightInd/>
              <w:snapToGrid/>
              <w:spacing w:line="480" w:lineRule="atLeast"/>
              <w:ind w:firstLine="422" w:firstLineChars="200"/>
              <w:textAlignment w:val="auto"/>
              <w:rPr>
                <w:rFonts w:hint="default" w:ascii="Times New Roman" w:hAnsi="Times New Roman" w:eastAsia="宋体" w:cs="Times New Roman"/>
                <w:b/>
                <w:bCs w:val="0"/>
                <w:sz w:val="21"/>
                <w:szCs w:val="21"/>
                <w:highlight w:val="none"/>
                <w:lang w:val="en-US" w:eastAsia="zh-CN"/>
              </w:rPr>
            </w:pPr>
            <w:r>
              <w:rPr>
                <w:rFonts w:hint="default" w:ascii="Times New Roman" w:hAnsi="Times New Roman" w:eastAsia="宋体" w:cs="Times New Roman"/>
                <w:b/>
                <w:bCs w:val="0"/>
                <w:sz w:val="21"/>
                <w:szCs w:val="21"/>
                <w:highlight w:val="none"/>
                <w:lang w:val="en-US" w:eastAsia="zh-CN"/>
              </w:rPr>
              <w:t>问题</w:t>
            </w:r>
            <w:r>
              <w:rPr>
                <w:rFonts w:hint="eastAsia" w:cs="Times New Roman"/>
                <w:b/>
                <w:bCs w:val="0"/>
                <w:sz w:val="21"/>
                <w:szCs w:val="21"/>
                <w:highlight w:val="none"/>
                <w:lang w:val="en-US" w:eastAsia="zh-CN"/>
              </w:rPr>
              <w:t>7</w:t>
            </w:r>
            <w:r>
              <w:rPr>
                <w:rFonts w:hint="default" w:ascii="Times New Roman" w:hAnsi="Times New Roman" w:eastAsia="宋体" w:cs="Times New Roman"/>
                <w:b/>
                <w:bCs w:val="0"/>
                <w:sz w:val="21"/>
                <w:szCs w:val="21"/>
                <w:highlight w:val="none"/>
                <w:lang w:val="en-US" w:eastAsia="zh-CN"/>
              </w:rPr>
              <w:t>.公司如何增强市场竞争力？</w:t>
            </w:r>
          </w:p>
          <w:p w14:paraId="6C51B796">
            <w:pPr>
              <w:keepNext w:val="0"/>
              <w:keepLines w:val="0"/>
              <w:pageBreakBefore w:val="0"/>
              <w:widowControl w:val="0"/>
              <w:kinsoku/>
              <w:wordWrap/>
              <w:overflowPunct/>
              <w:topLinePunct w:val="0"/>
              <w:autoSpaceDE/>
              <w:autoSpaceDN/>
              <w:bidi w:val="0"/>
              <w:adjustRightInd/>
              <w:snapToGrid/>
              <w:spacing w:line="480" w:lineRule="atLeast"/>
              <w:ind w:firstLine="420" w:firstLineChars="200"/>
              <w:textAlignment w:val="auto"/>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lang w:val="en-US" w:eastAsia="zh-CN"/>
              </w:rPr>
              <w:t>答：公司在不断提高技术创新和产品研发的基础上，发挥成本领先的优势，整合线上线下资源，实现生产流程的自动化、智能化，提升生产、运营效率和产品质量，不断推动产业链上下游紧密合作，优化供应链管理</w:t>
            </w:r>
            <w:r>
              <w:rPr>
                <w:rFonts w:hint="eastAsia" w:cs="Times New Roman"/>
                <w:bCs/>
                <w:sz w:val="21"/>
                <w:szCs w:val="21"/>
                <w:highlight w:val="none"/>
                <w:lang w:val="en-US" w:eastAsia="zh-CN"/>
              </w:rPr>
              <w:t>。</w:t>
            </w:r>
            <w:r>
              <w:rPr>
                <w:rFonts w:hint="default" w:ascii="Times New Roman" w:hAnsi="Times New Roman" w:eastAsia="宋体" w:cs="Times New Roman"/>
                <w:bCs/>
                <w:sz w:val="21"/>
                <w:szCs w:val="21"/>
                <w:highlight w:val="none"/>
                <w:lang w:val="en-US" w:eastAsia="zh-CN"/>
              </w:rPr>
              <w:t>同时，注重人才培养和引进，建立科学的绩效考核体系，激发员工的积极性和创造力</w:t>
            </w:r>
            <w:r>
              <w:rPr>
                <w:rFonts w:hint="eastAsia" w:cs="Times New Roman"/>
                <w:bCs/>
                <w:sz w:val="21"/>
                <w:szCs w:val="21"/>
                <w:highlight w:val="none"/>
                <w:lang w:val="en-US" w:eastAsia="zh-CN"/>
              </w:rPr>
              <w:t>，</w:t>
            </w:r>
            <w:r>
              <w:rPr>
                <w:rFonts w:hint="default" w:ascii="Times New Roman" w:hAnsi="Times New Roman" w:eastAsia="宋体" w:cs="Times New Roman"/>
                <w:bCs/>
                <w:sz w:val="21"/>
                <w:szCs w:val="21"/>
                <w:highlight w:val="none"/>
                <w:lang w:val="en-US" w:eastAsia="zh-CN"/>
              </w:rPr>
              <w:t>增强市场竞争力。</w:t>
            </w:r>
          </w:p>
        </w:tc>
      </w:tr>
      <w:tr w14:paraId="1AB2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31" w:type="dxa"/>
            <w:shd w:val="clear" w:color="auto" w:fill="auto"/>
            <w:vAlign w:val="center"/>
          </w:tcPr>
          <w:p w14:paraId="4B9085C3">
            <w:pP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附件清单（如有）</w:t>
            </w:r>
          </w:p>
        </w:tc>
        <w:tc>
          <w:tcPr>
            <w:tcW w:w="6693" w:type="dxa"/>
            <w:shd w:val="clear" w:color="auto" w:fill="auto"/>
          </w:tcPr>
          <w:p w14:paraId="492409B8">
            <w:pPr>
              <w:spacing w:line="480" w:lineRule="atLeast"/>
              <w:rPr>
                <w:rFonts w:hint="default" w:ascii="Times New Roman" w:hAnsi="Times New Roman" w:eastAsia="宋体" w:cs="Times New Roman"/>
                <w:bCs/>
                <w:iCs/>
                <w:sz w:val="24"/>
                <w:szCs w:val="24"/>
                <w:highlight w:val="none"/>
              </w:rPr>
            </w:pPr>
            <w:r>
              <w:rPr>
                <w:rFonts w:hint="default" w:ascii="Times New Roman" w:hAnsi="Times New Roman" w:eastAsia="宋体" w:cs="Times New Roman"/>
                <w:bCs/>
                <w:iCs/>
                <w:sz w:val="24"/>
                <w:szCs w:val="24"/>
                <w:highlight w:val="none"/>
              </w:rPr>
              <w:t>无</w:t>
            </w:r>
          </w:p>
        </w:tc>
      </w:tr>
      <w:tr w14:paraId="7613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31" w:type="dxa"/>
            <w:shd w:val="clear" w:color="auto" w:fill="auto"/>
            <w:vAlign w:val="center"/>
          </w:tcPr>
          <w:p w14:paraId="200518C6">
            <w:pPr>
              <w:rPr>
                <w:rFonts w:hint="default" w:ascii="Times New Roman" w:hAnsi="Times New Roman" w:eastAsia="宋体" w:cs="Times New Roman"/>
                <w:b/>
                <w:bCs/>
                <w:iCs/>
                <w:sz w:val="24"/>
                <w:szCs w:val="24"/>
                <w:highlight w:val="none"/>
              </w:rPr>
            </w:pPr>
            <w:r>
              <w:rPr>
                <w:rFonts w:hint="default" w:ascii="Times New Roman" w:hAnsi="Times New Roman" w:eastAsia="宋体" w:cs="Times New Roman"/>
                <w:b/>
                <w:bCs/>
                <w:iCs/>
                <w:sz w:val="24"/>
                <w:szCs w:val="24"/>
                <w:highlight w:val="none"/>
              </w:rPr>
              <w:t>日期</w:t>
            </w:r>
          </w:p>
        </w:tc>
        <w:tc>
          <w:tcPr>
            <w:tcW w:w="6693" w:type="dxa"/>
            <w:shd w:val="clear" w:color="auto" w:fill="auto"/>
          </w:tcPr>
          <w:p w14:paraId="2D5C90DC">
            <w:pPr>
              <w:spacing w:line="480" w:lineRule="atLeast"/>
              <w:rPr>
                <w:rFonts w:hint="default" w:ascii="Times New Roman" w:hAnsi="Times New Roman" w:eastAsia="宋体" w:cs="Times New Roman"/>
                <w:bCs/>
                <w:iCs/>
                <w:sz w:val="24"/>
                <w:szCs w:val="24"/>
                <w:highlight w:val="none"/>
              </w:rPr>
            </w:pPr>
            <w:r>
              <w:rPr>
                <w:rFonts w:hint="default" w:ascii="Times New Roman" w:hAnsi="Times New Roman" w:eastAsia="宋体" w:cs="Times New Roman"/>
                <w:bCs/>
                <w:iCs/>
                <w:sz w:val="24"/>
                <w:szCs w:val="24"/>
                <w:highlight w:val="none"/>
              </w:rPr>
              <w:t>202</w:t>
            </w:r>
            <w:r>
              <w:rPr>
                <w:rFonts w:hint="default" w:ascii="Times New Roman" w:hAnsi="Times New Roman" w:eastAsia="宋体" w:cs="Times New Roman"/>
                <w:bCs/>
                <w:iCs/>
                <w:sz w:val="24"/>
                <w:szCs w:val="24"/>
                <w:highlight w:val="none"/>
                <w:lang w:val="en-US" w:eastAsia="zh-CN"/>
              </w:rPr>
              <w:t>5</w:t>
            </w:r>
            <w:r>
              <w:rPr>
                <w:rFonts w:hint="default" w:ascii="Times New Roman" w:hAnsi="Times New Roman" w:eastAsia="宋体" w:cs="Times New Roman"/>
                <w:bCs/>
                <w:iCs/>
                <w:sz w:val="24"/>
                <w:szCs w:val="24"/>
                <w:highlight w:val="none"/>
              </w:rPr>
              <w:t>年</w:t>
            </w:r>
            <w:r>
              <w:rPr>
                <w:rFonts w:hint="default" w:ascii="Times New Roman" w:hAnsi="Times New Roman" w:eastAsia="宋体" w:cs="Times New Roman"/>
                <w:bCs/>
                <w:iCs/>
                <w:sz w:val="24"/>
                <w:szCs w:val="24"/>
                <w:highlight w:val="none"/>
                <w:lang w:val="en-US" w:eastAsia="zh-CN"/>
              </w:rPr>
              <w:t>3</w:t>
            </w:r>
            <w:r>
              <w:rPr>
                <w:rFonts w:hint="default" w:ascii="Times New Roman" w:hAnsi="Times New Roman" w:eastAsia="宋体" w:cs="Times New Roman"/>
                <w:bCs/>
                <w:iCs/>
                <w:sz w:val="24"/>
                <w:szCs w:val="24"/>
                <w:highlight w:val="none"/>
              </w:rPr>
              <w:t>月</w:t>
            </w:r>
            <w:r>
              <w:rPr>
                <w:rFonts w:hint="default" w:ascii="Times New Roman" w:hAnsi="Times New Roman" w:eastAsia="宋体" w:cs="Times New Roman"/>
                <w:bCs/>
                <w:iCs/>
                <w:sz w:val="24"/>
                <w:szCs w:val="24"/>
                <w:highlight w:val="none"/>
                <w:lang w:val="en-US" w:eastAsia="zh-CN"/>
              </w:rPr>
              <w:t>31</w:t>
            </w:r>
            <w:r>
              <w:rPr>
                <w:rFonts w:hint="default" w:ascii="Times New Roman" w:hAnsi="Times New Roman" w:eastAsia="宋体" w:cs="Times New Roman"/>
                <w:bCs/>
                <w:iCs/>
                <w:sz w:val="24"/>
                <w:szCs w:val="24"/>
                <w:highlight w:val="none"/>
              </w:rPr>
              <w:t>日</w:t>
            </w:r>
          </w:p>
        </w:tc>
      </w:tr>
    </w:tbl>
    <w:p w14:paraId="39E63244"/>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FD9D2">
    <w:pPr>
      <w:pStyle w:val="6"/>
      <w:jc w:val="right"/>
      <w:rPr>
        <w:rFonts w:hint="default" w:ascii="Times New Roman" w:hAnsi="Times New Roman" w:eastAsia="宋体" w:cs="Times New Roman"/>
      </w:rPr>
    </w:pPr>
    <w:r>
      <w:rPr>
        <w:rFonts w:hint="default" w:ascii="Times New Roman" w:hAnsi="Times New Roman" w:eastAsia="宋体" w:cs="Times New Roman"/>
      </w:rPr>
      <w:t>上海众辰电子科技股份有限公司                                            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52f356e8-add8-4349-8ff1-b4dc8bdfd79c"/>
  </w:docVars>
  <w:rsids>
    <w:rsidRoot w:val="00172A27"/>
    <w:rsid w:val="000565DC"/>
    <w:rsid w:val="00092053"/>
    <w:rsid w:val="00166557"/>
    <w:rsid w:val="0018312A"/>
    <w:rsid w:val="001D4ADB"/>
    <w:rsid w:val="00402F61"/>
    <w:rsid w:val="00411A75"/>
    <w:rsid w:val="0046506B"/>
    <w:rsid w:val="004F0A61"/>
    <w:rsid w:val="00653D79"/>
    <w:rsid w:val="00680E7F"/>
    <w:rsid w:val="006B0E6C"/>
    <w:rsid w:val="006D1231"/>
    <w:rsid w:val="007B407F"/>
    <w:rsid w:val="008920C5"/>
    <w:rsid w:val="008E2BC5"/>
    <w:rsid w:val="009A4CA5"/>
    <w:rsid w:val="009B7193"/>
    <w:rsid w:val="009C7866"/>
    <w:rsid w:val="00AC58D7"/>
    <w:rsid w:val="00AF6C6D"/>
    <w:rsid w:val="00B2505B"/>
    <w:rsid w:val="00B30337"/>
    <w:rsid w:val="00B540CC"/>
    <w:rsid w:val="00C42A9B"/>
    <w:rsid w:val="00CA6687"/>
    <w:rsid w:val="00D06850"/>
    <w:rsid w:val="00E60C15"/>
    <w:rsid w:val="00EB1B10"/>
    <w:rsid w:val="00F61AF7"/>
    <w:rsid w:val="00F675BC"/>
    <w:rsid w:val="00F720A8"/>
    <w:rsid w:val="00F95FEB"/>
    <w:rsid w:val="00FA3AAA"/>
    <w:rsid w:val="00FC21CF"/>
    <w:rsid w:val="00FF0C19"/>
    <w:rsid w:val="01093B6E"/>
    <w:rsid w:val="011E18ED"/>
    <w:rsid w:val="02EA163C"/>
    <w:rsid w:val="03FA51FB"/>
    <w:rsid w:val="04436C46"/>
    <w:rsid w:val="05BB1BD7"/>
    <w:rsid w:val="05C30D61"/>
    <w:rsid w:val="068211CF"/>
    <w:rsid w:val="06B222FA"/>
    <w:rsid w:val="080C703A"/>
    <w:rsid w:val="087501C3"/>
    <w:rsid w:val="0A7F3435"/>
    <w:rsid w:val="0B470434"/>
    <w:rsid w:val="0B8A7D10"/>
    <w:rsid w:val="0BCD125C"/>
    <w:rsid w:val="0C34090D"/>
    <w:rsid w:val="0CC92A71"/>
    <w:rsid w:val="0D183D8B"/>
    <w:rsid w:val="0D452E2D"/>
    <w:rsid w:val="0E595BC6"/>
    <w:rsid w:val="0E5B7130"/>
    <w:rsid w:val="10C7426A"/>
    <w:rsid w:val="115C4482"/>
    <w:rsid w:val="11F64B82"/>
    <w:rsid w:val="13604754"/>
    <w:rsid w:val="13C8383F"/>
    <w:rsid w:val="14602C66"/>
    <w:rsid w:val="149F423A"/>
    <w:rsid w:val="14F72CE0"/>
    <w:rsid w:val="15B34AF1"/>
    <w:rsid w:val="1627271C"/>
    <w:rsid w:val="16D70D7D"/>
    <w:rsid w:val="16DE2BC4"/>
    <w:rsid w:val="17012C29"/>
    <w:rsid w:val="19391F6F"/>
    <w:rsid w:val="19E90F59"/>
    <w:rsid w:val="1A672A67"/>
    <w:rsid w:val="1B102525"/>
    <w:rsid w:val="1B261D69"/>
    <w:rsid w:val="1D14408D"/>
    <w:rsid w:val="1D3F34AD"/>
    <w:rsid w:val="202B49F4"/>
    <w:rsid w:val="21EB0D61"/>
    <w:rsid w:val="22160D89"/>
    <w:rsid w:val="22421B7E"/>
    <w:rsid w:val="24B84E11"/>
    <w:rsid w:val="24F82837"/>
    <w:rsid w:val="26C542A8"/>
    <w:rsid w:val="2706257E"/>
    <w:rsid w:val="2737217F"/>
    <w:rsid w:val="2A7F631A"/>
    <w:rsid w:val="2AE03121"/>
    <w:rsid w:val="2BC04A6E"/>
    <w:rsid w:val="2C7C1ECF"/>
    <w:rsid w:val="2C7E555C"/>
    <w:rsid w:val="2C821659"/>
    <w:rsid w:val="2D1A7DEE"/>
    <w:rsid w:val="2DA35A77"/>
    <w:rsid w:val="2E047BD1"/>
    <w:rsid w:val="2E27684E"/>
    <w:rsid w:val="2E8B02C4"/>
    <w:rsid w:val="321734B9"/>
    <w:rsid w:val="32426A3D"/>
    <w:rsid w:val="333F7FD5"/>
    <w:rsid w:val="34022063"/>
    <w:rsid w:val="34B54432"/>
    <w:rsid w:val="34D62501"/>
    <w:rsid w:val="356D0CEC"/>
    <w:rsid w:val="373508A1"/>
    <w:rsid w:val="37612D27"/>
    <w:rsid w:val="37E22162"/>
    <w:rsid w:val="38D91782"/>
    <w:rsid w:val="391E6CF1"/>
    <w:rsid w:val="394C6185"/>
    <w:rsid w:val="3A2F2590"/>
    <w:rsid w:val="3A913796"/>
    <w:rsid w:val="3AB47BB5"/>
    <w:rsid w:val="3ADB0022"/>
    <w:rsid w:val="3CC26B75"/>
    <w:rsid w:val="3DC21304"/>
    <w:rsid w:val="3E045AE2"/>
    <w:rsid w:val="3E68661E"/>
    <w:rsid w:val="3F4723C7"/>
    <w:rsid w:val="3F9E5416"/>
    <w:rsid w:val="41DD74CB"/>
    <w:rsid w:val="44B41139"/>
    <w:rsid w:val="450D1447"/>
    <w:rsid w:val="461D4D99"/>
    <w:rsid w:val="47C24987"/>
    <w:rsid w:val="48EB6B27"/>
    <w:rsid w:val="490B1212"/>
    <w:rsid w:val="49505D45"/>
    <w:rsid w:val="4968007F"/>
    <w:rsid w:val="4A7A6712"/>
    <w:rsid w:val="4B8802B7"/>
    <w:rsid w:val="4BA6349A"/>
    <w:rsid w:val="4BC15244"/>
    <w:rsid w:val="4E193FE2"/>
    <w:rsid w:val="4F396D3B"/>
    <w:rsid w:val="4FE70DC0"/>
    <w:rsid w:val="500B2A9A"/>
    <w:rsid w:val="50357D7D"/>
    <w:rsid w:val="516218D8"/>
    <w:rsid w:val="517E5198"/>
    <w:rsid w:val="52347D05"/>
    <w:rsid w:val="54C11A5A"/>
    <w:rsid w:val="553B5E36"/>
    <w:rsid w:val="57501673"/>
    <w:rsid w:val="57F35B2F"/>
    <w:rsid w:val="586821D1"/>
    <w:rsid w:val="58AB0605"/>
    <w:rsid w:val="5B9B6887"/>
    <w:rsid w:val="5C07178B"/>
    <w:rsid w:val="5CAC147C"/>
    <w:rsid w:val="5D5A52C7"/>
    <w:rsid w:val="5D6B6F1D"/>
    <w:rsid w:val="5DD44657"/>
    <w:rsid w:val="5DD84D9A"/>
    <w:rsid w:val="5E5A354E"/>
    <w:rsid w:val="5EBA2D29"/>
    <w:rsid w:val="5F557F50"/>
    <w:rsid w:val="5FBA73F7"/>
    <w:rsid w:val="608A3882"/>
    <w:rsid w:val="61B43F40"/>
    <w:rsid w:val="61F5760A"/>
    <w:rsid w:val="624F4E02"/>
    <w:rsid w:val="62665D49"/>
    <w:rsid w:val="628E43A4"/>
    <w:rsid w:val="62B018AC"/>
    <w:rsid w:val="63051288"/>
    <w:rsid w:val="630B6247"/>
    <w:rsid w:val="63E3081D"/>
    <w:rsid w:val="65167D25"/>
    <w:rsid w:val="65FF07B9"/>
    <w:rsid w:val="667F74FA"/>
    <w:rsid w:val="672B05D7"/>
    <w:rsid w:val="674029B8"/>
    <w:rsid w:val="67605F69"/>
    <w:rsid w:val="67BF03B8"/>
    <w:rsid w:val="684A2553"/>
    <w:rsid w:val="6A48145B"/>
    <w:rsid w:val="6A9B0A1F"/>
    <w:rsid w:val="6C7A22BA"/>
    <w:rsid w:val="6CE2041F"/>
    <w:rsid w:val="6F02719B"/>
    <w:rsid w:val="6F36762E"/>
    <w:rsid w:val="6F982034"/>
    <w:rsid w:val="6F9F63A2"/>
    <w:rsid w:val="7029650C"/>
    <w:rsid w:val="702B30AF"/>
    <w:rsid w:val="709B74C7"/>
    <w:rsid w:val="70DE7F6D"/>
    <w:rsid w:val="75D51F38"/>
    <w:rsid w:val="75DC0CF0"/>
    <w:rsid w:val="75F578B3"/>
    <w:rsid w:val="760065B4"/>
    <w:rsid w:val="7654746C"/>
    <w:rsid w:val="78553271"/>
    <w:rsid w:val="78561B30"/>
    <w:rsid w:val="798B570F"/>
    <w:rsid w:val="79A14880"/>
    <w:rsid w:val="7A096F1C"/>
    <w:rsid w:val="7A3F777B"/>
    <w:rsid w:val="7ACF3CD9"/>
    <w:rsid w:val="7B2C3ACF"/>
    <w:rsid w:val="7B51340D"/>
    <w:rsid w:val="7B85578D"/>
    <w:rsid w:val="7C546FA5"/>
    <w:rsid w:val="7C9D7B59"/>
    <w:rsid w:val="7CE56941"/>
    <w:rsid w:val="7DA71A0B"/>
    <w:rsid w:val="7DE619CF"/>
    <w:rsid w:val="7EA026FF"/>
    <w:rsid w:val="7F9041E2"/>
    <w:rsid w:val="7FD32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unhideWhenUsed/>
    <w:qFormat/>
    <w:uiPriority w:val="0"/>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annotation subject"/>
    <w:basedOn w:val="3"/>
    <w:next w:val="3"/>
    <w:link w:val="24"/>
    <w:semiHidden/>
    <w:unhideWhenUsed/>
    <w:qFormat/>
    <w:uiPriority w:val="99"/>
    <w:rPr>
      <w:b/>
      <w:bCs/>
    </w:rPr>
  </w:style>
  <w:style w:type="character" w:styleId="11">
    <w:name w:val="Strong"/>
    <w:basedOn w:val="10"/>
    <w:qFormat/>
    <w:uiPriority w:val="22"/>
    <w:rPr>
      <w:b/>
    </w:rPr>
  </w:style>
  <w:style w:type="character" w:styleId="12">
    <w:name w:val="Emphasis"/>
    <w:basedOn w:val="10"/>
    <w:qFormat/>
    <w:uiPriority w:val="20"/>
    <w:rPr>
      <w:i/>
    </w:rPr>
  </w:style>
  <w:style w:type="character" w:styleId="13">
    <w:name w:val="annotation reference"/>
    <w:basedOn w:val="10"/>
    <w:semiHidden/>
    <w:unhideWhenUsed/>
    <w:qFormat/>
    <w:uiPriority w:val="99"/>
    <w:rPr>
      <w:sz w:val="21"/>
      <w:szCs w:val="21"/>
    </w:rPr>
  </w:style>
  <w:style w:type="character" w:customStyle="1" w:styleId="14">
    <w:name w:val="标题 2 字符"/>
    <w:basedOn w:val="10"/>
    <w:link w:val="2"/>
    <w:qFormat/>
    <w:uiPriority w:val="9"/>
    <w:rPr>
      <w:rFonts w:asciiTheme="majorHAnsi" w:hAnsiTheme="majorHAnsi" w:eastAsiaTheme="majorEastAsia" w:cstheme="majorBidi"/>
      <w:b/>
      <w:bCs/>
      <w:sz w:val="32"/>
      <w:szCs w:val="32"/>
    </w:rPr>
  </w:style>
  <w:style w:type="character" w:customStyle="1" w:styleId="15">
    <w:name w:val="批注框文本 字符"/>
    <w:basedOn w:val="10"/>
    <w:link w:val="4"/>
    <w:semiHidden/>
    <w:qFormat/>
    <w:uiPriority w:val="99"/>
    <w:rPr>
      <w:rFonts w:ascii="Times New Roman" w:hAnsi="Times New Roman" w:eastAsia="宋体" w:cs="Times New Roman"/>
      <w:sz w:val="18"/>
      <w:szCs w:val="18"/>
    </w:rPr>
  </w:style>
  <w:style w:type="character" w:customStyle="1" w:styleId="16">
    <w:name w:val="页眉 字符"/>
    <w:basedOn w:val="10"/>
    <w:link w:val="6"/>
    <w:qFormat/>
    <w:uiPriority w:val="99"/>
    <w:rPr>
      <w:rFonts w:ascii="Times New Roman" w:hAnsi="Times New Roman" w:eastAsia="宋体" w:cs="Times New Roman"/>
      <w:sz w:val="18"/>
      <w:szCs w:val="18"/>
    </w:rPr>
  </w:style>
  <w:style w:type="character" w:customStyle="1" w:styleId="17">
    <w:name w:val="页脚 字符"/>
    <w:basedOn w:val="10"/>
    <w:link w:val="5"/>
    <w:qFormat/>
    <w:uiPriority w:val="99"/>
    <w:rPr>
      <w:rFonts w:ascii="Times New Roman" w:hAnsi="Times New Roman" w:eastAsia="宋体" w:cs="Times New Roman"/>
      <w:sz w:val="18"/>
      <w:szCs w:val="18"/>
    </w:rPr>
  </w:style>
  <w:style w:type="paragraph" w:customStyle="1" w:styleId="18">
    <w:name w:val="Table Text"/>
    <w:basedOn w:val="1"/>
    <w:semiHidden/>
    <w:qFormat/>
    <w:uiPriority w:val="0"/>
    <w:rPr>
      <w:rFonts w:ascii="宋体" w:hAnsi="宋体" w:cs="宋体"/>
      <w:sz w:val="24"/>
      <w:szCs w:val="24"/>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styleId="20">
    <w:name w:val="List Paragraph"/>
    <w:basedOn w:val="1"/>
    <w:qFormat/>
    <w:uiPriority w:val="99"/>
    <w:pPr>
      <w:ind w:firstLine="420" w:firstLineChars="200"/>
    </w:pPr>
  </w:style>
  <w:style w:type="paragraph" w:customStyle="1" w:styleId="21">
    <w:name w:val="005正文"/>
    <w:basedOn w:val="1"/>
    <w:qFormat/>
    <w:uiPriority w:val="0"/>
    <w:pPr>
      <w:spacing w:before="50" w:beforeLines="50" w:line="360" w:lineRule="auto"/>
      <w:ind w:firstLine="200" w:firstLineChars="200"/>
    </w:pPr>
    <w:rPr>
      <w:sz w:val="24"/>
    </w:rPr>
  </w:style>
  <w:style w:type="paragraph" w:customStyle="1" w:styleId="22">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23">
    <w:name w:val="批注文字 字符"/>
    <w:basedOn w:val="10"/>
    <w:link w:val="3"/>
    <w:qFormat/>
    <w:uiPriority w:val="0"/>
    <w:rPr>
      <w:kern w:val="2"/>
      <w:sz w:val="21"/>
    </w:rPr>
  </w:style>
  <w:style w:type="character" w:customStyle="1" w:styleId="24">
    <w:name w:val="批注主题 字符"/>
    <w:basedOn w:val="23"/>
    <w:link w:val="8"/>
    <w:semiHidden/>
    <w:qFormat/>
    <w:uiPriority w:val="99"/>
    <w:rPr>
      <w:b/>
      <w:bCs/>
      <w:kern w:val="2"/>
      <w:sz w:val="21"/>
    </w:rPr>
  </w:style>
  <w:style w:type="paragraph" w:customStyle="1" w:styleId="25">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6">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1524</Words>
  <Characters>1621</Characters>
  <Lines>13</Lines>
  <Paragraphs>3</Paragraphs>
  <TotalTime>7</TotalTime>
  <ScaleCrop>false</ScaleCrop>
  <LinksUpToDate>false</LinksUpToDate>
  <CharactersWithSpaces>1760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2023-09-27T10:28:00Z</dcterms:created>
  <dc:creator>张园园</dc:creator>
  <cp:lastModifiedBy>夏雨荷Yevoon</cp:lastModifiedBy>
  <dcterms:modified xsi:type="dcterms:W3CDTF">2025-03-31T06:12:04Z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D121737524C44C4CBA5D6966ED4FC01E_13</vt:lpwstr>
  </property>
  <property fmtid="{D5CDD505-2E9C-101B-9397-08002B2CF9AE}" pid="4" name="KSOTemplateDocerSaveRecord">
    <vt:lpwstr>eyJoZGlkIjoiOTcxMDIyYmIwY2U5Y2M5NGY5NTkzNmJhMGE4OGZkYjQiLCJ1c2VySWQiOiIzODIwMzkwMDMifQ==</vt:lpwstr>
  </property>
</Properties>
</file>