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FA425" w14:textId="77777777" w:rsidR="00D52F3D" w:rsidRDefault="001614D3">
      <w:pPr>
        <w:spacing w:beforeLines="50" w:before="156" w:afterLines="50" w:after="156" w:line="400" w:lineRule="exact"/>
        <w:ind w:firstLineChars="200" w:firstLine="480"/>
        <w:rPr>
          <w:rFonts w:ascii="宋体" w:hAnsi="宋体"/>
          <w:bCs/>
          <w:iCs/>
          <w:color w:val="000000"/>
          <w:sz w:val="24"/>
        </w:rPr>
      </w:pPr>
      <w:r>
        <w:rPr>
          <w:rFonts w:ascii="宋体" w:hAnsi="宋体" w:hint="eastAsia"/>
          <w:bCs/>
          <w:iCs/>
          <w:color w:val="000000"/>
          <w:sz w:val="24"/>
        </w:rPr>
        <w:t>证券代码：603738                         证券简称：泰晶科技</w:t>
      </w:r>
    </w:p>
    <w:p w14:paraId="7179BD76" w14:textId="77777777" w:rsidR="00D52F3D" w:rsidRDefault="00D52F3D">
      <w:pPr>
        <w:spacing w:beforeLines="50" w:before="156" w:afterLines="50" w:after="156" w:line="400" w:lineRule="exact"/>
        <w:ind w:firstLineChars="300" w:firstLine="720"/>
        <w:rPr>
          <w:rFonts w:ascii="宋体" w:hAnsi="宋体"/>
          <w:bCs/>
          <w:iCs/>
          <w:color w:val="000000"/>
          <w:sz w:val="24"/>
        </w:rPr>
      </w:pPr>
    </w:p>
    <w:p w14:paraId="169880CE" w14:textId="77777777" w:rsidR="00D52F3D" w:rsidRDefault="001614D3">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泰晶科技股份有限公司投资者关系活动记录表</w:t>
      </w:r>
    </w:p>
    <w:p w14:paraId="2138A153" w14:textId="04A291CB" w:rsidR="00D52F3D" w:rsidRDefault="001614D3">
      <w:pPr>
        <w:spacing w:line="400" w:lineRule="exact"/>
        <w:rPr>
          <w:rFonts w:ascii="宋体" w:hAnsi="宋体"/>
          <w:bCs/>
          <w:iCs/>
          <w:color w:val="000000"/>
          <w:sz w:val="24"/>
        </w:rPr>
      </w:pPr>
      <w:r>
        <w:rPr>
          <w:rFonts w:ascii="宋体" w:hAnsi="宋体" w:hint="eastAsia"/>
          <w:bCs/>
          <w:iCs/>
          <w:color w:val="000000"/>
          <w:sz w:val="24"/>
        </w:rPr>
        <w:t xml:space="preserve">                                                       编号：2025-00</w:t>
      </w:r>
      <w:r w:rsidR="009E6B2F">
        <w:rPr>
          <w:rFonts w:ascii="宋体" w:hAnsi="宋体" w:hint="eastAsia"/>
          <w:bCs/>
          <w:iCs/>
          <w:color w:val="000000"/>
          <w:sz w:val="24"/>
        </w:rPr>
        <w:t>3</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610"/>
      </w:tblGrid>
      <w:tr w:rsidR="00D52F3D" w14:paraId="7F70BD1D" w14:textId="77777777" w:rsidTr="008A56C0">
        <w:tc>
          <w:tcPr>
            <w:tcW w:w="1122" w:type="pct"/>
            <w:vAlign w:val="center"/>
          </w:tcPr>
          <w:p w14:paraId="037F9771" w14:textId="77777777" w:rsidR="00D52F3D" w:rsidRDefault="001614D3">
            <w:pPr>
              <w:spacing w:line="480" w:lineRule="atLeast"/>
              <w:rPr>
                <w:rFonts w:ascii="宋体" w:hAnsi="宋体"/>
                <w:b/>
                <w:bCs/>
                <w:iCs/>
                <w:color w:val="000000"/>
                <w:sz w:val="24"/>
              </w:rPr>
            </w:pPr>
            <w:r>
              <w:rPr>
                <w:rFonts w:ascii="宋体" w:hAnsi="宋体" w:hint="eastAsia"/>
                <w:b/>
                <w:bCs/>
                <w:iCs/>
                <w:color w:val="000000"/>
                <w:sz w:val="24"/>
              </w:rPr>
              <w:t>投资者关系活动类别</w:t>
            </w:r>
          </w:p>
          <w:p w14:paraId="6C5706C3" w14:textId="77777777" w:rsidR="00D52F3D" w:rsidRDefault="00D52F3D">
            <w:pPr>
              <w:spacing w:line="480" w:lineRule="atLeast"/>
              <w:rPr>
                <w:rFonts w:ascii="宋体" w:hAnsi="宋体"/>
                <w:b/>
                <w:bCs/>
                <w:iCs/>
                <w:color w:val="000000"/>
                <w:sz w:val="24"/>
              </w:rPr>
            </w:pPr>
          </w:p>
        </w:tc>
        <w:tc>
          <w:tcPr>
            <w:tcW w:w="3878" w:type="pct"/>
          </w:tcPr>
          <w:p w14:paraId="7452BC0D" w14:textId="77777777" w:rsidR="00D52F3D" w:rsidRDefault="001614D3">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00A094D4" w14:textId="77777777" w:rsidR="00D52F3D" w:rsidRDefault="001614D3">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媒体采访            </w:t>
            </w:r>
            <w:r>
              <w:rPr>
                <w:rFonts w:ascii="宋体" w:hAnsi="宋体" w:hint="eastAsia"/>
                <w:bCs/>
                <w:iCs/>
                <w:color w:val="000000"/>
                <w:sz w:val="24"/>
              </w:rPr>
              <w:sym w:font="Wingdings 2" w:char="00A3"/>
            </w:r>
            <w:r>
              <w:rPr>
                <w:rFonts w:ascii="宋体" w:hAnsi="宋体" w:hint="eastAsia"/>
                <w:sz w:val="24"/>
              </w:rPr>
              <w:t>业绩说明会</w:t>
            </w:r>
          </w:p>
          <w:p w14:paraId="187E7E30" w14:textId="77777777" w:rsidR="00D52F3D" w:rsidRDefault="001614D3">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61F8DA63" w14:textId="77777777" w:rsidR="00D52F3D" w:rsidRDefault="001614D3">
            <w:pPr>
              <w:tabs>
                <w:tab w:val="left" w:pos="3045"/>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现场参观</w:t>
            </w:r>
            <w:r>
              <w:rPr>
                <w:rFonts w:ascii="宋体" w:hAnsi="宋体"/>
                <w:bCs/>
                <w:iCs/>
                <w:color w:val="000000"/>
                <w:sz w:val="24"/>
              </w:rPr>
              <w:tab/>
            </w:r>
          </w:p>
          <w:p w14:paraId="219132C8" w14:textId="77777777" w:rsidR="00D52F3D" w:rsidRDefault="001614D3">
            <w:pPr>
              <w:tabs>
                <w:tab w:val="center" w:pos="3199"/>
              </w:tabs>
              <w:spacing w:line="480" w:lineRule="atLeast"/>
              <w:rPr>
                <w:rFonts w:ascii="宋体" w:hAnsi="宋体"/>
                <w:bCs/>
                <w:iCs/>
                <w:color w:val="000000"/>
                <w:sz w:val="24"/>
              </w:rPr>
            </w:pPr>
            <w:r>
              <w:rPr>
                <w:rFonts w:ascii="宋体" w:hAnsi="宋体"/>
                <w:bCs/>
                <w:iCs/>
                <w:kern w:val="0"/>
                <w:sz w:val="24"/>
              </w:rPr>
              <w:fldChar w:fldCharType="begin"/>
            </w:r>
            <w:r>
              <w:rPr>
                <w:rFonts w:ascii="宋体" w:hAnsi="宋体" w:hint="eastAsia"/>
                <w:bCs/>
                <w:iCs/>
                <w:kern w:val="0"/>
                <w:sz w:val="24"/>
              </w:rPr>
              <w:instrText>eq \o\ac(□)</w:instrText>
            </w:r>
            <w:r>
              <w:rPr>
                <w:rFonts w:ascii="宋体" w:hAnsi="宋体"/>
                <w:bCs/>
                <w:iCs/>
                <w:kern w:val="0"/>
                <w:sz w:val="24"/>
              </w:rPr>
              <w:fldChar w:fldCharType="end"/>
            </w:r>
            <w:r>
              <w:rPr>
                <w:rFonts w:ascii="宋体" w:hAnsi="宋体" w:hint="eastAsia"/>
                <w:sz w:val="24"/>
              </w:rPr>
              <w:t xml:space="preserve">其他 </w:t>
            </w:r>
          </w:p>
        </w:tc>
      </w:tr>
      <w:tr w:rsidR="00D52F3D" w14:paraId="3B85F3BD" w14:textId="77777777" w:rsidTr="008A56C0">
        <w:tc>
          <w:tcPr>
            <w:tcW w:w="1122" w:type="pct"/>
            <w:vAlign w:val="center"/>
          </w:tcPr>
          <w:p w14:paraId="4557E662" w14:textId="77777777" w:rsidR="00D52F3D" w:rsidRDefault="001614D3">
            <w:pPr>
              <w:spacing w:line="480" w:lineRule="atLeast"/>
              <w:rPr>
                <w:rFonts w:ascii="宋体" w:hAnsi="宋体"/>
                <w:b/>
                <w:bCs/>
                <w:iCs/>
                <w:color w:val="000000"/>
                <w:sz w:val="24"/>
              </w:rPr>
            </w:pPr>
            <w:r>
              <w:rPr>
                <w:rFonts w:ascii="宋体" w:hAnsi="宋体" w:hint="eastAsia"/>
                <w:b/>
                <w:bCs/>
                <w:iCs/>
                <w:color w:val="000000"/>
                <w:sz w:val="24"/>
              </w:rPr>
              <w:t>参与单位名称及人员姓名</w:t>
            </w:r>
          </w:p>
        </w:tc>
        <w:tc>
          <w:tcPr>
            <w:tcW w:w="3878" w:type="pct"/>
          </w:tcPr>
          <w:p w14:paraId="47802A50" w14:textId="77777777" w:rsidR="00D52F3D" w:rsidRDefault="001614D3">
            <w:pPr>
              <w:spacing w:line="480" w:lineRule="atLeast"/>
              <w:rPr>
                <w:rFonts w:ascii="宋体" w:hAnsi="宋体"/>
                <w:bCs/>
                <w:iCs/>
                <w:sz w:val="24"/>
              </w:rPr>
            </w:pPr>
            <w:r>
              <w:rPr>
                <w:rFonts w:ascii="宋体" w:hAnsi="宋体" w:hint="eastAsia"/>
                <w:bCs/>
                <w:iCs/>
                <w:sz w:val="24"/>
              </w:rPr>
              <w:t>太平基金、信达澳银、财通资管、富国基金、平安养老、西部利得、淳厚基金等</w:t>
            </w:r>
          </w:p>
        </w:tc>
      </w:tr>
      <w:tr w:rsidR="00D52F3D" w14:paraId="3551C00D" w14:textId="77777777" w:rsidTr="008A56C0">
        <w:tc>
          <w:tcPr>
            <w:tcW w:w="1122" w:type="pct"/>
            <w:vAlign w:val="center"/>
          </w:tcPr>
          <w:p w14:paraId="09BED18C" w14:textId="77777777" w:rsidR="00D52F3D" w:rsidRDefault="001614D3">
            <w:pPr>
              <w:spacing w:line="480" w:lineRule="atLeast"/>
              <w:rPr>
                <w:rFonts w:ascii="宋体" w:hAnsi="宋体"/>
                <w:b/>
                <w:bCs/>
                <w:iCs/>
                <w:color w:val="000000"/>
                <w:sz w:val="24"/>
              </w:rPr>
            </w:pPr>
            <w:r>
              <w:rPr>
                <w:rFonts w:ascii="宋体" w:hAnsi="宋体" w:hint="eastAsia"/>
                <w:b/>
                <w:bCs/>
                <w:iCs/>
                <w:color w:val="000000"/>
                <w:sz w:val="24"/>
              </w:rPr>
              <w:t>时间</w:t>
            </w:r>
          </w:p>
        </w:tc>
        <w:tc>
          <w:tcPr>
            <w:tcW w:w="3878" w:type="pct"/>
          </w:tcPr>
          <w:p w14:paraId="26D68824" w14:textId="77777777" w:rsidR="00D52F3D" w:rsidRDefault="001614D3">
            <w:pPr>
              <w:spacing w:line="480" w:lineRule="atLeast"/>
              <w:rPr>
                <w:rFonts w:ascii="宋体" w:hAnsi="宋体"/>
                <w:bCs/>
                <w:iCs/>
                <w:sz w:val="24"/>
              </w:rPr>
            </w:pPr>
            <w:r>
              <w:rPr>
                <w:rFonts w:ascii="宋体" w:hAnsi="宋体" w:hint="eastAsia"/>
                <w:bCs/>
                <w:iCs/>
                <w:sz w:val="24"/>
              </w:rPr>
              <w:t>2025年3月27日-2025年3月28日</w:t>
            </w:r>
          </w:p>
        </w:tc>
      </w:tr>
      <w:tr w:rsidR="00D52F3D" w14:paraId="74992690" w14:textId="77777777" w:rsidTr="008A56C0">
        <w:tc>
          <w:tcPr>
            <w:tcW w:w="1122" w:type="pct"/>
            <w:vAlign w:val="center"/>
          </w:tcPr>
          <w:p w14:paraId="5AF49239" w14:textId="77777777" w:rsidR="00D52F3D" w:rsidRDefault="001614D3">
            <w:pPr>
              <w:spacing w:line="480" w:lineRule="atLeast"/>
              <w:rPr>
                <w:rFonts w:ascii="宋体" w:hAnsi="宋体"/>
                <w:b/>
                <w:bCs/>
                <w:iCs/>
                <w:color w:val="000000"/>
                <w:sz w:val="24"/>
              </w:rPr>
            </w:pPr>
            <w:r>
              <w:rPr>
                <w:rFonts w:ascii="宋体" w:hAnsi="宋体" w:hint="eastAsia"/>
                <w:b/>
                <w:bCs/>
                <w:iCs/>
                <w:color w:val="000000"/>
                <w:sz w:val="24"/>
              </w:rPr>
              <w:t>地点</w:t>
            </w:r>
          </w:p>
        </w:tc>
        <w:tc>
          <w:tcPr>
            <w:tcW w:w="3878" w:type="pct"/>
          </w:tcPr>
          <w:p w14:paraId="22959F6A" w14:textId="77777777" w:rsidR="00D52F3D" w:rsidRDefault="001614D3">
            <w:pPr>
              <w:spacing w:line="480" w:lineRule="atLeast"/>
              <w:rPr>
                <w:rFonts w:ascii="宋体" w:hAnsi="宋体"/>
                <w:bCs/>
                <w:iCs/>
                <w:sz w:val="24"/>
              </w:rPr>
            </w:pPr>
            <w:r>
              <w:rPr>
                <w:rFonts w:ascii="宋体" w:hAnsi="宋体" w:hint="eastAsia"/>
                <w:bCs/>
                <w:iCs/>
                <w:sz w:val="24"/>
              </w:rPr>
              <w:t>上海各机构办公室</w:t>
            </w:r>
          </w:p>
        </w:tc>
      </w:tr>
      <w:tr w:rsidR="00D52F3D" w14:paraId="795C8C9C" w14:textId="77777777" w:rsidTr="008A56C0">
        <w:tc>
          <w:tcPr>
            <w:tcW w:w="1122" w:type="pct"/>
            <w:vAlign w:val="center"/>
          </w:tcPr>
          <w:p w14:paraId="6CF2B5E5" w14:textId="77777777" w:rsidR="00D52F3D" w:rsidRDefault="001614D3">
            <w:pPr>
              <w:spacing w:line="480" w:lineRule="atLeast"/>
              <w:rPr>
                <w:rFonts w:ascii="宋体" w:hAnsi="宋体"/>
                <w:b/>
                <w:bCs/>
                <w:iCs/>
                <w:color w:val="000000"/>
                <w:sz w:val="24"/>
              </w:rPr>
            </w:pPr>
            <w:r>
              <w:rPr>
                <w:rFonts w:ascii="宋体" w:hAnsi="宋体" w:hint="eastAsia"/>
                <w:b/>
                <w:bCs/>
                <w:iCs/>
                <w:color w:val="000000"/>
                <w:sz w:val="24"/>
              </w:rPr>
              <w:t>上市公司接待人员姓名</w:t>
            </w:r>
          </w:p>
        </w:tc>
        <w:tc>
          <w:tcPr>
            <w:tcW w:w="3878" w:type="pct"/>
          </w:tcPr>
          <w:p w14:paraId="433D397E" w14:textId="77777777" w:rsidR="00D52F3D" w:rsidRDefault="001614D3">
            <w:pPr>
              <w:spacing w:line="480" w:lineRule="atLeast"/>
              <w:rPr>
                <w:rFonts w:ascii="宋体" w:hAnsi="宋体"/>
                <w:bCs/>
                <w:iCs/>
                <w:color w:val="000000"/>
                <w:kern w:val="0"/>
                <w:sz w:val="24"/>
              </w:rPr>
            </w:pPr>
            <w:r>
              <w:rPr>
                <w:rFonts w:ascii="宋体" w:hAnsi="宋体" w:hint="eastAsia"/>
                <w:bCs/>
                <w:iCs/>
                <w:color w:val="000000"/>
                <w:kern w:val="0"/>
                <w:sz w:val="24"/>
              </w:rPr>
              <w:t>董事会秘书：黄晓辉女士</w:t>
            </w:r>
          </w:p>
        </w:tc>
      </w:tr>
      <w:tr w:rsidR="00D52F3D" w14:paraId="3E91F4EB" w14:textId="77777777" w:rsidTr="008A56C0">
        <w:trPr>
          <w:trHeight w:val="1757"/>
        </w:trPr>
        <w:tc>
          <w:tcPr>
            <w:tcW w:w="1122" w:type="pct"/>
            <w:vAlign w:val="center"/>
          </w:tcPr>
          <w:p w14:paraId="2F869672" w14:textId="77777777" w:rsidR="00D52F3D" w:rsidRDefault="001614D3">
            <w:pPr>
              <w:spacing w:line="480" w:lineRule="atLeast"/>
              <w:rPr>
                <w:rFonts w:ascii="宋体" w:hAnsi="宋体"/>
                <w:b/>
                <w:bCs/>
                <w:iCs/>
                <w:color w:val="000000"/>
                <w:sz w:val="24"/>
              </w:rPr>
            </w:pPr>
            <w:r>
              <w:rPr>
                <w:rFonts w:ascii="宋体" w:hAnsi="宋体" w:hint="eastAsia"/>
                <w:b/>
                <w:bCs/>
                <w:iCs/>
                <w:color w:val="000000"/>
                <w:sz w:val="24"/>
              </w:rPr>
              <w:t>投资者关系活动主要内容介绍</w:t>
            </w:r>
          </w:p>
          <w:p w14:paraId="25606E79" w14:textId="77777777" w:rsidR="00D52F3D" w:rsidRDefault="00D52F3D">
            <w:pPr>
              <w:spacing w:line="480" w:lineRule="atLeast"/>
              <w:rPr>
                <w:rFonts w:ascii="宋体" w:hAnsi="宋体"/>
                <w:b/>
                <w:bCs/>
                <w:iCs/>
                <w:color w:val="000000"/>
                <w:sz w:val="24"/>
              </w:rPr>
            </w:pPr>
          </w:p>
        </w:tc>
        <w:tc>
          <w:tcPr>
            <w:tcW w:w="3878" w:type="pct"/>
          </w:tcPr>
          <w:p w14:paraId="7890B087"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1、下游需求有何边际变化和展望？</w:t>
            </w:r>
          </w:p>
          <w:p w14:paraId="56F4CC80" w14:textId="08AE17E1" w:rsidR="00325C36"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公司下游覆盖物联网、手机、笔电、网通、智能家居、工控、电力、新能源、智能汽车等各行业，随着国产化进程加速，客户端渗透率及市场占有率逐步提高。从市场应用来看，下游部分领域已积极变化，如手机、笔电、物联网，会随国产替代需求提增量及AIoT催生更多智能化应用，端到端的连接要求使得硬件需求增多，提升晶振的单机价值和销量；随着汽车智能化、电动化升级，车规级晶振应用量增长；公司新导入的客户供给量不断提高；在物联网领域，以蜂窝类模组为代表的客户，随着WiFi、5G模块等应用增长提增量；卫星导航、高精度定位等对TCXO拉动能见度相对高；此外表计类产品注重晶振品质，国产替代诉求较高，未来渗透率将会不断提升。</w:t>
            </w:r>
          </w:p>
          <w:p w14:paraId="19D6D427" w14:textId="77777777" w:rsidR="000370F0" w:rsidRPr="00325C36" w:rsidRDefault="000370F0">
            <w:pPr>
              <w:adjustRightInd w:val="0"/>
              <w:snapToGrid w:val="0"/>
              <w:spacing w:line="460" w:lineRule="exact"/>
              <w:rPr>
                <w:rFonts w:ascii="宋体" w:hAnsi="宋体"/>
                <w:bCs/>
                <w:iCs/>
                <w:color w:val="000000"/>
                <w:kern w:val="0"/>
                <w:sz w:val="24"/>
              </w:rPr>
            </w:pPr>
          </w:p>
          <w:p w14:paraId="594A7EBE"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lastRenderedPageBreak/>
              <w:t>2、公司在主流芯片平台的认证是否都已通过？</w:t>
            </w:r>
          </w:p>
          <w:p w14:paraId="27B97670"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答：晶振与芯片强绑定，上游需芯片端认证，下游与终端配套，公司已完成国内外消费级、工业级、汽车级主流芯片厂适配认证，如高通手机平台、高通智能座舱76.8M认证，WiFi6、WiFi7 高基频，以及5G、5GRedcap、PCIE等主流芯片方案认证。未来将更好的承接客户的产品需求。</w:t>
            </w:r>
          </w:p>
          <w:p w14:paraId="2BC8CCED" w14:textId="77777777" w:rsidR="00D52F3D" w:rsidRDefault="00D52F3D">
            <w:pPr>
              <w:adjustRightInd w:val="0"/>
              <w:snapToGrid w:val="0"/>
              <w:spacing w:line="460" w:lineRule="exact"/>
              <w:rPr>
                <w:rFonts w:ascii="宋体" w:hAnsi="宋体"/>
                <w:bCs/>
                <w:iCs/>
                <w:color w:val="000000"/>
                <w:kern w:val="0"/>
                <w:sz w:val="24"/>
              </w:rPr>
            </w:pPr>
          </w:p>
          <w:p w14:paraId="52922CCC"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3、公司在手机市场的渗透率情况？</w:t>
            </w:r>
          </w:p>
          <w:p w14:paraId="17F12270" w14:textId="1B1100CE"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公司积极配套主流芯片厂商认证，AI在终端的应用增加产品销量，提升晶振的单机价值和销量，相关业务会随国产化需求增多有进一步的复苏和增长。此外，卫星通话功能拉动TCXO需求的增加，带来单机价值提升；ODM厂商增加市场份额，手机市场的整体渗透率提升。</w:t>
            </w:r>
          </w:p>
          <w:p w14:paraId="4A410683" w14:textId="77777777" w:rsidR="00D52F3D" w:rsidRDefault="00D52F3D">
            <w:pPr>
              <w:adjustRightInd w:val="0"/>
              <w:snapToGrid w:val="0"/>
              <w:spacing w:line="460" w:lineRule="exact"/>
              <w:rPr>
                <w:rFonts w:ascii="宋体" w:hAnsi="宋体"/>
                <w:bCs/>
                <w:iCs/>
                <w:color w:val="000000"/>
                <w:kern w:val="0"/>
                <w:sz w:val="24"/>
              </w:rPr>
            </w:pPr>
          </w:p>
          <w:p w14:paraId="2D19ECB5"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4、</w:t>
            </w:r>
            <w:r>
              <w:rPr>
                <w:rFonts w:ascii="宋体" w:hAnsi="宋体"/>
                <w:bCs/>
                <w:iCs/>
                <w:color w:val="000000"/>
                <w:kern w:val="0"/>
                <w:sz w:val="24"/>
              </w:rPr>
              <w:t>AI端侧应用落地会给公司带来哪些新的机会？</w:t>
            </w:r>
          </w:p>
          <w:p w14:paraId="19188EAE"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w:t>
            </w:r>
            <w:r>
              <w:rPr>
                <w:rFonts w:ascii="宋体" w:hAnsi="宋体"/>
                <w:bCs/>
                <w:iCs/>
                <w:color w:val="000000"/>
                <w:kern w:val="0"/>
                <w:sz w:val="24"/>
              </w:rPr>
              <w:t>AI推动移动终端智能化，相关应用如AI眼镜、AI手机等渗透量显著提升，带动高性能晶振用量同步提升，且相比于传统终端，AI终端或将具备更多接口、传感器，无线SOC实现“连接+处理”</w:t>
            </w:r>
            <w:r>
              <w:rPr>
                <w:rFonts w:ascii="宋体" w:hAnsi="宋体" w:hint="eastAsia"/>
                <w:bCs/>
                <w:iCs/>
                <w:color w:val="000000"/>
                <w:kern w:val="0"/>
                <w:sz w:val="24"/>
              </w:rPr>
              <w:t>。</w:t>
            </w:r>
            <w:r>
              <w:rPr>
                <w:rFonts w:ascii="宋体" w:hAnsi="宋体"/>
                <w:bCs/>
                <w:iCs/>
                <w:color w:val="000000"/>
                <w:kern w:val="0"/>
                <w:sz w:val="24"/>
              </w:rPr>
              <w:t>公司作为AIoT上游元器件制造商，搭载蜂窝类及无线通讯模组主芯片方案，并作为全球少数具备AI算力芯片对智能硬件性能提升及低功耗要求配套能力的晶体厂商，公司的高基频、超精度、小尺寸产品具备先发优势、将成为国产替代产业链相关晶振选型的首要参与者和受益者。</w:t>
            </w:r>
          </w:p>
          <w:p w14:paraId="28C8924A" w14:textId="77777777" w:rsidR="00D52F3D" w:rsidRDefault="00D52F3D">
            <w:pPr>
              <w:adjustRightInd w:val="0"/>
              <w:snapToGrid w:val="0"/>
              <w:spacing w:line="460" w:lineRule="exact"/>
              <w:rPr>
                <w:rFonts w:ascii="宋体" w:hAnsi="宋体"/>
                <w:bCs/>
                <w:iCs/>
                <w:color w:val="000000"/>
                <w:kern w:val="0"/>
                <w:sz w:val="24"/>
              </w:rPr>
            </w:pPr>
          </w:p>
          <w:p w14:paraId="44F23A77"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5、晶振在AI服务器中的应用情况？</w:t>
            </w:r>
          </w:p>
          <w:p w14:paraId="3F4A00D6" w14:textId="4DE56750"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w:t>
            </w:r>
            <w:r w:rsidR="00BA1A08" w:rsidRPr="00BA1A08">
              <w:rPr>
                <w:rFonts w:ascii="宋体" w:hAnsi="宋体" w:hint="eastAsia"/>
                <w:bCs/>
                <w:iCs/>
                <w:color w:val="000000"/>
                <w:kern w:val="0"/>
                <w:sz w:val="24"/>
              </w:rPr>
              <w:t>晶振在AI服务器中的应用涉及到不同的模块，如CPU、GPU、内存控制器、高速总线等核心部件，每个模块需要不同的时钟频率，需要多晶振配置，用于为AI芯片提供稳定基准时钟，确保多计算单元同步处理，差分类晶振减少信号传输过程中线路带进来的干扰信号，支持高速总线互连同步等。AI</w:t>
            </w:r>
            <w:r w:rsidR="00BA1A08" w:rsidRPr="00BA1A08">
              <w:rPr>
                <w:rFonts w:ascii="宋体" w:hAnsi="宋体" w:hint="eastAsia"/>
                <w:bCs/>
                <w:iCs/>
                <w:color w:val="000000"/>
                <w:kern w:val="0"/>
                <w:sz w:val="24"/>
              </w:rPr>
              <w:lastRenderedPageBreak/>
              <w:t>服务器通常处理大量数据，对计算速度和稳定性要求更高，需要更高的基频（如100MHz以上）、更高的精度、更高的稳定性（保障训练稳定性）和更低功耗（降低待机能耗）等高附加值石英晶体频率元器件需求量，通过提高基频的频率</w:t>
            </w:r>
            <w:r w:rsidR="00BA1A08">
              <w:rPr>
                <w:rFonts w:ascii="宋体" w:hAnsi="宋体" w:hint="eastAsia"/>
                <w:bCs/>
                <w:iCs/>
                <w:color w:val="000000"/>
                <w:kern w:val="0"/>
                <w:sz w:val="24"/>
              </w:rPr>
              <w:t>，减少主频的倍频次数，降低主频的底部噪声，达到降低误码率的效果</w:t>
            </w:r>
            <w:r>
              <w:rPr>
                <w:rFonts w:ascii="宋体" w:hAnsi="宋体" w:hint="eastAsia"/>
                <w:bCs/>
                <w:iCs/>
                <w:color w:val="000000"/>
                <w:kern w:val="0"/>
                <w:sz w:val="24"/>
              </w:rPr>
              <w:t>。</w:t>
            </w:r>
          </w:p>
          <w:p w14:paraId="3F6FD56A" w14:textId="77777777" w:rsidR="00D52F3D" w:rsidRDefault="00D52F3D">
            <w:pPr>
              <w:adjustRightInd w:val="0"/>
              <w:snapToGrid w:val="0"/>
              <w:spacing w:line="460" w:lineRule="exact"/>
              <w:rPr>
                <w:rFonts w:ascii="宋体" w:hAnsi="宋体"/>
                <w:bCs/>
                <w:iCs/>
                <w:color w:val="000000"/>
                <w:kern w:val="0"/>
                <w:sz w:val="24"/>
              </w:rPr>
            </w:pPr>
          </w:p>
          <w:p w14:paraId="477C9BF7"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6、服务器的主频率会达到GHz，这种主频与晶振频率有何关系？</w:t>
            </w:r>
          </w:p>
          <w:p w14:paraId="669FC5C0" w14:textId="3AFCACDA"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w:t>
            </w:r>
            <w:r w:rsidR="00BA1A08" w:rsidRPr="00BA1A08">
              <w:rPr>
                <w:rFonts w:ascii="宋体" w:hAnsi="宋体" w:hint="eastAsia"/>
                <w:bCs/>
                <w:iCs/>
                <w:color w:val="000000"/>
                <w:kern w:val="0"/>
                <w:sz w:val="24"/>
              </w:rPr>
              <w:t>服务器所用芯片主频时钟主要是基于外部提供的晶体谐振器或晶体振荡器按照芯片内部处理速度要求进行一定的倍频而上去的，其精度和稳定性主要取决于外部晶体振荡器精度和稳定性。主频是处理器每秒可以执行的指令周期数</w:t>
            </w:r>
            <w:r w:rsidR="00F30EE2">
              <w:rPr>
                <w:rFonts w:ascii="宋体" w:hAnsi="宋体" w:hint="eastAsia"/>
                <w:bCs/>
                <w:iCs/>
                <w:color w:val="000000"/>
                <w:kern w:val="0"/>
                <w:sz w:val="24"/>
              </w:rPr>
              <w:t>，</w:t>
            </w:r>
            <w:r w:rsidR="00BA1A08" w:rsidRPr="00BA1A08">
              <w:rPr>
                <w:rFonts w:ascii="宋体" w:hAnsi="宋体" w:hint="eastAsia"/>
                <w:bCs/>
                <w:iCs/>
                <w:color w:val="000000"/>
                <w:kern w:val="0"/>
                <w:sz w:val="24"/>
              </w:rPr>
              <w:t>通常以GHz为单位，决定了计算机能力和响应速度。晶振频率则通常以MHz为单位，服务器时钟架构，晶振作为本振源，提供基准时钟频率源参考。主频和晶振频率是倍数关系，复杂的系统中，会使用多个晶振来提供不同的时钟频率。处理器通过锁相环（PLL）倍频技术或变频技术实现主频率提升，以此保证系统核心性能，满足各功能模块不同时钟需求</w:t>
            </w:r>
            <w:r w:rsidR="001D5900" w:rsidRPr="001D5900">
              <w:rPr>
                <w:rFonts w:ascii="宋体" w:hAnsi="宋体" w:hint="eastAsia"/>
                <w:bCs/>
                <w:iCs/>
                <w:color w:val="000000"/>
                <w:kern w:val="0"/>
                <w:sz w:val="24"/>
              </w:rPr>
              <w:t>。</w:t>
            </w:r>
          </w:p>
          <w:p w14:paraId="57284571" w14:textId="77777777" w:rsidR="00D52F3D" w:rsidRDefault="00D52F3D">
            <w:pPr>
              <w:adjustRightInd w:val="0"/>
              <w:snapToGrid w:val="0"/>
              <w:spacing w:line="460" w:lineRule="exact"/>
              <w:rPr>
                <w:rFonts w:ascii="宋体" w:hAnsi="宋体"/>
                <w:bCs/>
                <w:iCs/>
                <w:color w:val="000000"/>
                <w:kern w:val="0"/>
                <w:sz w:val="24"/>
              </w:rPr>
            </w:pPr>
          </w:p>
          <w:p w14:paraId="0D4887DA"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7、公司产品在机器人领域有何应用？</w:t>
            </w:r>
          </w:p>
          <w:p w14:paraId="5F50F88D"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答：公司积极探索和布局机器人产业相关的应用，晶振在人形机器人的控制系统、传感器同步等方面具有重要作用,具体应用数量依方案设计而定。</w:t>
            </w:r>
          </w:p>
          <w:p w14:paraId="133A5743" w14:textId="77777777" w:rsidR="00D52F3D" w:rsidRDefault="00D52F3D">
            <w:pPr>
              <w:adjustRightInd w:val="0"/>
              <w:snapToGrid w:val="0"/>
              <w:spacing w:line="460" w:lineRule="exact"/>
              <w:rPr>
                <w:rFonts w:ascii="宋体" w:hAnsi="宋体"/>
                <w:bCs/>
                <w:iCs/>
                <w:color w:val="000000"/>
                <w:kern w:val="0"/>
                <w:sz w:val="24"/>
              </w:rPr>
            </w:pPr>
          </w:p>
          <w:p w14:paraId="62400953"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8、当前库存结构是怎样的？</w:t>
            </w:r>
          </w:p>
          <w:p w14:paraId="59DDB89C" w14:textId="3C5E472D"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w:t>
            </w:r>
            <w:r>
              <w:rPr>
                <w:rFonts w:ascii="宋体" w:hAnsi="宋体"/>
                <w:bCs/>
                <w:iCs/>
                <w:color w:val="000000"/>
                <w:kern w:val="0"/>
                <w:sz w:val="24"/>
              </w:rPr>
              <w:t>存货方面，与行业整体的高库存有所不同，截止2024年三季度末，公司存货2.24亿元，其中原材料占比约60%，发出商品和在产品占比约30%，库存商品进一步降低，占比不足10%。原材料的增长主要是贵金属等的储备增加，</w:t>
            </w:r>
            <w:r>
              <w:rPr>
                <w:rFonts w:ascii="宋体" w:hAnsi="宋体" w:hint="eastAsia"/>
                <w:bCs/>
                <w:iCs/>
                <w:color w:val="000000"/>
                <w:kern w:val="0"/>
                <w:sz w:val="24"/>
              </w:rPr>
              <w:t>采购价格较低，对冲贵金属价格波动对公司成本的影响。</w:t>
            </w:r>
          </w:p>
          <w:p w14:paraId="51CAE4F6"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lastRenderedPageBreak/>
              <w:t>9、</w:t>
            </w:r>
            <w:r>
              <w:rPr>
                <w:rFonts w:ascii="宋体" w:hAnsi="宋体"/>
                <w:bCs/>
                <w:iCs/>
                <w:color w:val="000000"/>
                <w:kern w:val="0"/>
                <w:sz w:val="24"/>
              </w:rPr>
              <w:t>公司自21年以后，毛利率持续下降，原因是什么？当前毛利率有上行空间吗？</w:t>
            </w:r>
          </w:p>
          <w:p w14:paraId="4BD0142F"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答：1）</w:t>
            </w:r>
            <w:r>
              <w:rPr>
                <w:rFonts w:ascii="宋体" w:hAnsi="宋体"/>
                <w:bCs/>
                <w:iCs/>
                <w:color w:val="000000"/>
                <w:kern w:val="0"/>
                <w:sz w:val="24"/>
              </w:rPr>
              <w:t>22、23年，行业经历了去库存下行周期，价格逐年下滑，影响到毛利率。</w:t>
            </w:r>
          </w:p>
          <w:p w14:paraId="473DB21A"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2）</w:t>
            </w:r>
            <w:r>
              <w:rPr>
                <w:rFonts w:ascii="宋体" w:hAnsi="宋体"/>
                <w:bCs/>
                <w:iCs/>
                <w:color w:val="000000"/>
                <w:kern w:val="0"/>
                <w:sz w:val="24"/>
              </w:rPr>
              <w:t>24年，公司扩产产线，固定资产投资增多带来的费用折旧增大，人力费用增长，产能的爬坡和客户端的验证等因素影响了稼动率，成本端受到影响。</w:t>
            </w:r>
          </w:p>
          <w:p w14:paraId="3075E29D"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3）</w:t>
            </w:r>
            <w:r>
              <w:rPr>
                <w:rFonts w:ascii="宋体" w:hAnsi="宋体"/>
                <w:bCs/>
                <w:iCs/>
                <w:color w:val="000000"/>
                <w:kern w:val="0"/>
                <w:sz w:val="24"/>
              </w:rPr>
              <w:t>公司新扩有源产线及车规产线等，小尺寸、高基频、高稳定性、高精度等高附加值产品结构调优，叠加光刻工艺高壁垒产品增量上行，公司也将把握6G、光通讯、AI、低空飞行等新兴市场带来的发展机遇，高毛利率产品占比有望逐步提升。</w:t>
            </w:r>
          </w:p>
          <w:p w14:paraId="148F4477" w14:textId="77777777" w:rsidR="00D52F3D" w:rsidRDefault="00D52F3D">
            <w:pPr>
              <w:adjustRightInd w:val="0"/>
              <w:snapToGrid w:val="0"/>
              <w:spacing w:line="460" w:lineRule="exact"/>
              <w:rPr>
                <w:rFonts w:ascii="宋体" w:hAnsi="宋体"/>
                <w:bCs/>
                <w:iCs/>
                <w:color w:val="000000"/>
                <w:kern w:val="0"/>
                <w:sz w:val="24"/>
              </w:rPr>
            </w:pPr>
          </w:p>
          <w:p w14:paraId="4C925F9E"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10、公司如何看待25年及更长期的经营发展情况？</w:t>
            </w:r>
          </w:p>
          <w:p w14:paraId="37531DAA" w14:textId="77777777" w:rsidR="00D52F3D" w:rsidRDefault="001614D3">
            <w:pPr>
              <w:adjustRightInd w:val="0"/>
              <w:snapToGrid w:val="0"/>
              <w:spacing w:line="460" w:lineRule="exact"/>
              <w:rPr>
                <w:rFonts w:ascii="宋体" w:hAnsi="宋体"/>
                <w:bCs/>
                <w:iCs/>
                <w:color w:val="000000"/>
                <w:kern w:val="0"/>
                <w:sz w:val="24"/>
              </w:rPr>
            </w:pPr>
            <w:r>
              <w:rPr>
                <w:rFonts w:ascii="宋体" w:hAnsi="宋体" w:hint="eastAsia"/>
                <w:bCs/>
                <w:iCs/>
                <w:color w:val="000000"/>
                <w:kern w:val="0"/>
                <w:sz w:val="24"/>
              </w:rPr>
              <w:t>答：展望2025年，价格方面，</w:t>
            </w:r>
            <w:r>
              <w:rPr>
                <w:rFonts w:ascii="宋体" w:hAnsi="宋体"/>
                <w:bCs/>
                <w:iCs/>
                <w:color w:val="000000"/>
                <w:kern w:val="0"/>
                <w:sz w:val="24"/>
              </w:rPr>
              <w:t>目前处于阶段性的低位。</w:t>
            </w:r>
            <w:r>
              <w:rPr>
                <w:rFonts w:ascii="宋体" w:hAnsi="宋体" w:hint="eastAsia"/>
                <w:bCs/>
                <w:iCs/>
                <w:color w:val="000000"/>
                <w:kern w:val="0"/>
                <w:sz w:val="24"/>
              </w:rPr>
              <w:t>行业中MHz通用型号竞争较为激烈，公司正转向小尺寸、超高频结构调优，同时新增扩产的工业级XO、TCXO有源振荡器、RTC等高附加值产品的研发和资本投入，另一方面加大车规级产品的市场订单，上述产品的价格相对较高。</w:t>
            </w:r>
            <w:r>
              <w:rPr>
                <w:rFonts w:ascii="宋体" w:hAnsi="宋体"/>
                <w:bCs/>
                <w:iCs/>
                <w:color w:val="000000"/>
                <w:kern w:val="0"/>
                <w:sz w:val="24"/>
              </w:rPr>
              <w:t>公司</w:t>
            </w:r>
            <w:r>
              <w:rPr>
                <w:rFonts w:ascii="宋体" w:hAnsi="宋体" w:hint="eastAsia"/>
                <w:bCs/>
                <w:iCs/>
                <w:color w:val="000000"/>
                <w:kern w:val="0"/>
                <w:sz w:val="24"/>
              </w:rPr>
              <w:t>对更长期的发展</w:t>
            </w:r>
            <w:r>
              <w:rPr>
                <w:rFonts w:ascii="宋体" w:hAnsi="宋体"/>
                <w:bCs/>
                <w:iCs/>
                <w:color w:val="000000"/>
                <w:kern w:val="0"/>
                <w:sz w:val="24"/>
              </w:rPr>
              <w:t>保持信心，特别是目前客户验厂、新扩产线稳定供货之后，推动小尺寸、TCXO等产品的出货量。车规系列产品扩产，客户验厂认证完后</w:t>
            </w:r>
            <w:r>
              <w:rPr>
                <w:rFonts w:ascii="宋体" w:hAnsi="宋体" w:hint="eastAsia"/>
                <w:bCs/>
                <w:iCs/>
                <w:color w:val="000000"/>
                <w:kern w:val="0"/>
                <w:sz w:val="24"/>
              </w:rPr>
              <w:t>逐步转销，</w:t>
            </w:r>
            <w:r>
              <w:rPr>
                <w:rFonts w:ascii="宋体" w:hAnsi="宋体"/>
                <w:bCs/>
                <w:iCs/>
                <w:color w:val="000000"/>
                <w:kern w:val="0"/>
                <w:sz w:val="24"/>
              </w:rPr>
              <w:t>贡献增量；AI端侧应用的提振，包括AI端侧部署带来的升级换代需求增加、新型AI硬件产品需求增加，同步带动晶振市场的增量需求。公司业务会有进一步的复苏。</w:t>
            </w:r>
          </w:p>
        </w:tc>
      </w:tr>
      <w:tr w:rsidR="00D52F3D" w14:paraId="7A0B4D43" w14:textId="77777777" w:rsidTr="008A56C0">
        <w:tc>
          <w:tcPr>
            <w:tcW w:w="1122" w:type="pct"/>
            <w:vAlign w:val="center"/>
          </w:tcPr>
          <w:p w14:paraId="0C8CEC75" w14:textId="77777777" w:rsidR="00D52F3D" w:rsidRDefault="001614D3">
            <w:pPr>
              <w:spacing w:line="480" w:lineRule="atLeast"/>
              <w:rPr>
                <w:rFonts w:ascii="宋体" w:hAnsi="宋体"/>
                <w:b/>
                <w:bCs/>
                <w:iCs/>
                <w:color w:val="000000"/>
                <w:sz w:val="24"/>
              </w:rPr>
            </w:pPr>
            <w:r>
              <w:rPr>
                <w:rFonts w:ascii="宋体" w:hAnsi="宋体" w:hint="eastAsia"/>
                <w:b/>
                <w:bCs/>
                <w:iCs/>
                <w:color w:val="000000"/>
                <w:sz w:val="24"/>
              </w:rPr>
              <w:lastRenderedPageBreak/>
              <w:t>附件清单（如有）</w:t>
            </w:r>
          </w:p>
        </w:tc>
        <w:tc>
          <w:tcPr>
            <w:tcW w:w="3878" w:type="pct"/>
          </w:tcPr>
          <w:p w14:paraId="14FAEDA9" w14:textId="77777777" w:rsidR="00D52F3D" w:rsidRDefault="00D52F3D">
            <w:pPr>
              <w:spacing w:line="480" w:lineRule="atLeast"/>
              <w:rPr>
                <w:rFonts w:ascii="宋体" w:hAnsi="宋体"/>
                <w:bCs/>
                <w:iCs/>
                <w:color w:val="000000"/>
                <w:sz w:val="24"/>
              </w:rPr>
            </w:pPr>
          </w:p>
        </w:tc>
      </w:tr>
      <w:tr w:rsidR="00D52F3D" w14:paraId="634D69B2" w14:textId="77777777" w:rsidTr="008A56C0">
        <w:tc>
          <w:tcPr>
            <w:tcW w:w="1122" w:type="pct"/>
            <w:vAlign w:val="center"/>
          </w:tcPr>
          <w:p w14:paraId="61B4D07C" w14:textId="77777777" w:rsidR="00D52F3D" w:rsidRDefault="001614D3">
            <w:pPr>
              <w:spacing w:line="480" w:lineRule="atLeast"/>
              <w:rPr>
                <w:rFonts w:ascii="宋体" w:hAnsi="宋体"/>
                <w:b/>
                <w:bCs/>
                <w:iCs/>
                <w:color w:val="000000"/>
                <w:sz w:val="24"/>
              </w:rPr>
            </w:pPr>
            <w:r>
              <w:rPr>
                <w:rFonts w:ascii="宋体" w:hAnsi="宋体" w:hint="eastAsia"/>
                <w:b/>
                <w:bCs/>
                <w:iCs/>
                <w:color w:val="000000"/>
                <w:sz w:val="24"/>
              </w:rPr>
              <w:t>日期</w:t>
            </w:r>
          </w:p>
        </w:tc>
        <w:tc>
          <w:tcPr>
            <w:tcW w:w="3878" w:type="pct"/>
          </w:tcPr>
          <w:p w14:paraId="5CD6BB2C" w14:textId="77777777" w:rsidR="00D52F3D" w:rsidRDefault="001614D3">
            <w:pPr>
              <w:spacing w:line="480" w:lineRule="atLeast"/>
              <w:rPr>
                <w:rFonts w:ascii="宋体" w:hAnsi="宋体"/>
                <w:bCs/>
                <w:iCs/>
                <w:color w:val="000000"/>
                <w:sz w:val="24"/>
              </w:rPr>
            </w:pPr>
            <w:r>
              <w:rPr>
                <w:rFonts w:ascii="宋体" w:hAnsi="宋体" w:hint="eastAsia"/>
                <w:bCs/>
                <w:iCs/>
                <w:color w:val="000000"/>
                <w:sz w:val="24"/>
              </w:rPr>
              <w:t>2025年3月28日</w:t>
            </w:r>
          </w:p>
        </w:tc>
      </w:tr>
    </w:tbl>
    <w:p w14:paraId="09411795" w14:textId="77777777" w:rsidR="00D52F3D" w:rsidRDefault="00D52F3D"/>
    <w:sectPr w:rsidR="00D52F3D">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456D7" w14:textId="77777777" w:rsidR="00AD2DDE" w:rsidRDefault="00AD2DDE">
      <w:r>
        <w:separator/>
      </w:r>
    </w:p>
  </w:endnote>
  <w:endnote w:type="continuationSeparator" w:id="0">
    <w:p w14:paraId="2D5C9BFC" w14:textId="77777777" w:rsidR="00AD2DDE" w:rsidRDefault="00AD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C3792" w14:textId="77777777" w:rsidR="00D52F3D" w:rsidRDefault="001614D3">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9DD201B" w14:textId="77777777" w:rsidR="00D52F3D" w:rsidRDefault="00D52F3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0D7D2" w14:textId="77777777" w:rsidR="00D52F3D" w:rsidRDefault="001614D3">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E6B2F">
      <w:rPr>
        <w:rStyle w:val="ab"/>
        <w:noProof/>
      </w:rPr>
      <w:t>1</w:t>
    </w:r>
    <w:r>
      <w:rPr>
        <w:rStyle w:val="ab"/>
      </w:rPr>
      <w:fldChar w:fldCharType="end"/>
    </w:r>
  </w:p>
  <w:p w14:paraId="1E56FCF1" w14:textId="77777777" w:rsidR="00D52F3D" w:rsidRDefault="00D52F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F1F7A" w14:textId="77777777" w:rsidR="00AD2DDE" w:rsidRDefault="00AD2DDE">
      <w:r>
        <w:separator/>
      </w:r>
    </w:p>
  </w:footnote>
  <w:footnote w:type="continuationSeparator" w:id="0">
    <w:p w14:paraId="42DDED0E" w14:textId="77777777" w:rsidR="00AD2DDE" w:rsidRDefault="00AD2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MWEyZWQ4YzU1ZWFhYmNlMjBlYTM2OTA5ZDYzOTUifQ=="/>
  </w:docVars>
  <w:rsids>
    <w:rsidRoot w:val="006D3EAE"/>
    <w:rsid w:val="F7FBEACC"/>
    <w:rsid w:val="0002422A"/>
    <w:rsid w:val="00033C92"/>
    <w:rsid w:val="0003665E"/>
    <w:rsid w:val="00036FD6"/>
    <w:rsid w:val="000370F0"/>
    <w:rsid w:val="00043DCC"/>
    <w:rsid w:val="00047EEB"/>
    <w:rsid w:val="00047FA7"/>
    <w:rsid w:val="00051DA3"/>
    <w:rsid w:val="000543A1"/>
    <w:rsid w:val="0005449B"/>
    <w:rsid w:val="0005533C"/>
    <w:rsid w:val="00057CD6"/>
    <w:rsid w:val="000616BE"/>
    <w:rsid w:val="0009696E"/>
    <w:rsid w:val="000A2A2C"/>
    <w:rsid w:val="000B5B6F"/>
    <w:rsid w:val="000B667B"/>
    <w:rsid w:val="000E41A1"/>
    <w:rsid w:val="000F35A4"/>
    <w:rsid w:val="0010130E"/>
    <w:rsid w:val="00106EC0"/>
    <w:rsid w:val="001310A0"/>
    <w:rsid w:val="00141115"/>
    <w:rsid w:val="0014131A"/>
    <w:rsid w:val="00142E04"/>
    <w:rsid w:val="00147F5B"/>
    <w:rsid w:val="00157A8B"/>
    <w:rsid w:val="001614D3"/>
    <w:rsid w:val="00167C66"/>
    <w:rsid w:val="00171E30"/>
    <w:rsid w:val="00176FF8"/>
    <w:rsid w:val="00180343"/>
    <w:rsid w:val="0019600F"/>
    <w:rsid w:val="001A09E6"/>
    <w:rsid w:val="001A316E"/>
    <w:rsid w:val="001C00AD"/>
    <w:rsid w:val="001C5C2F"/>
    <w:rsid w:val="001C762D"/>
    <w:rsid w:val="001C7DCB"/>
    <w:rsid w:val="001D5900"/>
    <w:rsid w:val="001E730A"/>
    <w:rsid w:val="001F04BB"/>
    <w:rsid w:val="001F3B91"/>
    <w:rsid w:val="001F5821"/>
    <w:rsid w:val="00214DB5"/>
    <w:rsid w:val="00216E2E"/>
    <w:rsid w:val="00221A7E"/>
    <w:rsid w:val="00232E0F"/>
    <w:rsid w:val="00242BEE"/>
    <w:rsid w:val="00247BBA"/>
    <w:rsid w:val="00257533"/>
    <w:rsid w:val="00263AFD"/>
    <w:rsid w:val="002B1423"/>
    <w:rsid w:val="002B4AD2"/>
    <w:rsid w:val="002B4F9C"/>
    <w:rsid w:val="002C1730"/>
    <w:rsid w:val="002C4958"/>
    <w:rsid w:val="002C5738"/>
    <w:rsid w:val="002E361B"/>
    <w:rsid w:val="002F3046"/>
    <w:rsid w:val="0030389F"/>
    <w:rsid w:val="0030404F"/>
    <w:rsid w:val="00312F73"/>
    <w:rsid w:val="00320509"/>
    <w:rsid w:val="00322C39"/>
    <w:rsid w:val="00324B05"/>
    <w:rsid w:val="00325388"/>
    <w:rsid w:val="00325583"/>
    <w:rsid w:val="00325C36"/>
    <w:rsid w:val="0032615B"/>
    <w:rsid w:val="00330EDD"/>
    <w:rsid w:val="00335AE1"/>
    <w:rsid w:val="00345BC6"/>
    <w:rsid w:val="00346D53"/>
    <w:rsid w:val="00350BFB"/>
    <w:rsid w:val="003532D4"/>
    <w:rsid w:val="00354292"/>
    <w:rsid w:val="0035766A"/>
    <w:rsid w:val="00363D10"/>
    <w:rsid w:val="00366A68"/>
    <w:rsid w:val="00370F04"/>
    <w:rsid w:val="003710A4"/>
    <w:rsid w:val="00382598"/>
    <w:rsid w:val="00387D2F"/>
    <w:rsid w:val="003B2121"/>
    <w:rsid w:val="003B3123"/>
    <w:rsid w:val="003C1748"/>
    <w:rsid w:val="003C3BED"/>
    <w:rsid w:val="003D4D0E"/>
    <w:rsid w:val="003D7C62"/>
    <w:rsid w:val="003F3780"/>
    <w:rsid w:val="004002A9"/>
    <w:rsid w:val="00401400"/>
    <w:rsid w:val="004153AC"/>
    <w:rsid w:val="0043564B"/>
    <w:rsid w:val="0044301E"/>
    <w:rsid w:val="00463543"/>
    <w:rsid w:val="00463E59"/>
    <w:rsid w:val="00470347"/>
    <w:rsid w:val="0047119B"/>
    <w:rsid w:val="00481D3A"/>
    <w:rsid w:val="00481D43"/>
    <w:rsid w:val="004912B8"/>
    <w:rsid w:val="00492E27"/>
    <w:rsid w:val="00495030"/>
    <w:rsid w:val="004A2DAC"/>
    <w:rsid w:val="004A688C"/>
    <w:rsid w:val="004B1329"/>
    <w:rsid w:val="004B69DB"/>
    <w:rsid w:val="004C47F2"/>
    <w:rsid w:val="004C58E5"/>
    <w:rsid w:val="004C7DCB"/>
    <w:rsid w:val="004D0059"/>
    <w:rsid w:val="004D15AE"/>
    <w:rsid w:val="004F59DC"/>
    <w:rsid w:val="004F60C0"/>
    <w:rsid w:val="00504DD5"/>
    <w:rsid w:val="0051032A"/>
    <w:rsid w:val="0051122E"/>
    <w:rsid w:val="005149BF"/>
    <w:rsid w:val="00517A0F"/>
    <w:rsid w:val="00522531"/>
    <w:rsid w:val="00531225"/>
    <w:rsid w:val="005321F4"/>
    <w:rsid w:val="005435A0"/>
    <w:rsid w:val="00551635"/>
    <w:rsid w:val="005540E9"/>
    <w:rsid w:val="005676AC"/>
    <w:rsid w:val="00570E8D"/>
    <w:rsid w:val="00593B4D"/>
    <w:rsid w:val="0059676E"/>
    <w:rsid w:val="00597970"/>
    <w:rsid w:val="005A2AF7"/>
    <w:rsid w:val="005A352D"/>
    <w:rsid w:val="005A5431"/>
    <w:rsid w:val="005B433E"/>
    <w:rsid w:val="005B5F6A"/>
    <w:rsid w:val="005C39A6"/>
    <w:rsid w:val="005D10DD"/>
    <w:rsid w:val="005D32C3"/>
    <w:rsid w:val="005D7CBD"/>
    <w:rsid w:val="005E6AC2"/>
    <w:rsid w:val="005F1208"/>
    <w:rsid w:val="005F79E8"/>
    <w:rsid w:val="00601016"/>
    <w:rsid w:val="006027B3"/>
    <w:rsid w:val="00604426"/>
    <w:rsid w:val="00607BB4"/>
    <w:rsid w:val="00613D5F"/>
    <w:rsid w:val="00613F24"/>
    <w:rsid w:val="00625DE2"/>
    <w:rsid w:val="006272FE"/>
    <w:rsid w:val="00633B17"/>
    <w:rsid w:val="00636279"/>
    <w:rsid w:val="00641194"/>
    <w:rsid w:val="00641695"/>
    <w:rsid w:val="006522B8"/>
    <w:rsid w:val="0066149A"/>
    <w:rsid w:val="00670D1B"/>
    <w:rsid w:val="006763DD"/>
    <w:rsid w:val="006777B0"/>
    <w:rsid w:val="006A04D0"/>
    <w:rsid w:val="006C2CE9"/>
    <w:rsid w:val="006D3EAE"/>
    <w:rsid w:val="006D578A"/>
    <w:rsid w:val="006F6237"/>
    <w:rsid w:val="006F6E81"/>
    <w:rsid w:val="00700F05"/>
    <w:rsid w:val="007144EE"/>
    <w:rsid w:val="007157EC"/>
    <w:rsid w:val="00735759"/>
    <w:rsid w:val="00747B7E"/>
    <w:rsid w:val="00752EE3"/>
    <w:rsid w:val="00755A0C"/>
    <w:rsid w:val="00755DDB"/>
    <w:rsid w:val="00763D2B"/>
    <w:rsid w:val="00765033"/>
    <w:rsid w:val="00774D04"/>
    <w:rsid w:val="007805FC"/>
    <w:rsid w:val="0078463F"/>
    <w:rsid w:val="007907E7"/>
    <w:rsid w:val="007944D2"/>
    <w:rsid w:val="007A4560"/>
    <w:rsid w:val="007B0188"/>
    <w:rsid w:val="007B32FC"/>
    <w:rsid w:val="007B4198"/>
    <w:rsid w:val="007B49CE"/>
    <w:rsid w:val="007B5C70"/>
    <w:rsid w:val="007C7A19"/>
    <w:rsid w:val="007C7D5E"/>
    <w:rsid w:val="007D742A"/>
    <w:rsid w:val="007F3B7A"/>
    <w:rsid w:val="0080147C"/>
    <w:rsid w:val="00812E24"/>
    <w:rsid w:val="0081588F"/>
    <w:rsid w:val="00817065"/>
    <w:rsid w:val="008201E5"/>
    <w:rsid w:val="00823E6B"/>
    <w:rsid w:val="0082651C"/>
    <w:rsid w:val="0083480F"/>
    <w:rsid w:val="0083688F"/>
    <w:rsid w:val="00843C3B"/>
    <w:rsid w:val="00854E29"/>
    <w:rsid w:val="008826C0"/>
    <w:rsid w:val="00891075"/>
    <w:rsid w:val="0089146B"/>
    <w:rsid w:val="008A56C0"/>
    <w:rsid w:val="008B43E2"/>
    <w:rsid w:val="008B5F10"/>
    <w:rsid w:val="008C20AF"/>
    <w:rsid w:val="008C34BC"/>
    <w:rsid w:val="008C5B65"/>
    <w:rsid w:val="008F1EB3"/>
    <w:rsid w:val="008F4171"/>
    <w:rsid w:val="00911955"/>
    <w:rsid w:val="00920634"/>
    <w:rsid w:val="00924394"/>
    <w:rsid w:val="0092739B"/>
    <w:rsid w:val="0093216C"/>
    <w:rsid w:val="00943AC2"/>
    <w:rsid w:val="00944D8B"/>
    <w:rsid w:val="00955BE1"/>
    <w:rsid w:val="009604BD"/>
    <w:rsid w:val="009611CE"/>
    <w:rsid w:val="0096393C"/>
    <w:rsid w:val="0096623E"/>
    <w:rsid w:val="009741DB"/>
    <w:rsid w:val="009A0B3E"/>
    <w:rsid w:val="009B13DC"/>
    <w:rsid w:val="009B30D7"/>
    <w:rsid w:val="009C731D"/>
    <w:rsid w:val="009D4111"/>
    <w:rsid w:val="009D53CE"/>
    <w:rsid w:val="009D7A54"/>
    <w:rsid w:val="009E2BF0"/>
    <w:rsid w:val="009E42B8"/>
    <w:rsid w:val="009E6B2F"/>
    <w:rsid w:val="009F1528"/>
    <w:rsid w:val="009F4F58"/>
    <w:rsid w:val="00A05754"/>
    <w:rsid w:val="00A063F1"/>
    <w:rsid w:val="00A10DF3"/>
    <w:rsid w:val="00A16C48"/>
    <w:rsid w:val="00A17CD3"/>
    <w:rsid w:val="00A20995"/>
    <w:rsid w:val="00A2208C"/>
    <w:rsid w:val="00A33775"/>
    <w:rsid w:val="00A33820"/>
    <w:rsid w:val="00A35BB3"/>
    <w:rsid w:val="00A43CBC"/>
    <w:rsid w:val="00A44D66"/>
    <w:rsid w:val="00A70D39"/>
    <w:rsid w:val="00A8053C"/>
    <w:rsid w:val="00A810A0"/>
    <w:rsid w:val="00A8188F"/>
    <w:rsid w:val="00A81D05"/>
    <w:rsid w:val="00A832D7"/>
    <w:rsid w:val="00A90603"/>
    <w:rsid w:val="00A92A36"/>
    <w:rsid w:val="00A9753D"/>
    <w:rsid w:val="00A979B9"/>
    <w:rsid w:val="00AA1131"/>
    <w:rsid w:val="00AA36F5"/>
    <w:rsid w:val="00AB6B4B"/>
    <w:rsid w:val="00AC01B8"/>
    <w:rsid w:val="00AC03FA"/>
    <w:rsid w:val="00AD2DDE"/>
    <w:rsid w:val="00AE4A91"/>
    <w:rsid w:val="00AF6BEE"/>
    <w:rsid w:val="00B02803"/>
    <w:rsid w:val="00B11DA7"/>
    <w:rsid w:val="00B16F4E"/>
    <w:rsid w:val="00B23444"/>
    <w:rsid w:val="00B237FB"/>
    <w:rsid w:val="00B422E7"/>
    <w:rsid w:val="00B44335"/>
    <w:rsid w:val="00B456D0"/>
    <w:rsid w:val="00B53A57"/>
    <w:rsid w:val="00B605A2"/>
    <w:rsid w:val="00B67697"/>
    <w:rsid w:val="00B77C55"/>
    <w:rsid w:val="00B965C3"/>
    <w:rsid w:val="00BA1A08"/>
    <w:rsid w:val="00BA2BD2"/>
    <w:rsid w:val="00BA3CA8"/>
    <w:rsid w:val="00BC298D"/>
    <w:rsid w:val="00BC775B"/>
    <w:rsid w:val="00BD1688"/>
    <w:rsid w:val="00C1196D"/>
    <w:rsid w:val="00C12F9B"/>
    <w:rsid w:val="00C14FDD"/>
    <w:rsid w:val="00C17AE6"/>
    <w:rsid w:val="00C27ED8"/>
    <w:rsid w:val="00C36F59"/>
    <w:rsid w:val="00C40C2E"/>
    <w:rsid w:val="00C56AE8"/>
    <w:rsid w:val="00C63EB0"/>
    <w:rsid w:val="00CB1508"/>
    <w:rsid w:val="00CB32FA"/>
    <w:rsid w:val="00CB65CD"/>
    <w:rsid w:val="00CC143B"/>
    <w:rsid w:val="00CC681C"/>
    <w:rsid w:val="00CD1FD8"/>
    <w:rsid w:val="00CD5726"/>
    <w:rsid w:val="00CE427E"/>
    <w:rsid w:val="00CF7981"/>
    <w:rsid w:val="00D05BF4"/>
    <w:rsid w:val="00D1174A"/>
    <w:rsid w:val="00D14D9D"/>
    <w:rsid w:val="00D157FC"/>
    <w:rsid w:val="00D22EB3"/>
    <w:rsid w:val="00D50963"/>
    <w:rsid w:val="00D52F3D"/>
    <w:rsid w:val="00D567D6"/>
    <w:rsid w:val="00D5685D"/>
    <w:rsid w:val="00D573A6"/>
    <w:rsid w:val="00D635A7"/>
    <w:rsid w:val="00D667B8"/>
    <w:rsid w:val="00D7647E"/>
    <w:rsid w:val="00D767B8"/>
    <w:rsid w:val="00D9541B"/>
    <w:rsid w:val="00DA1DAC"/>
    <w:rsid w:val="00DB1AB4"/>
    <w:rsid w:val="00DB4811"/>
    <w:rsid w:val="00DD52E8"/>
    <w:rsid w:val="00DD54AE"/>
    <w:rsid w:val="00DD66E1"/>
    <w:rsid w:val="00DE45B4"/>
    <w:rsid w:val="00DE4F3F"/>
    <w:rsid w:val="00DF37E7"/>
    <w:rsid w:val="00E0447A"/>
    <w:rsid w:val="00E05CC9"/>
    <w:rsid w:val="00E05DD6"/>
    <w:rsid w:val="00E10EB0"/>
    <w:rsid w:val="00E16005"/>
    <w:rsid w:val="00E16816"/>
    <w:rsid w:val="00E20940"/>
    <w:rsid w:val="00E22921"/>
    <w:rsid w:val="00E2418E"/>
    <w:rsid w:val="00E26621"/>
    <w:rsid w:val="00E347EE"/>
    <w:rsid w:val="00E35C59"/>
    <w:rsid w:val="00E43209"/>
    <w:rsid w:val="00E57587"/>
    <w:rsid w:val="00E61D35"/>
    <w:rsid w:val="00E63899"/>
    <w:rsid w:val="00E82133"/>
    <w:rsid w:val="00E85887"/>
    <w:rsid w:val="00E8747A"/>
    <w:rsid w:val="00E90C2C"/>
    <w:rsid w:val="00E92B0E"/>
    <w:rsid w:val="00E948AE"/>
    <w:rsid w:val="00E97A8D"/>
    <w:rsid w:val="00EA1557"/>
    <w:rsid w:val="00EA6D3A"/>
    <w:rsid w:val="00EB2AF6"/>
    <w:rsid w:val="00EC3C7A"/>
    <w:rsid w:val="00EC76BF"/>
    <w:rsid w:val="00ED6465"/>
    <w:rsid w:val="00EE2F1E"/>
    <w:rsid w:val="00EE5373"/>
    <w:rsid w:val="00EE7846"/>
    <w:rsid w:val="00EF5152"/>
    <w:rsid w:val="00F01BC5"/>
    <w:rsid w:val="00F028B0"/>
    <w:rsid w:val="00F062FA"/>
    <w:rsid w:val="00F0631C"/>
    <w:rsid w:val="00F17D5E"/>
    <w:rsid w:val="00F30EE2"/>
    <w:rsid w:val="00F311CC"/>
    <w:rsid w:val="00F3457C"/>
    <w:rsid w:val="00F3565E"/>
    <w:rsid w:val="00F56DE4"/>
    <w:rsid w:val="00F6128B"/>
    <w:rsid w:val="00F6576C"/>
    <w:rsid w:val="00F704A0"/>
    <w:rsid w:val="00F712BF"/>
    <w:rsid w:val="00F7132E"/>
    <w:rsid w:val="00F74BBC"/>
    <w:rsid w:val="00F7647B"/>
    <w:rsid w:val="00F85D5C"/>
    <w:rsid w:val="00F93508"/>
    <w:rsid w:val="00FA0D63"/>
    <w:rsid w:val="00FA2443"/>
    <w:rsid w:val="00FB01B6"/>
    <w:rsid w:val="00FB1FA9"/>
    <w:rsid w:val="00FB26D3"/>
    <w:rsid w:val="00FE1E16"/>
    <w:rsid w:val="00FE379D"/>
    <w:rsid w:val="00FE6076"/>
    <w:rsid w:val="00FE7261"/>
    <w:rsid w:val="02BA156B"/>
    <w:rsid w:val="02DB0E83"/>
    <w:rsid w:val="049B0F0E"/>
    <w:rsid w:val="04AC7907"/>
    <w:rsid w:val="05B73983"/>
    <w:rsid w:val="06E84AEE"/>
    <w:rsid w:val="072C3C39"/>
    <w:rsid w:val="098B7BA9"/>
    <w:rsid w:val="0AAA023B"/>
    <w:rsid w:val="0C1A0F6B"/>
    <w:rsid w:val="0C1F3122"/>
    <w:rsid w:val="0D687B7F"/>
    <w:rsid w:val="0E145E21"/>
    <w:rsid w:val="0E327D5A"/>
    <w:rsid w:val="0E5921C9"/>
    <w:rsid w:val="0FE31A15"/>
    <w:rsid w:val="10555F51"/>
    <w:rsid w:val="107230EC"/>
    <w:rsid w:val="12962CA8"/>
    <w:rsid w:val="12AD205A"/>
    <w:rsid w:val="13047219"/>
    <w:rsid w:val="13B34E50"/>
    <w:rsid w:val="14D03406"/>
    <w:rsid w:val="155737F2"/>
    <w:rsid w:val="158B3DCB"/>
    <w:rsid w:val="15FC7644"/>
    <w:rsid w:val="161B43A6"/>
    <w:rsid w:val="1D3F434C"/>
    <w:rsid w:val="1F1D3483"/>
    <w:rsid w:val="201547FC"/>
    <w:rsid w:val="205B48AC"/>
    <w:rsid w:val="217907FA"/>
    <w:rsid w:val="21EC0C19"/>
    <w:rsid w:val="22F9741B"/>
    <w:rsid w:val="234C24BC"/>
    <w:rsid w:val="23F3266D"/>
    <w:rsid w:val="242F07B1"/>
    <w:rsid w:val="24970DA1"/>
    <w:rsid w:val="24A73F1B"/>
    <w:rsid w:val="24B91D24"/>
    <w:rsid w:val="24E40DF5"/>
    <w:rsid w:val="253054F7"/>
    <w:rsid w:val="25BA5E8D"/>
    <w:rsid w:val="291D347F"/>
    <w:rsid w:val="293242F7"/>
    <w:rsid w:val="2AF924E5"/>
    <w:rsid w:val="2B3A3512"/>
    <w:rsid w:val="2B3E3D93"/>
    <w:rsid w:val="2C322E30"/>
    <w:rsid w:val="2C3F0698"/>
    <w:rsid w:val="2D90520A"/>
    <w:rsid w:val="2E1668D8"/>
    <w:rsid w:val="2F4D005C"/>
    <w:rsid w:val="300E3240"/>
    <w:rsid w:val="30DC3D33"/>
    <w:rsid w:val="30EF03EC"/>
    <w:rsid w:val="3105758E"/>
    <w:rsid w:val="315928F2"/>
    <w:rsid w:val="31B25E22"/>
    <w:rsid w:val="32795A71"/>
    <w:rsid w:val="34A05EB8"/>
    <w:rsid w:val="3531163A"/>
    <w:rsid w:val="35BD1BF4"/>
    <w:rsid w:val="36FF3403"/>
    <w:rsid w:val="387029F0"/>
    <w:rsid w:val="39356E0C"/>
    <w:rsid w:val="39420539"/>
    <w:rsid w:val="39D25CCB"/>
    <w:rsid w:val="3B0077D0"/>
    <w:rsid w:val="3C5C4729"/>
    <w:rsid w:val="3CBB0E0C"/>
    <w:rsid w:val="3E427765"/>
    <w:rsid w:val="3EDE0A5E"/>
    <w:rsid w:val="3EDF23FB"/>
    <w:rsid w:val="3F590348"/>
    <w:rsid w:val="42052447"/>
    <w:rsid w:val="42245B1A"/>
    <w:rsid w:val="42A261A4"/>
    <w:rsid w:val="43F84A84"/>
    <w:rsid w:val="462B1E7A"/>
    <w:rsid w:val="463523CF"/>
    <w:rsid w:val="46386956"/>
    <w:rsid w:val="483726A7"/>
    <w:rsid w:val="4A4E273B"/>
    <w:rsid w:val="4AEC6753"/>
    <w:rsid w:val="4B4A0F2C"/>
    <w:rsid w:val="4C3949FE"/>
    <w:rsid w:val="4CD41005"/>
    <w:rsid w:val="4E5D5E37"/>
    <w:rsid w:val="4F1215C4"/>
    <w:rsid w:val="4FBF3BA0"/>
    <w:rsid w:val="50687D49"/>
    <w:rsid w:val="50947199"/>
    <w:rsid w:val="50E035A2"/>
    <w:rsid w:val="5147196C"/>
    <w:rsid w:val="53B16DA2"/>
    <w:rsid w:val="558665D4"/>
    <w:rsid w:val="55DD63C6"/>
    <w:rsid w:val="56B66209"/>
    <w:rsid w:val="583F2D3F"/>
    <w:rsid w:val="59284319"/>
    <w:rsid w:val="592D6FFC"/>
    <w:rsid w:val="596A0661"/>
    <w:rsid w:val="59BD7A38"/>
    <w:rsid w:val="5A273D56"/>
    <w:rsid w:val="5B3100DB"/>
    <w:rsid w:val="5B876F90"/>
    <w:rsid w:val="5CB91C04"/>
    <w:rsid w:val="5D1A7ECF"/>
    <w:rsid w:val="5FC36030"/>
    <w:rsid w:val="61650F99"/>
    <w:rsid w:val="617751E6"/>
    <w:rsid w:val="64552958"/>
    <w:rsid w:val="66406CDE"/>
    <w:rsid w:val="66D36752"/>
    <w:rsid w:val="670F2044"/>
    <w:rsid w:val="676B56B8"/>
    <w:rsid w:val="67DB6E18"/>
    <w:rsid w:val="68CE07B6"/>
    <w:rsid w:val="68EE6649"/>
    <w:rsid w:val="6910174A"/>
    <w:rsid w:val="6AE30619"/>
    <w:rsid w:val="6B5313CF"/>
    <w:rsid w:val="6B917008"/>
    <w:rsid w:val="6BB20C8A"/>
    <w:rsid w:val="6DB27580"/>
    <w:rsid w:val="6E696CE8"/>
    <w:rsid w:val="701C431A"/>
    <w:rsid w:val="71980D60"/>
    <w:rsid w:val="71D360BD"/>
    <w:rsid w:val="72521545"/>
    <w:rsid w:val="736D1450"/>
    <w:rsid w:val="7410303A"/>
    <w:rsid w:val="7431594E"/>
    <w:rsid w:val="74D66AE8"/>
    <w:rsid w:val="75790509"/>
    <w:rsid w:val="766B432B"/>
    <w:rsid w:val="7692084F"/>
    <w:rsid w:val="77086B72"/>
    <w:rsid w:val="78687992"/>
    <w:rsid w:val="7C5B571D"/>
    <w:rsid w:val="7D2C7423"/>
    <w:rsid w:val="7ECB7924"/>
    <w:rsid w:val="7FC278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HTML Preformatted"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basedOn w:val="a0"/>
    <w:qFormat/>
    <w:rPr>
      <w:i/>
    </w:rPr>
  </w:style>
  <w:style w:type="character" w:styleId="ad">
    <w:name w:val="Hyperlink"/>
    <w:basedOn w:val="a0"/>
    <w:semiHidden/>
    <w:unhideWhenUsed/>
    <w:qFormat/>
    <w:rPr>
      <w:color w:val="0000FF"/>
      <w:u w:val="single"/>
    </w:rPr>
  </w:style>
  <w:style w:type="character" w:styleId="ae">
    <w:name w:val="annotation reference"/>
    <w:basedOn w:val="a0"/>
    <w:semiHidden/>
    <w:qFormat/>
    <w:rPr>
      <w:sz w:val="21"/>
      <w:szCs w:val="21"/>
    </w:rPr>
  </w:style>
  <w:style w:type="paragraph" w:styleId="af">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HTML Preformatted"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basedOn w:val="a0"/>
    <w:qFormat/>
    <w:rPr>
      <w:i/>
    </w:rPr>
  </w:style>
  <w:style w:type="character" w:styleId="ad">
    <w:name w:val="Hyperlink"/>
    <w:basedOn w:val="a0"/>
    <w:semiHidden/>
    <w:unhideWhenUsed/>
    <w:qFormat/>
    <w:rPr>
      <w:color w:val="0000FF"/>
      <w:u w:val="single"/>
    </w:rPr>
  </w:style>
  <w:style w:type="character" w:styleId="ae">
    <w:name w:val="annotation reference"/>
    <w:basedOn w:val="a0"/>
    <w:semiHidden/>
    <w:qFormat/>
    <w:rPr>
      <w:sz w:val="21"/>
      <w:szCs w:val="21"/>
    </w:rPr>
  </w:style>
  <w:style w:type="paragraph" w:styleId="af">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Fifth Edition" SelectedStyle="\APA.XSL"/>
</file>

<file path=customXml/itemProps1.xml><?xml version="1.0" encoding="utf-8"?>
<ds:datastoreItem xmlns:ds="http://schemas.openxmlformats.org/officeDocument/2006/customXml" ds:itemID="{5698E66C-5F72-49FF-8EEE-E0B0295D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395</Words>
  <Characters>2255</Characters>
  <Application>Microsoft Office Word</Application>
  <DocSecurity>0</DocSecurity>
  <Lines>18</Lines>
  <Paragraphs>5</Paragraphs>
  <ScaleCrop>false</ScaleCrop>
  <Company>szse</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Windows 用户</cp:lastModifiedBy>
  <cp:revision>33</cp:revision>
  <cp:lastPrinted>2018-07-02T22:35:00Z</cp:lastPrinted>
  <dcterms:created xsi:type="dcterms:W3CDTF">2018-07-02T22:32:00Z</dcterms:created>
  <dcterms:modified xsi:type="dcterms:W3CDTF">2025-04-01T06:30:00Z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EA859FE0B18A4068BFB604CF1438A13B_13</vt:lpwstr>
  </property>
  <property fmtid="{D5CDD505-2E9C-101B-9397-08002B2CF9AE}" pid="4" name="KSOTemplateDocerSaveRecord">
    <vt:lpwstr>eyJoZGlkIjoiZjQ4MWEyZWQ4YzU1ZWFhYmNlMjBlYTM2OTA5ZDYzOTUiLCJ1c2VySWQiOiIzMDY1OTM1NDQifQ==</vt:lpwstr>
  </property>
</Properties>
</file>