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5CF31">
      <w:pPr>
        <w:spacing w:before="31" w:beforeLines="10" w:line="360" w:lineRule="auto"/>
        <w:rPr>
          <w:rFonts w:ascii="Times New Roman" w:hAnsi="Times New Roman"/>
          <w:bCs/>
          <w:sz w:val="24"/>
        </w:rPr>
      </w:pPr>
      <w:r>
        <w:rPr>
          <w:rFonts w:ascii="Times New Roman" w:hAnsi="Times New Roman"/>
          <w:bCs/>
          <w:sz w:val="24"/>
        </w:rPr>
        <w:t>证券简称</w:t>
      </w:r>
      <w:r>
        <w:rPr>
          <w:rFonts w:hint="eastAsia" w:ascii="Times New Roman" w:hAnsi="Times New Roman"/>
          <w:bCs/>
          <w:sz w:val="24"/>
        </w:rPr>
        <w:t>：</w:t>
      </w:r>
      <w:r>
        <w:rPr>
          <w:rFonts w:ascii="Times New Roman" w:hAnsi="Times New Roman"/>
          <w:bCs/>
          <w:sz w:val="24"/>
        </w:rPr>
        <w:t>兴通股份                                        证券代码：603209</w:t>
      </w:r>
    </w:p>
    <w:p w14:paraId="737B8EE6">
      <w:pPr>
        <w:spacing w:before="31" w:beforeLines="10" w:line="360" w:lineRule="auto"/>
        <w:jc w:val="center"/>
        <w:rPr>
          <w:rFonts w:ascii="Times New Roman" w:hAnsi="Times New Roman"/>
          <w:b/>
          <w:w w:val="95"/>
          <w:sz w:val="32"/>
          <w:szCs w:val="32"/>
        </w:rPr>
      </w:pPr>
    </w:p>
    <w:p w14:paraId="0FFDF0BE">
      <w:pPr>
        <w:spacing w:before="31" w:beforeLines="10" w:line="360" w:lineRule="auto"/>
        <w:jc w:val="center"/>
        <w:rPr>
          <w:rFonts w:ascii="Times New Roman" w:hAnsi="Times New Roman"/>
          <w:b/>
          <w:sz w:val="36"/>
          <w:szCs w:val="36"/>
        </w:rPr>
      </w:pPr>
      <w:r>
        <w:rPr>
          <w:rFonts w:ascii="Times New Roman" w:hAnsi="Times New Roman"/>
          <w:b/>
          <w:sz w:val="36"/>
          <w:szCs w:val="36"/>
        </w:rPr>
        <w:t>兴通海运股份有限公司</w:t>
      </w:r>
    </w:p>
    <w:p w14:paraId="334B950C">
      <w:pPr>
        <w:spacing w:line="360" w:lineRule="auto"/>
        <w:jc w:val="center"/>
        <w:rPr>
          <w:rFonts w:ascii="Times New Roman" w:hAnsi="Times New Roman"/>
          <w:b/>
          <w:kern w:val="0"/>
          <w:sz w:val="36"/>
          <w:szCs w:val="36"/>
        </w:rPr>
      </w:pPr>
      <w:bookmarkStart w:id="0" w:name="OLE_LINK1"/>
      <w:r>
        <w:rPr>
          <w:rFonts w:ascii="Times New Roman" w:hAnsi="Times New Roman"/>
          <w:b/>
          <w:kern w:val="0"/>
          <w:sz w:val="36"/>
          <w:szCs w:val="36"/>
        </w:rPr>
        <w:t>投资者关系活动记录表</w:t>
      </w:r>
    </w:p>
    <w:bookmarkEnd w:id="0"/>
    <w:p w14:paraId="48975354">
      <w:pPr>
        <w:tabs>
          <w:tab w:val="left" w:pos="6106"/>
        </w:tabs>
        <w:spacing w:before="156" w:beforeLines="50" w:after="156" w:afterLines="50"/>
        <w:ind w:firstLine="240" w:firstLineChars="100"/>
        <w:jc w:val="right"/>
        <w:rPr>
          <w:rFonts w:hint="eastAsia" w:ascii="Times New Roman" w:hAnsi="Times New Roman" w:eastAsia="宋体"/>
          <w:sz w:val="24"/>
          <w:lang w:val="en-US" w:eastAsia="zh-CN"/>
        </w:rPr>
      </w:pPr>
      <w:r>
        <w:rPr>
          <w:rFonts w:ascii="Times New Roman" w:hAnsi="Times New Roman"/>
          <w:sz w:val="24"/>
        </w:rPr>
        <w:t>编号：202</w:t>
      </w:r>
      <w:r>
        <w:rPr>
          <w:rFonts w:hint="eastAsia" w:ascii="Times New Roman" w:hAnsi="Times New Roman"/>
          <w:sz w:val="24"/>
          <w:lang w:val="en-US" w:eastAsia="zh-CN"/>
        </w:rPr>
        <w:t>5</w:t>
      </w:r>
      <w:r>
        <w:rPr>
          <w:rFonts w:ascii="Times New Roman" w:hAnsi="Times New Roman"/>
          <w:sz w:val="24"/>
        </w:rPr>
        <w:t>-00</w:t>
      </w:r>
      <w:r>
        <w:rPr>
          <w:rFonts w:hint="eastAsia" w:ascii="Times New Roman" w:hAnsi="Times New Roman"/>
          <w:sz w:val="24"/>
          <w:lang w:val="en-US" w:eastAsia="zh-CN"/>
        </w:rPr>
        <w:t>1</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6855"/>
      </w:tblGrid>
      <w:tr w14:paraId="2CC63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tcBorders>
              <w:top w:val="single" w:color="auto" w:sz="12" w:space="0"/>
              <w:left w:val="single" w:color="auto" w:sz="12" w:space="0"/>
              <w:bottom w:val="single" w:color="auto" w:sz="4" w:space="0"/>
              <w:right w:val="single" w:color="auto" w:sz="4" w:space="0"/>
            </w:tcBorders>
            <w:vAlign w:val="center"/>
          </w:tcPr>
          <w:p w14:paraId="7DE6EE01">
            <w:pPr>
              <w:spacing w:before="156" w:beforeLines="50" w:after="156" w:afterLines="50"/>
              <w:jc w:val="center"/>
              <w:rPr>
                <w:rFonts w:ascii="Times New Roman" w:hAnsi="Times New Roman"/>
                <w:bCs/>
                <w:sz w:val="24"/>
              </w:rPr>
            </w:pPr>
            <w:r>
              <w:rPr>
                <w:rFonts w:ascii="Times New Roman" w:hAnsi="Times New Roman"/>
                <w:b/>
                <w:bCs/>
                <w:sz w:val="24"/>
              </w:rPr>
              <w:t>投资者关系活动类别</w:t>
            </w:r>
          </w:p>
        </w:tc>
        <w:tc>
          <w:tcPr>
            <w:tcW w:w="6855" w:type="dxa"/>
            <w:tcBorders>
              <w:top w:val="single" w:color="auto" w:sz="12" w:space="0"/>
              <w:left w:val="single" w:color="auto" w:sz="4" w:space="0"/>
              <w:bottom w:val="single" w:color="auto" w:sz="4" w:space="0"/>
              <w:right w:val="single" w:color="auto" w:sz="12" w:space="0"/>
            </w:tcBorders>
            <w:vAlign w:val="center"/>
          </w:tcPr>
          <w:p w14:paraId="5DBE8A1F">
            <w:pPr>
              <w:widowControl/>
              <w:tabs>
                <w:tab w:val="left" w:pos="3480"/>
              </w:tabs>
              <w:spacing w:before="156" w:beforeLines="50" w:after="156" w:afterLines="50"/>
              <w:rPr>
                <w:rFonts w:ascii="Times New Roman" w:hAnsi="Times New Roman"/>
                <w:bCs/>
                <w:sz w:val="24"/>
              </w:rPr>
            </w:pPr>
            <w:r>
              <w:rPr>
                <w:rFonts w:hint="eastAsia" w:ascii="Times New Roman" w:hAnsi="Times New Roman"/>
                <w:bCs/>
                <w:sz w:val="24"/>
                <w:lang w:eastAsia="zh-CN"/>
              </w:rPr>
              <w:t>□</w:t>
            </w:r>
            <w:r>
              <w:rPr>
                <w:rFonts w:ascii="Times New Roman" w:hAnsi="Times New Roman"/>
                <w:bCs/>
                <w:sz w:val="24"/>
              </w:rPr>
              <w:t>特定对象调研   □分析师会议      □媒体采访</w:t>
            </w:r>
          </w:p>
          <w:p w14:paraId="084B8793">
            <w:pPr>
              <w:widowControl/>
              <w:tabs>
                <w:tab w:val="left" w:pos="2040"/>
                <w:tab w:val="left" w:pos="3480"/>
              </w:tabs>
              <w:spacing w:before="156" w:beforeLines="50" w:after="156" w:afterLines="50"/>
              <w:rPr>
                <w:rFonts w:ascii="Times New Roman" w:hAnsi="Times New Roman"/>
                <w:bCs/>
                <w:sz w:val="24"/>
              </w:rPr>
            </w:pPr>
            <w:r>
              <w:rPr>
                <w:rFonts w:hint="eastAsia" w:ascii="Times New Roman" w:hAnsi="Times New Roman"/>
                <w:bCs/>
                <w:sz w:val="24"/>
                <w:lang w:eastAsia="zh-CN"/>
              </w:rPr>
              <w:t>☑</w:t>
            </w:r>
            <w:r>
              <w:rPr>
                <w:rFonts w:ascii="Times New Roman" w:hAnsi="Times New Roman"/>
                <w:bCs/>
                <w:sz w:val="24"/>
              </w:rPr>
              <w:t>业绩说明会     □新闻发布会      □路演活动</w:t>
            </w:r>
          </w:p>
          <w:p w14:paraId="7C76FED2">
            <w:pPr>
              <w:spacing w:before="156" w:beforeLines="50" w:after="156" w:afterLines="50"/>
              <w:rPr>
                <w:rFonts w:ascii="Times New Roman" w:hAnsi="Times New Roman"/>
                <w:bCs/>
                <w:sz w:val="24"/>
              </w:rPr>
            </w:pPr>
            <w:r>
              <w:rPr>
                <w:rFonts w:hint="eastAsia" w:ascii="Times New Roman" w:hAnsi="Times New Roman"/>
                <w:bCs/>
                <w:sz w:val="24"/>
                <w:lang w:eastAsia="zh-CN"/>
              </w:rPr>
              <w:t>□</w:t>
            </w:r>
            <w:r>
              <w:rPr>
                <w:rFonts w:ascii="Times New Roman" w:hAnsi="Times New Roman"/>
                <w:bCs/>
                <w:sz w:val="24"/>
              </w:rPr>
              <w:t>现场参观       □一对一沟通      □其他（电话会议）</w:t>
            </w:r>
          </w:p>
        </w:tc>
      </w:tr>
      <w:tr w14:paraId="63354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9227E75">
            <w:pPr>
              <w:spacing w:before="156" w:beforeLines="50" w:after="156" w:afterLines="50"/>
              <w:jc w:val="center"/>
              <w:rPr>
                <w:rFonts w:ascii="Times New Roman" w:hAnsi="Times New Roman"/>
                <w:b/>
                <w:bCs/>
                <w:sz w:val="24"/>
              </w:rPr>
            </w:pPr>
            <w:r>
              <w:rPr>
                <w:rFonts w:ascii="Times New Roman" w:hAnsi="Times New Roman"/>
                <w:b/>
                <w:bCs/>
                <w:sz w:val="24"/>
              </w:rPr>
              <w:t>参与单位及人员名称</w:t>
            </w:r>
          </w:p>
        </w:tc>
        <w:tc>
          <w:tcPr>
            <w:tcW w:w="6855" w:type="dxa"/>
            <w:tcBorders>
              <w:top w:val="single" w:color="auto" w:sz="4" w:space="0"/>
              <w:left w:val="single" w:color="auto" w:sz="4" w:space="0"/>
              <w:bottom w:val="single" w:color="auto" w:sz="4" w:space="0"/>
              <w:right w:val="single" w:color="auto" w:sz="12" w:space="0"/>
            </w:tcBorders>
            <w:vAlign w:val="center"/>
          </w:tcPr>
          <w:p w14:paraId="6D2E438E">
            <w:pPr>
              <w:spacing w:line="360" w:lineRule="auto"/>
              <w:rPr>
                <w:rFonts w:ascii="Times New Roman" w:hAnsi="Times New Roman"/>
                <w:sz w:val="24"/>
              </w:rPr>
            </w:pPr>
            <w:r>
              <w:rPr>
                <w:rFonts w:hint="eastAsia" w:ascii="Times New Roman" w:hAnsi="Times New Roman"/>
                <w:sz w:val="24"/>
              </w:rPr>
              <w:t>线上参与公司2024年度业绩说明会的投资者</w:t>
            </w:r>
          </w:p>
        </w:tc>
      </w:tr>
      <w:tr w14:paraId="6755D1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5909D8CC">
            <w:pPr>
              <w:spacing w:before="156" w:beforeLines="50" w:after="156" w:afterLines="50"/>
              <w:jc w:val="center"/>
              <w:rPr>
                <w:rFonts w:ascii="Times New Roman" w:hAnsi="Times New Roman"/>
                <w:b/>
                <w:bCs/>
                <w:sz w:val="24"/>
              </w:rPr>
            </w:pPr>
            <w:r>
              <w:rPr>
                <w:rFonts w:ascii="Times New Roman" w:hAnsi="Times New Roman"/>
                <w:b/>
                <w:bCs/>
                <w:sz w:val="24"/>
              </w:rPr>
              <w:t>时间</w:t>
            </w:r>
          </w:p>
        </w:tc>
        <w:tc>
          <w:tcPr>
            <w:tcW w:w="6855" w:type="dxa"/>
            <w:tcBorders>
              <w:top w:val="single" w:color="auto" w:sz="4" w:space="0"/>
              <w:left w:val="single" w:color="auto" w:sz="4" w:space="0"/>
              <w:bottom w:val="single" w:color="auto" w:sz="4" w:space="0"/>
              <w:right w:val="single" w:color="auto" w:sz="12" w:space="0"/>
            </w:tcBorders>
            <w:vAlign w:val="center"/>
          </w:tcPr>
          <w:p w14:paraId="5E1E51C9">
            <w:pPr>
              <w:spacing w:before="156" w:beforeLines="50" w:after="156" w:afterLines="50"/>
              <w:rPr>
                <w:rFonts w:ascii="Times New Roman" w:hAnsi="Times New Roman"/>
                <w:sz w:val="24"/>
              </w:rPr>
            </w:pPr>
            <w:r>
              <w:rPr>
                <w:rFonts w:ascii="Times New Roman" w:hAnsi="Times New Roman"/>
                <w:sz w:val="24"/>
              </w:rPr>
              <w:t>202</w:t>
            </w:r>
            <w:r>
              <w:rPr>
                <w:rFonts w:hint="eastAsia" w:ascii="Times New Roman" w:hAnsi="Times New Roman"/>
                <w:sz w:val="24"/>
                <w:lang w:val="en-US" w:eastAsia="zh-CN"/>
              </w:rPr>
              <w:t>5</w:t>
            </w:r>
            <w:r>
              <w:rPr>
                <w:rFonts w:ascii="Times New Roman" w:hAnsi="Times New Roman"/>
                <w:sz w:val="24"/>
              </w:rPr>
              <w:t>年</w:t>
            </w:r>
            <w:r>
              <w:rPr>
                <w:rFonts w:hint="eastAsia" w:ascii="Times New Roman" w:hAnsi="Times New Roman"/>
                <w:sz w:val="24"/>
                <w:lang w:val="en-US" w:eastAsia="zh-CN"/>
              </w:rPr>
              <w:t>4</w:t>
            </w:r>
            <w:r>
              <w:rPr>
                <w:rFonts w:ascii="Times New Roman" w:hAnsi="Times New Roman"/>
                <w:sz w:val="24"/>
              </w:rPr>
              <w:t>月</w:t>
            </w:r>
            <w:r>
              <w:rPr>
                <w:rFonts w:hint="eastAsia" w:ascii="Times New Roman" w:hAnsi="Times New Roman"/>
                <w:sz w:val="24"/>
                <w:lang w:val="en-US" w:eastAsia="zh-CN"/>
              </w:rPr>
              <w:t>1</w:t>
            </w:r>
            <w:r>
              <w:rPr>
                <w:rFonts w:ascii="Times New Roman" w:hAnsi="Times New Roman"/>
                <w:sz w:val="24"/>
              </w:rPr>
              <w:t>日</w:t>
            </w:r>
          </w:p>
        </w:tc>
      </w:tr>
      <w:tr w14:paraId="0BE63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3C009A8">
            <w:pPr>
              <w:spacing w:before="156" w:beforeLines="50" w:after="156" w:afterLines="50"/>
              <w:jc w:val="center"/>
              <w:rPr>
                <w:rFonts w:ascii="Times New Roman" w:hAnsi="Times New Roman"/>
                <w:b/>
                <w:bCs/>
                <w:sz w:val="24"/>
              </w:rPr>
            </w:pPr>
            <w:r>
              <w:rPr>
                <w:rFonts w:ascii="Times New Roman" w:hAnsi="Times New Roman"/>
                <w:b/>
                <w:bCs/>
                <w:sz w:val="24"/>
              </w:rPr>
              <w:t>地点</w:t>
            </w:r>
          </w:p>
        </w:tc>
        <w:tc>
          <w:tcPr>
            <w:tcW w:w="6855" w:type="dxa"/>
            <w:tcBorders>
              <w:top w:val="single" w:color="auto" w:sz="4" w:space="0"/>
              <w:left w:val="single" w:color="auto" w:sz="4" w:space="0"/>
              <w:bottom w:val="single" w:color="auto" w:sz="4" w:space="0"/>
              <w:right w:val="single" w:color="auto" w:sz="12" w:space="0"/>
            </w:tcBorders>
            <w:vAlign w:val="center"/>
          </w:tcPr>
          <w:p w14:paraId="29DC1D8A">
            <w:pPr>
              <w:spacing w:before="156" w:beforeLines="50" w:after="156" w:afterLines="50"/>
              <w:rPr>
                <w:rFonts w:hint="eastAsia" w:ascii="Times New Roman" w:hAnsi="Times New Roman" w:eastAsia="宋体"/>
                <w:sz w:val="24"/>
                <w:lang w:val="en-US" w:eastAsia="zh-CN"/>
              </w:rPr>
            </w:pPr>
            <w:r>
              <w:rPr>
                <w:rFonts w:hint="eastAsia" w:ascii="Times New Roman" w:hAnsi="Times New Roman"/>
                <w:sz w:val="24"/>
              </w:rPr>
              <w:t>价值在线（www.ir-online.cn）</w:t>
            </w:r>
          </w:p>
        </w:tc>
      </w:tr>
      <w:tr w14:paraId="00BA2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845FC8E">
            <w:pPr>
              <w:spacing w:before="156" w:beforeLines="50" w:after="156" w:afterLines="50"/>
              <w:jc w:val="center"/>
              <w:rPr>
                <w:rFonts w:ascii="Times New Roman" w:hAnsi="Times New Roman"/>
                <w:b/>
                <w:bCs/>
                <w:sz w:val="24"/>
              </w:rPr>
            </w:pPr>
            <w:r>
              <w:rPr>
                <w:rFonts w:ascii="Times New Roman" w:hAnsi="Times New Roman"/>
                <w:b/>
                <w:bCs/>
                <w:sz w:val="24"/>
              </w:rPr>
              <w:t>公司接待人员姓名</w:t>
            </w:r>
          </w:p>
        </w:tc>
        <w:tc>
          <w:tcPr>
            <w:tcW w:w="6855" w:type="dxa"/>
            <w:tcBorders>
              <w:top w:val="single" w:color="auto" w:sz="4" w:space="0"/>
              <w:left w:val="single" w:color="auto" w:sz="4" w:space="0"/>
              <w:bottom w:val="single" w:color="auto" w:sz="4" w:space="0"/>
              <w:right w:val="single" w:color="auto" w:sz="12" w:space="0"/>
            </w:tcBorders>
            <w:vAlign w:val="center"/>
          </w:tcPr>
          <w:p w14:paraId="626C29CB">
            <w:pPr>
              <w:spacing w:before="156" w:beforeLines="50" w:after="156" w:afterLines="50"/>
              <w:rPr>
                <w:rFonts w:hint="default" w:ascii="Times New Roman" w:hAnsi="Times New Roman" w:eastAsia="宋体" w:cs="Times New Roman"/>
                <w:i w:val="0"/>
                <w:iCs w:val="0"/>
                <w:caps w:val="0"/>
                <w:color w:val="auto"/>
                <w:spacing w:val="0"/>
                <w:sz w:val="24"/>
                <w:szCs w:val="24"/>
                <w:highlight w:val="none"/>
                <w:shd w:val="clear"/>
              </w:rPr>
            </w:pPr>
            <w:r>
              <w:rPr>
                <w:rFonts w:ascii="Times New Roman" w:hAnsi="Times New Roman" w:eastAsia="宋体" w:cs="Times New Roman"/>
                <w:i w:val="0"/>
                <w:iCs w:val="0"/>
                <w:caps w:val="0"/>
                <w:color w:val="auto"/>
                <w:spacing w:val="0"/>
                <w:sz w:val="24"/>
                <w:szCs w:val="24"/>
                <w:highlight w:val="none"/>
                <w:shd w:val="clear"/>
              </w:rPr>
              <w:t>副董事长/</w:t>
            </w:r>
            <w:r>
              <w:rPr>
                <w:rFonts w:hint="default" w:ascii="Times New Roman" w:hAnsi="Times New Roman" w:eastAsia="宋体" w:cs="Times New Roman"/>
                <w:i w:val="0"/>
                <w:iCs w:val="0"/>
                <w:caps w:val="0"/>
                <w:color w:val="auto"/>
                <w:spacing w:val="0"/>
                <w:sz w:val="24"/>
                <w:szCs w:val="24"/>
                <w:highlight w:val="none"/>
                <w:shd w:val="clear"/>
              </w:rPr>
              <w:t>总经理陈其龙先生</w:t>
            </w:r>
          </w:p>
          <w:p w14:paraId="34D01ADF">
            <w:pPr>
              <w:spacing w:before="156" w:beforeLines="50" w:after="156" w:afterLines="50"/>
              <w:rPr>
                <w:rFonts w:hint="default" w:ascii="Times New Roman" w:hAnsi="Times New Roman" w:eastAsia="宋体" w:cs="Times New Roman"/>
                <w:i w:val="0"/>
                <w:iCs w:val="0"/>
                <w:caps w:val="0"/>
                <w:color w:val="auto"/>
                <w:spacing w:val="0"/>
                <w:sz w:val="24"/>
                <w:szCs w:val="24"/>
                <w:highlight w:val="none"/>
                <w:shd w:val="clear"/>
              </w:rPr>
            </w:pPr>
            <w:r>
              <w:rPr>
                <w:rFonts w:hint="default" w:ascii="Times New Roman" w:hAnsi="Times New Roman" w:eastAsia="宋体" w:cs="Times New Roman"/>
                <w:i w:val="0"/>
                <w:iCs w:val="0"/>
                <w:caps w:val="0"/>
                <w:color w:val="auto"/>
                <w:spacing w:val="0"/>
                <w:sz w:val="24"/>
                <w:szCs w:val="24"/>
                <w:highlight w:val="none"/>
                <w:shd w:val="clear"/>
              </w:rPr>
              <w:t>董事会秘书/财务负责人黄木生先生</w:t>
            </w:r>
          </w:p>
          <w:p w14:paraId="7C01E92E">
            <w:pPr>
              <w:spacing w:before="156" w:beforeLines="50" w:after="156" w:afterLines="50"/>
              <w:rPr>
                <w:rFonts w:ascii="Times New Roman" w:hAnsi="Times New Roman"/>
                <w:sz w:val="24"/>
              </w:rPr>
            </w:pPr>
            <w:r>
              <w:rPr>
                <w:rFonts w:hint="default" w:ascii="Times New Roman" w:hAnsi="Times New Roman" w:eastAsia="宋体" w:cs="Times New Roman"/>
                <w:i w:val="0"/>
                <w:iCs w:val="0"/>
                <w:caps w:val="0"/>
                <w:color w:val="auto"/>
                <w:spacing w:val="0"/>
                <w:sz w:val="24"/>
                <w:szCs w:val="24"/>
                <w:highlight w:val="none"/>
                <w:shd w:val="clear"/>
              </w:rPr>
              <w:t>独立董事曾繁英女士</w:t>
            </w:r>
          </w:p>
        </w:tc>
      </w:tr>
      <w:tr w14:paraId="18E25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C5B6A30">
            <w:pPr>
              <w:spacing w:before="156" w:beforeLines="50" w:after="156" w:afterLines="50"/>
              <w:jc w:val="center"/>
              <w:rPr>
                <w:rFonts w:ascii="Times New Roman" w:hAnsi="Times New Roman"/>
                <w:b/>
                <w:bCs/>
                <w:sz w:val="24"/>
              </w:rPr>
            </w:pPr>
            <w:r>
              <w:rPr>
                <w:rFonts w:ascii="Times New Roman" w:hAnsi="Times New Roman"/>
                <w:b/>
                <w:bCs/>
                <w:sz w:val="24"/>
              </w:rPr>
              <w:t>投资者关系活动主要内容介绍</w:t>
            </w:r>
          </w:p>
        </w:tc>
        <w:tc>
          <w:tcPr>
            <w:tcW w:w="6855" w:type="dxa"/>
            <w:tcBorders>
              <w:top w:val="single" w:color="auto" w:sz="4" w:space="0"/>
              <w:left w:val="single" w:color="auto" w:sz="4" w:space="0"/>
              <w:bottom w:val="single" w:color="auto" w:sz="4" w:space="0"/>
              <w:right w:val="single" w:color="auto" w:sz="12" w:space="0"/>
            </w:tcBorders>
            <w:vAlign w:val="center"/>
          </w:tcPr>
          <w:p w14:paraId="621C181A">
            <w:pPr>
              <w:widowControl/>
              <w:spacing w:before="156" w:beforeLines="50" w:after="156" w:afterLines="50" w:line="336" w:lineRule="auto"/>
              <w:ind w:firstLine="482" w:firstLineChars="200"/>
              <w:rPr>
                <w:rFonts w:hint="eastAsia" w:ascii="Times New Roman" w:hAnsi="Times New Roman"/>
                <w:b/>
                <w:bCs/>
                <w:sz w:val="24"/>
                <w:lang w:bidi="zh-CN"/>
              </w:rPr>
            </w:pPr>
            <w:r>
              <w:rPr>
                <w:rFonts w:hint="eastAsia" w:ascii="Times New Roman" w:hAnsi="Times New Roman"/>
                <w:b/>
                <w:bCs/>
                <w:sz w:val="24"/>
                <w:lang w:bidi="zh-CN"/>
              </w:rPr>
              <w:t>（一）公司2024年经营情况</w:t>
            </w:r>
          </w:p>
          <w:p w14:paraId="0212283D">
            <w:pPr>
              <w:widowControl/>
              <w:spacing w:before="156" w:beforeLines="50" w:after="156" w:afterLines="50" w:line="336" w:lineRule="auto"/>
              <w:ind w:firstLine="482" w:firstLineChars="200"/>
              <w:rPr>
                <w:rFonts w:hint="eastAsia" w:ascii="Times New Roman" w:hAnsi="Times New Roman"/>
                <w:b/>
                <w:bCs/>
                <w:sz w:val="24"/>
                <w:lang w:bidi="zh-CN"/>
              </w:rPr>
            </w:pPr>
            <w:r>
              <w:rPr>
                <w:rFonts w:hint="eastAsia" w:ascii="Times New Roman" w:hAnsi="Times New Roman"/>
                <w:b/>
                <w:bCs/>
                <w:sz w:val="24"/>
                <w:lang w:bidi="zh-CN"/>
              </w:rPr>
              <w:t>1、运力规模</w:t>
            </w:r>
          </w:p>
          <w:p w14:paraId="5ECE11F1">
            <w:pPr>
              <w:widowControl/>
              <w:spacing w:before="156" w:beforeLines="50" w:after="156" w:afterLines="50" w:line="336" w:lineRule="auto"/>
              <w:ind w:firstLine="480" w:firstLineChars="200"/>
              <w:rPr>
                <w:rFonts w:hint="eastAsia" w:ascii="Times New Roman" w:hAnsi="Times New Roman"/>
                <w:sz w:val="24"/>
                <w:lang w:bidi="zh-CN"/>
              </w:rPr>
            </w:pPr>
            <w:r>
              <w:rPr>
                <w:rFonts w:hint="eastAsia" w:ascii="Times New Roman" w:hAnsi="Times New Roman"/>
                <w:sz w:val="24"/>
                <w:lang w:bidi="zh-CN"/>
              </w:rPr>
              <w:t>截至2024年12月31日，公司在营的散装液体化学品船、成品油船、液化石油气船共计37艘，总运力达42.95万载重吨。其中，内贸船舶29艘，合计31.38万载重吨；外贸船舶8艘，合计11.57万载重吨。</w:t>
            </w:r>
          </w:p>
          <w:p w14:paraId="56C6B9B5">
            <w:pPr>
              <w:widowControl/>
              <w:spacing w:before="156" w:beforeLines="50" w:after="156" w:afterLines="50" w:line="336" w:lineRule="auto"/>
              <w:ind w:firstLine="482" w:firstLineChars="200"/>
              <w:rPr>
                <w:rFonts w:hint="eastAsia" w:ascii="Times New Roman" w:hAnsi="Times New Roman"/>
                <w:b/>
                <w:bCs/>
                <w:sz w:val="24"/>
                <w:lang w:bidi="zh-CN"/>
              </w:rPr>
            </w:pPr>
            <w:r>
              <w:rPr>
                <w:rFonts w:hint="eastAsia" w:ascii="Times New Roman" w:hAnsi="Times New Roman"/>
                <w:b/>
                <w:bCs/>
                <w:sz w:val="24"/>
                <w:lang w:bidi="zh-CN"/>
              </w:rPr>
              <w:t>2、货运量情况</w:t>
            </w:r>
          </w:p>
          <w:p w14:paraId="1F63E9ED">
            <w:pPr>
              <w:widowControl/>
              <w:spacing w:before="156" w:beforeLines="50" w:after="156" w:afterLines="50" w:line="336" w:lineRule="auto"/>
              <w:ind w:firstLine="480" w:firstLineChars="200"/>
              <w:rPr>
                <w:rFonts w:hint="eastAsia" w:ascii="Times New Roman" w:hAnsi="Times New Roman"/>
                <w:sz w:val="24"/>
                <w:lang w:bidi="zh-CN"/>
              </w:rPr>
            </w:pPr>
            <w:r>
              <w:rPr>
                <w:rFonts w:hint="eastAsia" w:ascii="Times New Roman" w:hAnsi="Times New Roman"/>
                <w:sz w:val="24"/>
                <w:lang w:bidi="zh-CN"/>
              </w:rPr>
              <w:t>2024年度，公司完成散装液体危险货物运输量为1,314.51万吨，同比增长18.38%。其中化学品货运量996.96万吨，同比增长29.41%。</w:t>
            </w:r>
          </w:p>
          <w:p w14:paraId="161038B5">
            <w:pPr>
              <w:widowControl/>
              <w:spacing w:before="156" w:beforeLines="50" w:after="156" w:afterLines="50" w:line="336" w:lineRule="auto"/>
              <w:ind w:firstLine="482" w:firstLineChars="200"/>
              <w:rPr>
                <w:rFonts w:hint="eastAsia" w:ascii="Times New Roman" w:hAnsi="Times New Roman"/>
                <w:b/>
                <w:bCs/>
                <w:sz w:val="24"/>
                <w:lang w:bidi="zh-CN"/>
              </w:rPr>
            </w:pPr>
            <w:r>
              <w:rPr>
                <w:rFonts w:hint="eastAsia" w:ascii="Times New Roman" w:hAnsi="Times New Roman"/>
                <w:b/>
                <w:bCs/>
                <w:sz w:val="24"/>
                <w:lang w:bidi="zh-CN"/>
              </w:rPr>
              <w:t>3、主要经营数据</w:t>
            </w:r>
          </w:p>
          <w:p w14:paraId="565F8321">
            <w:pPr>
              <w:widowControl/>
              <w:spacing w:before="156" w:beforeLines="50" w:after="156" w:afterLines="50" w:line="336" w:lineRule="auto"/>
              <w:ind w:firstLine="480" w:firstLineChars="200"/>
              <w:rPr>
                <w:rFonts w:hint="eastAsia" w:ascii="Times New Roman" w:hAnsi="Times New Roman"/>
                <w:sz w:val="24"/>
                <w:lang w:bidi="zh-CN"/>
              </w:rPr>
            </w:pPr>
            <w:r>
              <w:rPr>
                <w:rFonts w:hint="eastAsia" w:ascii="Times New Roman" w:hAnsi="Times New Roman"/>
                <w:sz w:val="24"/>
                <w:lang w:bidi="zh-CN"/>
              </w:rPr>
              <w:t>2024年度，公司实现营业收入15.15亿元，同比增长22.43%，归属于上市公司股东的净利润3.50亿元，同比增长38.95%，利润规模持续提升，实现业绩高质量增长。</w:t>
            </w:r>
          </w:p>
          <w:p w14:paraId="3A08A87E">
            <w:pPr>
              <w:widowControl/>
              <w:spacing w:before="156" w:beforeLines="50" w:after="156" w:afterLines="50" w:line="336" w:lineRule="auto"/>
              <w:ind w:firstLine="482" w:firstLineChars="200"/>
              <w:rPr>
                <w:rFonts w:hint="eastAsia" w:ascii="Times New Roman" w:hAnsi="Times New Roman"/>
                <w:b/>
                <w:bCs/>
                <w:sz w:val="24"/>
                <w:lang w:bidi="zh-CN"/>
              </w:rPr>
            </w:pPr>
            <w:r>
              <w:rPr>
                <w:rFonts w:hint="eastAsia" w:ascii="Times New Roman" w:hAnsi="Times New Roman"/>
                <w:b/>
                <w:bCs/>
                <w:sz w:val="24"/>
                <w:lang w:bidi="zh-CN"/>
              </w:rPr>
              <w:t>（二）交流的主要问题及公司回复概要</w:t>
            </w:r>
          </w:p>
          <w:p w14:paraId="0C2A2F31">
            <w:pPr>
              <w:widowControl/>
              <w:spacing w:before="156" w:beforeLines="50" w:after="156" w:afterLines="50" w:line="336" w:lineRule="auto"/>
              <w:ind w:firstLine="482" w:firstLineChars="200"/>
              <w:rPr>
                <w:rFonts w:hint="eastAsia" w:ascii="Times New Roman" w:hAnsi="Times New Roman"/>
                <w:b/>
                <w:bCs/>
                <w:sz w:val="24"/>
                <w:lang w:bidi="zh-CN"/>
              </w:rPr>
            </w:pPr>
            <w:r>
              <w:rPr>
                <w:rFonts w:hint="eastAsia" w:ascii="Times New Roman" w:hAnsi="Times New Roman"/>
                <w:b/>
                <w:bCs/>
                <w:sz w:val="24"/>
                <w:lang w:bidi="zh-CN"/>
              </w:rPr>
              <w:t>问题1、公司目前船舶在建情况，预计新建船舶投入运营时间，以及2025年收入、归母净利润预计情况？</w:t>
            </w:r>
          </w:p>
          <w:p w14:paraId="1C40702D">
            <w:pPr>
              <w:widowControl/>
              <w:spacing w:before="156" w:beforeLines="50" w:after="156" w:afterLines="50" w:line="336" w:lineRule="auto"/>
              <w:ind w:firstLine="482" w:firstLineChars="200"/>
              <w:rPr>
                <w:rFonts w:hint="eastAsia" w:ascii="Times New Roman" w:hAnsi="Times New Roman"/>
                <w:sz w:val="24"/>
                <w:lang w:bidi="zh-CN"/>
              </w:rPr>
            </w:pPr>
            <w:r>
              <w:rPr>
                <w:rFonts w:hint="eastAsia" w:ascii="Times New Roman" w:hAnsi="Times New Roman"/>
                <w:b/>
                <w:bCs/>
                <w:sz w:val="24"/>
                <w:lang w:bidi="zh-CN"/>
              </w:rPr>
              <w:t>回复：</w:t>
            </w:r>
            <w:r>
              <w:rPr>
                <w:rFonts w:hint="eastAsia" w:ascii="Times New Roman" w:hAnsi="Times New Roman"/>
                <w:sz w:val="24"/>
                <w:lang w:bidi="zh-CN"/>
              </w:rPr>
              <w:t>截至目前，公司在建化学品船舶共12艘，运力规模达23.50万载重吨，将于2025-2027年上半年陆续投入运营，随着新增船舶投入运营，将对公司2025年的营业收入和净利润产生积极影响，具体请关注公司相关公告。</w:t>
            </w:r>
          </w:p>
          <w:p w14:paraId="232350A9">
            <w:pPr>
              <w:widowControl/>
              <w:spacing w:before="156" w:beforeLines="50" w:after="156" w:afterLines="50" w:line="336" w:lineRule="auto"/>
              <w:ind w:firstLine="482" w:firstLineChars="200"/>
              <w:rPr>
                <w:rFonts w:hint="eastAsia" w:ascii="Times New Roman" w:hAnsi="Times New Roman"/>
                <w:b/>
                <w:bCs/>
                <w:sz w:val="24"/>
                <w:lang w:bidi="zh-CN"/>
              </w:rPr>
            </w:pPr>
            <w:r>
              <w:rPr>
                <w:rFonts w:hint="eastAsia" w:ascii="Times New Roman" w:hAnsi="Times New Roman"/>
                <w:b/>
                <w:bCs/>
                <w:sz w:val="24"/>
                <w:lang w:bidi="zh-CN"/>
              </w:rPr>
              <w:t>问题2、目前募投项目进展如何？</w:t>
            </w:r>
          </w:p>
          <w:p w14:paraId="57EEE063">
            <w:pPr>
              <w:widowControl/>
              <w:spacing w:before="156" w:beforeLines="50" w:after="156" w:afterLines="50" w:line="336" w:lineRule="auto"/>
              <w:ind w:firstLine="482" w:firstLineChars="200"/>
              <w:rPr>
                <w:rFonts w:hint="eastAsia" w:ascii="Times New Roman" w:hAnsi="Times New Roman"/>
                <w:sz w:val="24"/>
                <w:lang w:bidi="zh-CN"/>
              </w:rPr>
            </w:pPr>
            <w:r>
              <w:rPr>
                <w:rFonts w:hint="eastAsia" w:ascii="Times New Roman" w:hAnsi="Times New Roman"/>
                <w:b/>
                <w:bCs/>
                <w:sz w:val="24"/>
                <w:lang w:bidi="zh-CN"/>
              </w:rPr>
              <w:t>回复：</w:t>
            </w:r>
            <w:r>
              <w:rPr>
                <w:rFonts w:hint="eastAsia" w:ascii="Times New Roman" w:hAnsi="Times New Roman"/>
                <w:sz w:val="24"/>
                <w:lang w:bidi="zh-CN"/>
              </w:rPr>
              <w:t>截至目前，公司定增募投项目的4艘化学品船已有3艘投入运营，另外1艘计划于今年下半年投入运营；2艘LPG船已有1艘投入运营，另外1艘已取得交通运输部运力指标，将根据市场需求情况适时启动建造。</w:t>
            </w:r>
          </w:p>
          <w:p w14:paraId="4C82A1FC">
            <w:pPr>
              <w:widowControl/>
              <w:spacing w:before="156" w:beforeLines="50" w:after="156" w:afterLines="50" w:line="336" w:lineRule="auto"/>
              <w:ind w:firstLine="482" w:firstLineChars="200"/>
              <w:rPr>
                <w:rFonts w:hint="eastAsia" w:ascii="Times New Roman" w:hAnsi="Times New Roman"/>
                <w:b/>
                <w:bCs/>
                <w:sz w:val="24"/>
                <w:lang w:bidi="zh-CN"/>
              </w:rPr>
            </w:pPr>
            <w:r>
              <w:rPr>
                <w:rFonts w:hint="eastAsia" w:ascii="Times New Roman" w:hAnsi="Times New Roman"/>
                <w:b/>
                <w:bCs/>
                <w:sz w:val="24"/>
                <w:lang w:bidi="zh-CN"/>
              </w:rPr>
              <w:t>问题3、请问公司海外市场的发展情况及布局？</w:t>
            </w:r>
          </w:p>
          <w:p w14:paraId="0C7D3D56">
            <w:pPr>
              <w:widowControl/>
              <w:spacing w:before="156" w:beforeLines="50" w:after="156" w:afterLines="50" w:line="336" w:lineRule="auto"/>
              <w:ind w:firstLine="482" w:firstLineChars="200"/>
              <w:rPr>
                <w:rFonts w:hint="eastAsia" w:ascii="Times New Roman" w:hAnsi="Times New Roman"/>
                <w:sz w:val="24"/>
                <w:lang w:bidi="zh-CN"/>
              </w:rPr>
            </w:pPr>
            <w:r>
              <w:rPr>
                <w:rFonts w:hint="eastAsia" w:ascii="Times New Roman" w:hAnsi="Times New Roman"/>
                <w:b/>
                <w:bCs/>
                <w:sz w:val="24"/>
                <w:lang w:bidi="zh-CN"/>
              </w:rPr>
              <w:t>回复：</w:t>
            </w:r>
            <w:r>
              <w:rPr>
                <w:rFonts w:hint="eastAsia" w:ascii="Times New Roman" w:hAnsi="Times New Roman"/>
                <w:sz w:val="24"/>
                <w:lang w:bidi="zh-CN"/>
              </w:rPr>
              <w:t>公司以“1+2+1”发展战略为指引，积极实施海外战略布局，持续开拓国际化学品运输市场。运力方面，截至2024年末，公司在营的外贸化学品船舶共8艘（不含内外贸兼营船舶），运力规模达11.57万载重吨；货运量方面，2024年度公司外贸货运量近200万吨，较上年同期增长约1倍。未来，公司将持续扩大外贸船队运力规模，提升公司的国际竞争力和影响力，助力公司业绩持续提升。</w:t>
            </w:r>
          </w:p>
          <w:p w14:paraId="5D4DF370">
            <w:pPr>
              <w:widowControl/>
              <w:spacing w:before="156" w:beforeLines="50" w:after="156" w:afterLines="50" w:line="336" w:lineRule="auto"/>
              <w:ind w:firstLine="482" w:firstLineChars="200"/>
              <w:rPr>
                <w:rFonts w:hint="eastAsia" w:ascii="Times New Roman" w:hAnsi="Times New Roman"/>
                <w:b/>
                <w:bCs/>
                <w:sz w:val="24"/>
                <w:lang w:bidi="zh-CN"/>
              </w:rPr>
            </w:pPr>
            <w:r>
              <w:rPr>
                <w:rFonts w:hint="eastAsia" w:ascii="Times New Roman" w:hAnsi="Times New Roman"/>
                <w:b/>
                <w:bCs/>
                <w:sz w:val="24"/>
                <w:lang w:bidi="zh-CN"/>
              </w:rPr>
              <w:t>问题4、公司今年的分红政策是什么？什么时候分红？</w:t>
            </w:r>
          </w:p>
          <w:p w14:paraId="5D0789C4">
            <w:pPr>
              <w:widowControl/>
              <w:spacing w:before="156" w:beforeLines="50" w:after="156" w:afterLines="50" w:line="336" w:lineRule="auto"/>
              <w:ind w:firstLine="482" w:firstLineChars="200"/>
              <w:rPr>
                <w:rFonts w:hint="eastAsia" w:ascii="Times New Roman" w:hAnsi="Times New Roman"/>
                <w:sz w:val="24"/>
                <w:lang w:bidi="zh-CN"/>
              </w:rPr>
            </w:pPr>
            <w:r>
              <w:rPr>
                <w:rFonts w:hint="eastAsia" w:ascii="Times New Roman" w:hAnsi="Times New Roman"/>
                <w:b/>
                <w:bCs/>
                <w:sz w:val="24"/>
                <w:lang w:bidi="zh-CN"/>
              </w:rPr>
              <w:t>回复：</w:t>
            </w:r>
            <w:r>
              <w:rPr>
                <w:rFonts w:hint="eastAsia" w:ascii="Times New Roman" w:hAnsi="Times New Roman"/>
                <w:sz w:val="24"/>
                <w:lang w:bidi="zh-CN"/>
              </w:rPr>
              <w:t xml:space="preserve">2024年度，公司拟以实施权益分派股权登记日登记的总股本扣除公司回购证券专用账户的股份为基数，向全体股东每10股派发现金红利2.00元（含税）。截至目前，公司总股本280,000,000股扣除公司回购证券专用账户的270,000股，即为279,730,000股，以此计算拟派发现金红利55,946,000.00元（含税），占2024年度归属于上市公司股东的净利润的比例为15.97%。 </w:t>
            </w:r>
          </w:p>
          <w:p w14:paraId="6A15FEE6">
            <w:pPr>
              <w:widowControl/>
              <w:spacing w:before="156" w:beforeLines="50" w:after="156" w:afterLines="50" w:line="336" w:lineRule="auto"/>
              <w:ind w:firstLine="480" w:firstLineChars="200"/>
              <w:rPr>
                <w:rFonts w:hint="eastAsia" w:ascii="Times New Roman" w:hAnsi="Times New Roman"/>
                <w:sz w:val="24"/>
                <w:lang w:bidi="zh-CN"/>
              </w:rPr>
            </w:pPr>
            <w:r>
              <w:rPr>
                <w:rFonts w:hint="eastAsia" w:ascii="Times New Roman" w:hAnsi="Times New Roman"/>
                <w:sz w:val="24"/>
                <w:lang w:bidi="zh-CN"/>
              </w:rPr>
              <w:t xml:space="preserve">根据《上市公司股份回购规则》《上海证券交易所上市公司自律监管指引第7号——回购股份》等有关规定，“上市公司以现金为对价，采用集中竞价方式、要约方式回购股份的，当年已实施的股份回购金额视同现金分红，纳入该年度现金分红的相关比例计算”。公司2024年度通过上海证券交易所交易系统以集中竞价交易方式回购公司A股普通股股票累计支付的资金总额为人民币17,310,417.40元（不含印花税、交易佣金等交易费用），视同现金分红。 </w:t>
            </w:r>
          </w:p>
          <w:p w14:paraId="27AB54B1">
            <w:pPr>
              <w:widowControl/>
              <w:spacing w:before="156" w:beforeLines="50" w:after="156" w:afterLines="50" w:line="336" w:lineRule="auto"/>
              <w:ind w:firstLine="480" w:firstLineChars="200"/>
              <w:rPr>
                <w:rFonts w:hint="eastAsia" w:ascii="Times New Roman" w:hAnsi="Times New Roman"/>
                <w:sz w:val="24"/>
                <w:lang w:bidi="zh-CN"/>
              </w:rPr>
            </w:pPr>
            <w:r>
              <w:rPr>
                <w:rFonts w:hint="eastAsia" w:ascii="Times New Roman" w:hAnsi="Times New Roman"/>
                <w:sz w:val="24"/>
                <w:lang w:bidi="zh-CN"/>
              </w:rPr>
              <w:t xml:space="preserve">综上，公司2024年度现金分红总额合计为73,256,417.40元（含税）（含以现金为对价，采用集中竞价方式回购股份金额17,310,417.40元），占2024年度归属于上市公司股东的净利润的比例为20.91%。 </w:t>
            </w:r>
          </w:p>
          <w:p w14:paraId="2ACD5EAC">
            <w:pPr>
              <w:widowControl/>
              <w:spacing w:before="156" w:beforeLines="50" w:after="156" w:afterLines="50" w:line="336" w:lineRule="auto"/>
              <w:ind w:firstLine="480" w:firstLineChars="200"/>
              <w:rPr>
                <w:rFonts w:ascii="Times New Roman" w:hAnsi="Times New Roman"/>
                <w:b/>
                <w:bCs/>
                <w:sz w:val="24"/>
              </w:rPr>
            </w:pPr>
            <w:r>
              <w:rPr>
                <w:rFonts w:hint="eastAsia" w:ascii="Times New Roman" w:hAnsi="Times New Roman"/>
                <w:sz w:val="24"/>
                <w:lang w:bidi="zh-CN"/>
              </w:rPr>
              <w:t>本次利润分配预案尚需提交股东大会审议，待股东大会审议通过后实施。</w:t>
            </w:r>
            <w:r>
              <w:rPr>
                <w:rFonts w:ascii="Times New Roman" w:hAnsi="Times New Roman"/>
                <w:sz w:val="24"/>
                <w:lang w:bidi="zh-CN"/>
              </w:rPr>
              <w:t xml:space="preserve"> </w:t>
            </w:r>
          </w:p>
        </w:tc>
      </w:tr>
      <w:tr w14:paraId="3D8B0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6B146945">
            <w:pPr>
              <w:spacing w:before="156" w:beforeLines="50" w:after="156" w:afterLines="50"/>
              <w:jc w:val="center"/>
              <w:rPr>
                <w:rFonts w:ascii="Times New Roman" w:hAnsi="Times New Roman"/>
                <w:b/>
                <w:bCs/>
                <w:sz w:val="24"/>
              </w:rPr>
            </w:pPr>
            <w:r>
              <w:rPr>
                <w:rFonts w:ascii="Times New Roman" w:hAnsi="Times New Roman"/>
                <w:b/>
                <w:bCs/>
                <w:sz w:val="24"/>
              </w:rPr>
              <w:t>附件清单（如有）</w:t>
            </w:r>
          </w:p>
        </w:tc>
        <w:tc>
          <w:tcPr>
            <w:tcW w:w="6855" w:type="dxa"/>
            <w:tcBorders>
              <w:top w:val="single" w:color="auto" w:sz="4" w:space="0"/>
              <w:left w:val="single" w:color="auto" w:sz="4" w:space="0"/>
              <w:bottom w:val="single" w:color="auto" w:sz="4" w:space="0"/>
              <w:right w:val="single" w:color="auto" w:sz="12" w:space="0"/>
            </w:tcBorders>
            <w:vAlign w:val="center"/>
          </w:tcPr>
          <w:p w14:paraId="484813FF">
            <w:pPr>
              <w:spacing w:before="156" w:beforeLines="50" w:after="156" w:afterLines="50"/>
              <w:rPr>
                <w:rFonts w:ascii="Times New Roman" w:hAnsi="Times New Roman"/>
                <w:sz w:val="24"/>
              </w:rPr>
            </w:pPr>
            <w:r>
              <w:rPr>
                <w:rFonts w:ascii="Times New Roman" w:hAnsi="Times New Roman"/>
                <w:sz w:val="24"/>
              </w:rPr>
              <w:t>无</w:t>
            </w:r>
          </w:p>
        </w:tc>
      </w:tr>
      <w:tr w14:paraId="072DC6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7" w:type="dxa"/>
            <w:tcBorders>
              <w:top w:val="single" w:color="auto" w:sz="4" w:space="0"/>
              <w:left w:val="single" w:color="auto" w:sz="12" w:space="0"/>
              <w:bottom w:val="single" w:color="auto" w:sz="12" w:space="0"/>
              <w:right w:val="single" w:color="auto" w:sz="4" w:space="0"/>
            </w:tcBorders>
            <w:vAlign w:val="center"/>
          </w:tcPr>
          <w:p w14:paraId="0BF447D9">
            <w:pPr>
              <w:spacing w:before="156" w:beforeLines="50" w:after="156" w:afterLines="50"/>
              <w:jc w:val="center"/>
              <w:rPr>
                <w:rFonts w:ascii="Times New Roman" w:hAnsi="Times New Roman"/>
                <w:b/>
                <w:bCs/>
                <w:sz w:val="24"/>
              </w:rPr>
            </w:pPr>
            <w:r>
              <w:rPr>
                <w:rFonts w:ascii="Times New Roman" w:hAnsi="Times New Roman"/>
                <w:b/>
                <w:bCs/>
                <w:sz w:val="24"/>
              </w:rPr>
              <w:t>日期</w:t>
            </w:r>
          </w:p>
        </w:tc>
        <w:tc>
          <w:tcPr>
            <w:tcW w:w="6855" w:type="dxa"/>
            <w:tcBorders>
              <w:top w:val="single" w:color="auto" w:sz="4" w:space="0"/>
              <w:left w:val="single" w:color="auto" w:sz="4" w:space="0"/>
              <w:bottom w:val="single" w:color="auto" w:sz="12" w:space="0"/>
              <w:right w:val="single" w:color="auto" w:sz="12" w:space="0"/>
            </w:tcBorders>
            <w:vAlign w:val="center"/>
          </w:tcPr>
          <w:p w14:paraId="321DC691">
            <w:pPr>
              <w:spacing w:before="156" w:beforeLines="50" w:after="156" w:afterLines="50"/>
              <w:rPr>
                <w:rFonts w:ascii="Times New Roman" w:hAnsi="Times New Roman"/>
                <w:sz w:val="24"/>
              </w:rPr>
            </w:pPr>
            <w:r>
              <w:rPr>
                <w:rFonts w:ascii="Times New Roman" w:hAnsi="Times New Roman"/>
                <w:sz w:val="24"/>
              </w:rPr>
              <w:t>202</w:t>
            </w:r>
            <w:r>
              <w:rPr>
                <w:rFonts w:hint="eastAsia" w:ascii="Times New Roman" w:hAnsi="Times New Roman"/>
                <w:sz w:val="24"/>
                <w:lang w:val="en-US" w:eastAsia="zh-CN"/>
              </w:rPr>
              <w:t>5</w:t>
            </w:r>
            <w:r>
              <w:rPr>
                <w:rFonts w:ascii="Times New Roman" w:hAnsi="Times New Roman"/>
                <w:sz w:val="24"/>
              </w:rPr>
              <w:t>年</w:t>
            </w:r>
            <w:r>
              <w:rPr>
                <w:rFonts w:hint="eastAsia" w:ascii="Times New Roman" w:hAnsi="Times New Roman"/>
                <w:sz w:val="24"/>
                <w:lang w:val="en-US" w:eastAsia="zh-CN"/>
              </w:rPr>
              <w:t>4</w:t>
            </w:r>
            <w:r>
              <w:rPr>
                <w:rFonts w:ascii="Times New Roman" w:hAnsi="Times New Roman"/>
                <w:sz w:val="24"/>
              </w:rPr>
              <w:t>月</w:t>
            </w:r>
            <w:r>
              <w:rPr>
                <w:rFonts w:hint="eastAsia" w:ascii="Times New Roman" w:hAnsi="Times New Roman"/>
                <w:sz w:val="24"/>
                <w:lang w:val="en-US" w:eastAsia="zh-CN"/>
              </w:rPr>
              <w:t>1</w:t>
            </w:r>
            <w:r>
              <w:rPr>
                <w:rFonts w:ascii="Times New Roman" w:hAnsi="Times New Roman"/>
                <w:sz w:val="24"/>
              </w:rPr>
              <w:t>日</w:t>
            </w:r>
          </w:p>
        </w:tc>
      </w:tr>
    </w:tbl>
    <w:p w14:paraId="09B98289">
      <w:pPr>
        <w:widowControl/>
        <w:jc w:val="left"/>
        <w:rPr>
          <w:rFonts w:ascii="Times New Roman" w:hAnsi="Times New Roman"/>
        </w:rPr>
      </w:pPr>
      <w:bookmarkStart w:id="1" w:name="_GoBack"/>
      <w:bookmarkEnd w:id="1"/>
    </w:p>
    <w:sectPr>
      <w:headerReference r:id="rId3" w:type="default"/>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59CA5">
    <w:pPr>
      <w:pStyle w:val="5"/>
      <w:jc w:val="both"/>
      <w:rPr>
        <w:rFonts w:ascii="楷体" w:hAnsi="楷体" w:eastAsia="楷体"/>
      </w:rPr>
    </w:pPr>
    <w:r>
      <w:rPr>
        <w:rFonts w:hint="eastAsia" w:ascii="楷体" w:hAnsi="楷体" w:eastAsia="楷体"/>
      </w:rPr>
      <w:t xml:space="preserve">兴通海运股份有限公司 </w:t>
    </w:r>
    <w:r>
      <w:rPr>
        <w:rFonts w:ascii="楷体" w:hAnsi="楷体" w:eastAsia="楷体"/>
      </w:rPr>
      <w:t xml:space="preserve">                                            </w:t>
    </w:r>
    <w:r>
      <w:rPr>
        <w:rFonts w:hint="eastAsia" w:ascii="楷体" w:hAnsi="楷体" w:eastAsia="楷体"/>
      </w:rPr>
      <w:t xml:space="preserve">       </w:t>
    </w:r>
    <w:r>
      <w:rPr>
        <w:rFonts w:ascii="楷体" w:hAnsi="楷体" w:eastAsia="楷体"/>
      </w:rPr>
      <w:t xml:space="preserve">   </w:t>
    </w:r>
    <w:r>
      <w:rPr>
        <w:rFonts w:hint="eastAsia" w:ascii="楷体" w:hAnsi="楷体" w:eastAsia="楷体"/>
      </w:rPr>
      <w:t>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wYzU5ODBhY2VhYjU0NzM0NjA4YjRjMjNjZjU0MmUifQ=="/>
  </w:docVars>
  <w:rsids>
    <w:rsidRoot w:val="00172A27"/>
    <w:rsid w:val="00000D18"/>
    <w:rsid w:val="000076A8"/>
    <w:rsid w:val="00013B2C"/>
    <w:rsid w:val="000251BC"/>
    <w:rsid w:val="00031EDC"/>
    <w:rsid w:val="00032FBF"/>
    <w:rsid w:val="0004190F"/>
    <w:rsid w:val="0006665D"/>
    <w:rsid w:val="00073D83"/>
    <w:rsid w:val="000752AD"/>
    <w:rsid w:val="000B7145"/>
    <w:rsid w:val="000C0917"/>
    <w:rsid w:val="000D1EEA"/>
    <w:rsid w:val="000E0A29"/>
    <w:rsid w:val="000E4A02"/>
    <w:rsid w:val="000F7A15"/>
    <w:rsid w:val="00106CE5"/>
    <w:rsid w:val="00110AC1"/>
    <w:rsid w:val="00110FC0"/>
    <w:rsid w:val="00114B26"/>
    <w:rsid w:val="00121DE3"/>
    <w:rsid w:val="00127A0C"/>
    <w:rsid w:val="00135DE9"/>
    <w:rsid w:val="00136571"/>
    <w:rsid w:val="0014063C"/>
    <w:rsid w:val="001716C9"/>
    <w:rsid w:val="00172A27"/>
    <w:rsid w:val="001764CF"/>
    <w:rsid w:val="00180E8C"/>
    <w:rsid w:val="001C3E04"/>
    <w:rsid w:val="001C65A5"/>
    <w:rsid w:val="001D76A0"/>
    <w:rsid w:val="002051B0"/>
    <w:rsid w:val="0021568D"/>
    <w:rsid w:val="002421F3"/>
    <w:rsid w:val="0025795E"/>
    <w:rsid w:val="002A590A"/>
    <w:rsid w:val="002A5DDA"/>
    <w:rsid w:val="002B1EA1"/>
    <w:rsid w:val="002B2792"/>
    <w:rsid w:val="002B5738"/>
    <w:rsid w:val="002C7C5F"/>
    <w:rsid w:val="003046C0"/>
    <w:rsid w:val="003146EB"/>
    <w:rsid w:val="003168B2"/>
    <w:rsid w:val="00342805"/>
    <w:rsid w:val="00356C12"/>
    <w:rsid w:val="0036096D"/>
    <w:rsid w:val="003712F0"/>
    <w:rsid w:val="00372B7B"/>
    <w:rsid w:val="00382BB7"/>
    <w:rsid w:val="00385F42"/>
    <w:rsid w:val="00394720"/>
    <w:rsid w:val="003A22AA"/>
    <w:rsid w:val="003C56D1"/>
    <w:rsid w:val="003D2184"/>
    <w:rsid w:val="003E6473"/>
    <w:rsid w:val="003F6DC0"/>
    <w:rsid w:val="00402082"/>
    <w:rsid w:val="00415566"/>
    <w:rsid w:val="0042296F"/>
    <w:rsid w:val="00426B09"/>
    <w:rsid w:val="004413F5"/>
    <w:rsid w:val="00453D13"/>
    <w:rsid w:val="00456D35"/>
    <w:rsid w:val="00461E20"/>
    <w:rsid w:val="004646BB"/>
    <w:rsid w:val="00464AC6"/>
    <w:rsid w:val="00476C84"/>
    <w:rsid w:val="004853F9"/>
    <w:rsid w:val="0049067C"/>
    <w:rsid w:val="00496215"/>
    <w:rsid w:val="00496ED9"/>
    <w:rsid w:val="004A215B"/>
    <w:rsid w:val="004B35E2"/>
    <w:rsid w:val="004B42FE"/>
    <w:rsid w:val="004C7EAD"/>
    <w:rsid w:val="004D001F"/>
    <w:rsid w:val="004D45FF"/>
    <w:rsid w:val="004E3115"/>
    <w:rsid w:val="004F3029"/>
    <w:rsid w:val="0050067C"/>
    <w:rsid w:val="005026B6"/>
    <w:rsid w:val="00502E9C"/>
    <w:rsid w:val="00520FE3"/>
    <w:rsid w:val="0052527D"/>
    <w:rsid w:val="00527CF4"/>
    <w:rsid w:val="00532959"/>
    <w:rsid w:val="005515C2"/>
    <w:rsid w:val="00556BB3"/>
    <w:rsid w:val="0056159D"/>
    <w:rsid w:val="00563FA2"/>
    <w:rsid w:val="005703A5"/>
    <w:rsid w:val="005761E2"/>
    <w:rsid w:val="005858D9"/>
    <w:rsid w:val="0059023D"/>
    <w:rsid w:val="00593A35"/>
    <w:rsid w:val="005B02EB"/>
    <w:rsid w:val="005D4B0E"/>
    <w:rsid w:val="0060293E"/>
    <w:rsid w:val="00605E6F"/>
    <w:rsid w:val="00613EDC"/>
    <w:rsid w:val="0062262A"/>
    <w:rsid w:val="006264DF"/>
    <w:rsid w:val="00627ADB"/>
    <w:rsid w:val="00646058"/>
    <w:rsid w:val="00661F6B"/>
    <w:rsid w:val="00664FF6"/>
    <w:rsid w:val="006655B9"/>
    <w:rsid w:val="006672F6"/>
    <w:rsid w:val="006B22F5"/>
    <w:rsid w:val="006C7C57"/>
    <w:rsid w:val="006D2E8D"/>
    <w:rsid w:val="006D389E"/>
    <w:rsid w:val="00706B15"/>
    <w:rsid w:val="00711238"/>
    <w:rsid w:val="0071206F"/>
    <w:rsid w:val="00712771"/>
    <w:rsid w:val="00720F84"/>
    <w:rsid w:val="0073320D"/>
    <w:rsid w:val="00736A80"/>
    <w:rsid w:val="00742D08"/>
    <w:rsid w:val="007460EB"/>
    <w:rsid w:val="00746C2A"/>
    <w:rsid w:val="007713DA"/>
    <w:rsid w:val="00792EEF"/>
    <w:rsid w:val="007A4530"/>
    <w:rsid w:val="007A6F30"/>
    <w:rsid w:val="007A7D7C"/>
    <w:rsid w:val="007B371D"/>
    <w:rsid w:val="007B4CF9"/>
    <w:rsid w:val="007D738A"/>
    <w:rsid w:val="007F2858"/>
    <w:rsid w:val="007F717B"/>
    <w:rsid w:val="007F74C6"/>
    <w:rsid w:val="007F7552"/>
    <w:rsid w:val="00800D77"/>
    <w:rsid w:val="00804B8F"/>
    <w:rsid w:val="00804DE1"/>
    <w:rsid w:val="008057B4"/>
    <w:rsid w:val="008525B9"/>
    <w:rsid w:val="00854B7A"/>
    <w:rsid w:val="00870B23"/>
    <w:rsid w:val="00891E31"/>
    <w:rsid w:val="008A10B2"/>
    <w:rsid w:val="008B1C28"/>
    <w:rsid w:val="008C24CC"/>
    <w:rsid w:val="008C7E7C"/>
    <w:rsid w:val="008D1D7F"/>
    <w:rsid w:val="008F64E9"/>
    <w:rsid w:val="008F77EE"/>
    <w:rsid w:val="00904EA2"/>
    <w:rsid w:val="00940831"/>
    <w:rsid w:val="00950339"/>
    <w:rsid w:val="00960FAA"/>
    <w:rsid w:val="009626AA"/>
    <w:rsid w:val="0097726C"/>
    <w:rsid w:val="0098145D"/>
    <w:rsid w:val="009830FD"/>
    <w:rsid w:val="009918C4"/>
    <w:rsid w:val="009A084D"/>
    <w:rsid w:val="009B005C"/>
    <w:rsid w:val="009B0125"/>
    <w:rsid w:val="009B58AF"/>
    <w:rsid w:val="009C379C"/>
    <w:rsid w:val="009D40D8"/>
    <w:rsid w:val="009D718A"/>
    <w:rsid w:val="009E1B35"/>
    <w:rsid w:val="009E74AD"/>
    <w:rsid w:val="009F29D5"/>
    <w:rsid w:val="009F3F06"/>
    <w:rsid w:val="00A05634"/>
    <w:rsid w:val="00A127DE"/>
    <w:rsid w:val="00A24A6E"/>
    <w:rsid w:val="00A55870"/>
    <w:rsid w:val="00A62859"/>
    <w:rsid w:val="00A6428F"/>
    <w:rsid w:val="00A73B46"/>
    <w:rsid w:val="00A82D19"/>
    <w:rsid w:val="00A93B61"/>
    <w:rsid w:val="00A950CC"/>
    <w:rsid w:val="00A96029"/>
    <w:rsid w:val="00AA1054"/>
    <w:rsid w:val="00AB3F05"/>
    <w:rsid w:val="00AC1815"/>
    <w:rsid w:val="00AC36A7"/>
    <w:rsid w:val="00AD1BB4"/>
    <w:rsid w:val="00AE1D23"/>
    <w:rsid w:val="00AF121D"/>
    <w:rsid w:val="00B029F9"/>
    <w:rsid w:val="00B0524B"/>
    <w:rsid w:val="00B16C30"/>
    <w:rsid w:val="00B273B0"/>
    <w:rsid w:val="00B418A3"/>
    <w:rsid w:val="00B533A2"/>
    <w:rsid w:val="00B5658A"/>
    <w:rsid w:val="00B62C32"/>
    <w:rsid w:val="00B85A0D"/>
    <w:rsid w:val="00B90446"/>
    <w:rsid w:val="00BA14F2"/>
    <w:rsid w:val="00BA5BFE"/>
    <w:rsid w:val="00BB4944"/>
    <w:rsid w:val="00BD0C60"/>
    <w:rsid w:val="00BE2645"/>
    <w:rsid w:val="00BE67F0"/>
    <w:rsid w:val="00C00770"/>
    <w:rsid w:val="00C064EA"/>
    <w:rsid w:val="00C3372B"/>
    <w:rsid w:val="00C358B5"/>
    <w:rsid w:val="00C42CBD"/>
    <w:rsid w:val="00C4451C"/>
    <w:rsid w:val="00C51B18"/>
    <w:rsid w:val="00C5461F"/>
    <w:rsid w:val="00C57D81"/>
    <w:rsid w:val="00C61A3F"/>
    <w:rsid w:val="00C63FD3"/>
    <w:rsid w:val="00C70626"/>
    <w:rsid w:val="00C95434"/>
    <w:rsid w:val="00CA27D4"/>
    <w:rsid w:val="00CA2A45"/>
    <w:rsid w:val="00CA6F63"/>
    <w:rsid w:val="00CC62F4"/>
    <w:rsid w:val="00CC75B4"/>
    <w:rsid w:val="00CE3455"/>
    <w:rsid w:val="00CF0115"/>
    <w:rsid w:val="00CF0E73"/>
    <w:rsid w:val="00CF47E1"/>
    <w:rsid w:val="00CF6E94"/>
    <w:rsid w:val="00D0634E"/>
    <w:rsid w:val="00D1386F"/>
    <w:rsid w:val="00D156EC"/>
    <w:rsid w:val="00D320C3"/>
    <w:rsid w:val="00D83A19"/>
    <w:rsid w:val="00DA0D89"/>
    <w:rsid w:val="00DA3C8F"/>
    <w:rsid w:val="00DB35E3"/>
    <w:rsid w:val="00DC6FE4"/>
    <w:rsid w:val="00DD0014"/>
    <w:rsid w:val="00DD5690"/>
    <w:rsid w:val="00DE1B2B"/>
    <w:rsid w:val="00DE7187"/>
    <w:rsid w:val="00DF0E83"/>
    <w:rsid w:val="00DF2823"/>
    <w:rsid w:val="00DF3D1C"/>
    <w:rsid w:val="00E055F9"/>
    <w:rsid w:val="00E11158"/>
    <w:rsid w:val="00E23166"/>
    <w:rsid w:val="00E27593"/>
    <w:rsid w:val="00E33B82"/>
    <w:rsid w:val="00E37D7D"/>
    <w:rsid w:val="00E42839"/>
    <w:rsid w:val="00E43D1B"/>
    <w:rsid w:val="00E43E56"/>
    <w:rsid w:val="00E46E07"/>
    <w:rsid w:val="00E509DB"/>
    <w:rsid w:val="00E51087"/>
    <w:rsid w:val="00E751D8"/>
    <w:rsid w:val="00E90C93"/>
    <w:rsid w:val="00E91FB3"/>
    <w:rsid w:val="00E9483C"/>
    <w:rsid w:val="00E95915"/>
    <w:rsid w:val="00EA7263"/>
    <w:rsid w:val="00EB5181"/>
    <w:rsid w:val="00EC7D20"/>
    <w:rsid w:val="00EE0078"/>
    <w:rsid w:val="00EE1486"/>
    <w:rsid w:val="00EE5C90"/>
    <w:rsid w:val="00EE7267"/>
    <w:rsid w:val="00EF18FB"/>
    <w:rsid w:val="00F05D98"/>
    <w:rsid w:val="00F3084E"/>
    <w:rsid w:val="00F347DB"/>
    <w:rsid w:val="00F3591D"/>
    <w:rsid w:val="00F572D6"/>
    <w:rsid w:val="00F6067C"/>
    <w:rsid w:val="00F6299C"/>
    <w:rsid w:val="00F65DD0"/>
    <w:rsid w:val="00F67637"/>
    <w:rsid w:val="00F739E9"/>
    <w:rsid w:val="00F7709D"/>
    <w:rsid w:val="00F838D5"/>
    <w:rsid w:val="00FA5733"/>
    <w:rsid w:val="00FA5D36"/>
    <w:rsid w:val="00FB0456"/>
    <w:rsid w:val="00FB04BE"/>
    <w:rsid w:val="00FE2E5A"/>
    <w:rsid w:val="00FF5BE3"/>
    <w:rsid w:val="017B5D79"/>
    <w:rsid w:val="0183426C"/>
    <w:rsid w:val="01EE19B6"/>
    <w:rsid w:val="01EE5E5A"/>
    <w:rsid w:val="049523C1"/>
    <w:rsid w:val="04F97CCA"/>
    <w:rsid w:val="065555BF"/>
    <w:rsid w:val="070E2695"/>
    <w:rsid w:val="07F02019"/>
    <w:rsid w:val="0A14667A"/>
    <w:rsid w:val="0C300E1D"/>
    <w:rsid w:val="0E247E54"/>
    <w:rsid w:val="0E7A578B"/>
    <w:rsid w:val="109D6F02"/>
    <w:rsid w:val="119E71F5"/>
    <w:rsid w:val="11CB5DFD"/>
    <w:rsid w:val="11CE2C72"/>
    <w:rsid w:val="11F56D91"/>
    <w:rsid w:val="1206249F"/>
    <w:rsid w:val="156C1118"/>
    <w:rsid w:val="15E15640"/>
    <w:rsid w:val="16AE717B"/>
    <w:rsid w:val="17677CE7"/>
    <w:rsid w:val="17A07CDA"/>
    <w:rsid w:val="181E3EC5"/>
    <w:rsid w:val="19572ABE"/>
    <w:rsid w:val="1A2E46C4"/>
    <w:rsid w:val="1B33700C"/>
    <w:rsid w:val="1C764385"/>
    <w:rsid w:val="1CE5103E"/>
    <w:rsid w:val="1ED7674D"/>
    <w:rsid w:val="1F8D7C0B"/>
    <w:rsid w:val="20AF15DB"/>
    <w:rsid w:val="21E9493A"/>
    <w:rsid w:val="22251B98"/>
    <w:rsid w:val="223034CD"/>
    <w:rsid w:val="223C40BF"/>
    <w:rsid w:val="2262572B"/>
    <w:rsid w:val="22A7686E"/>
    <w:rsid w:val="235A2249"/>
    <w:rsid w:val="23DB3F63"/>
    <w:rsid w:val="23F93CED"/>
    <w:rsid w:val="24370A13"/>
    <w:rsid w:val="24465EFD"/>
    <w:rsid w:val="264E35F1"/>
    <w:rsid w:val="27A137C5"/>
    <w:rsid w:val="27E7113F"/>
    <w:rsid w:val="28BA4CA4"/>
    <w:rsid w:val="28F17E5A"/>
    <w:rsid w:val="293746B6"/>
    <w:rsid w:val="29EA365B"/>
    <w:rsid w:val="2B3631F4"/>
    <w:rsid w:val="2C433892"/>
    <w:rsid w:val="2C946F5F"/>
    <w:rsid w:val="2D76092E"/>
    <w:rsid w:val="2D8C5D2A"/>
    <w:rsid w:val="2E2A24F3"/>
    <w:rsid w:val="2E4647A4"/>
    <w:rsid w:val="2E7712D2"/>
    <w:rsid w:val="2F2D7D98"/>
    <w:rsid w:val="2F98270C"/>
    <w:rsid w:val="2FE3015E"/>
    <w:rsid w:val="311862D7"/>
    <w:rsid w:val="328A7DFC"/>
    <w:rsid w:val="32BE4D76"/>
    <w:rsid w:val="32C81412"/>
    <w:rsid w:val="333C0424"/>
    <w:rsid w:val="33723946"/>
    <w:rsid w:val="343E41D6"/>
    <w:rsid w:val="34DB41A2"/>
    <w:rsid w:val="35A45FF2"/>
    <w:rsid w:val="35D501BC"/>
    <w:rsid w:val="35ED23EA"/>
    <w:rsid w:val="377C5B85"/>
    <w:rsid w:val="386D45D5"/>
    <w:rsid w:val="38EF7122"/>
    <w:rsid w:val="3A1054F9"/>
    <w:rsid w:val="3C990195"/>
    <w:rsid w:val="3CFC0724"/>
    <w:rsid w:val="3D725FAB"/>
    <w:rsid w:val="3F855194"/>
    <w:rsid w:val="40300E10"/>
    <w:rsid w:val="40A418D2"/>
    <w:rsid w:val="410114B3"/>
    <w:rsid w:val="41A373AE"/>
    <w:rsid w:val="41D1126B"/>
    <w:rsid w:val="41EA240C"/>
    <w:rsid w:val="41F1637D"/>
    <w:rsid w:val="434057B6"/>
    <w:rsid w:val="443E4C7C"/>
    <w:rsid w:val="448500D7"/>
    <w:rsid w:val="44C47D79"/>
    <w:rsid w:val="454300F1"/>
    <w:rsid w:val="460F5E9A"/>
    <w:rsid w:val="469836BD"/>
    <w:rsid w:val="47A81BD4"/>
    <w:rsid w:val="47E96367"/>
    <w:rsid w:val="48D53BBB"/>
    <w:rsid w:val="4A29327C"/>
    <w:rsid w:val="4B7C2CA2"/>
    <w:rsid w:val="4D61085B"/>
    <w:rsid w:val="4DC2676B"/>
    <w:rsid w:val="4DF47921"/>
    <w:rsid w:val="4ED46D2F"/>
    <w:rsid w:val="502E7353"/>
    <w:rsid w:val="529556D0"/>
    <w:rsid w:val="52F82D14"/>
    <w:rsid w:val="53B042EA"/>
    <w:rsid w:val="53B8703C"/>
    <w:rsid w:val="555F668F"/>
    <w:rsid w:val="576015AA"/>
    <w:rsid w:val="589E4491"/>
    <w:rsid w:val="595653E6"/>
    <w:rsid w:val="5A1465A0"/>
    <w:rsid w:val="5A61633E"/>
    <w:rsid w:val="5BE2009F"/>
    <w:rsid w:val="5CCB2E66"/>
    <w:rsid w:val="5D3729BA"/>
    <w:rsid w:val="5DD64418"/>
    <w:rsid w:val="5F1C2834"/>
    <w:rsid w:val="5F253E4C"/>
    <w:rsid w:val="5FCA3512"/>
    <w:rsid w:val="601A5E43"/>
    <w:rsid w:val="60367BD9"/>
    <w:rsid w:val="604444D1"/>
    <w:rsid w:val="60EF1139"/>
    <w:rsid w:val="61F46C76"/>
    <w:rsid w:val="62CE052D"/>
    <w:rsid w:val="63DA2CBD"/>
    <w:rsid w:val="64421FF9"/>
    <w:rsid w:val="65BF7904"/>
    <w:rsid w:val="67744CBA"/>
    <w:rsid w:val="679019F7"/>
    <w:rsid w:val="67E26C44"/>
    <w:rsid w:val="67E5006B"/>
    <w:rsid w:val="67E759A9"/>
    <w:rsid w:val="68631113"/>
    <w:rsid w:val="6A3749C6"/>
    <w:rsid w:val="6A4C654C"/>
    <w:rsid w:val="6D16193B"/>
    <w:rsid w:val="712138AD"/>
    <w:rsid w:val="7143510B"/>
    <w:rsid w:val="71DF6F94"/>
    <w:rsid w:val="74B93FC4"/>
    <w:rsid w:val="759230CE"/>
    <w:rsid w:val="76353AB5"/>
    <w:rsid w:val="77170F04"/>
    <w:rsid w:val="77AE203F"/>
    <w:rsid w:val="77F558E4"/>
    <w:rsid w:val="77F9523C"/>
    <w:rsid w:val="79A35C54"/>
    <w:rsid w:val="7A530D70"/>
    <w:rsid w:val="7B452B70"/>
    <w:rsid w:val="7BA3070B"/>
    <w:rsid w:val="7D0D15B6"/>
    <w:rsid w:val="7DA80D81"/>
    <w:rsid w:val="7E6D5641"/>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autoRedefine/>
    <w:semiHidden/>
    <w:unhideWhenUsed/>
    <w:qFormat/>
    <w:uiPriority w:val="0"/>
    <w:pPr>
      <w:jc w:val="left"/>
    </w:pPr>
  </w:style>
  <w:style w:type="paragraph" w:styleId="3">
    <w:name w:val="Balloon Text"/>
    <w:basedOn w:val="1"/>
    <w:link w:val="20"/>
    <w:autoRedefine/>
    <w:semiHidden/>
    <w:unhideWhenUsed/>
    <w:qFormat/>
    <w:uiPriority w:val="0"/>
    <w:rPr>
      <w:sz w:val="18"/>
      <w:szCs w:val="18"/>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autoRedefine/>
    <w:semiHidden/>
    <w:unhideWhenUsed/>
    <w:qFormat/>
    <w:uiPriority w:val="0"/>
    <w:rPr>
      <w:b/>
      <w:bCs/>
    </w:rPr>
  </w:style>
  <w:style w:type="table" w:styleId="8">
    <w:name w:val="Table Grid"/>
    <w:basedOn w:val="7"/>
    <w:autoRedefine/>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autoRedefine/>
    <w:semiHidden/>
    <w:unhideWhenUsed/>
    <w:qFormat/>
    <w:uiPriority w:val="0"/>
    <w:rPr>
      <w:sz w:val="21"/>
      <w:szCs w:val="21"/>
    </w:rPr>
  </w:style>
  <w:style w:type="paragraph" w:customStyle="1" w:styleId="11">
    <w:name w:val="Table Paragraph"/>
    <w:basedOn w:val="1"/>
    <w:autoRedefine/>
    <w:qFormat/>
    <w:uiPriority w:val="0"/>
    <w:pPr>
      <w:jc w:val="left"/>
    </w:pPr>
    <w:rPr>
      <w:kern w:val="0"/>
      <w:sz w:val="22"/>
      <w:szCs w:val="22"/>
    </w:rPr>
  </w:style>
  <w:style w:type="table" w:customStyle="1" w:styleId="12">
    <w:name w:val="Table Normal"/>
    <w:basedOn w:val="7"/>
    <w:autoRedefine/>
    <w:semiHidden/>
    <w:qFormat/>
    <w:uiPriority w:val="0"/>
    <w:tblPr>
      <w:tblCellMar>
        <w:top w:w="0" w:type="dxa"/>
        <w:left w:w="0" w:type="dxa"/>
        <w:bottom w:w="0" w:type="dxa"/>
        <w:right w:w="0" w:type="dxa"/>
      </w:tblCellMar>
    </w:tblPr>
  </w:style>
  <w:style w:type="character" w:customStyle="1" w:styleId="13">
    <w:name w:val="页眉 Char"/>
    <w:link w:val="5"/>
    <w:autoRedefine/>
    <w:qFormat/>
    <w:uiPriority w:val="0"/>
    <w:rPr>
      <w:rFonts w:cs="Times New Roman"/>
      <w:kern w:val="2"/>
      <w:sz w:val="18"/>
      <w:szCs w:val="18"/>
    </w:rPr>
  </w:style>
  <w:style w:type="character" w:customStyle="1" w:styleId="14">
    <w:name w:val="页脚 Char"/>
    <w:link w:val="4"/>
    <w:autoRedefine/>
    <w:qFormat/>
    <w:uiPriority w:val="0"/>
    <w:rPr>
      <w:rFonts w:cs="Times New Roman"/>
      <w:kern w:val="2"/>
      <w:sz w:val="18"/>
      <w:szCs w:val="18"/>
    </w:rPr>
  </w:style>
  <w:style w:type="paragraph" w:customStyle="1" w:styleId="15">
    <w:name w:val="列表段落1"/>
    <w:basedOn w:val="1"/>
    <w:autoRedefine/>
    <w:qFormat/>
    <w:uiPriority w:val="99"/>
    <w:pPr>
      <w:ind w:firstLine="420" w:firstLineChars="200"/>
    </w:pPr>
  </w:style>
  <w:style w:type="character" w:customStyle="1" w:styleId="16">
    <w:name w:val="oli-avatar-text"/>
    <w:basedOn w:val="9"/>
    <w:autoRedefine/>
    <w:qFormat/>
    <w:uiPriority w:val="0"/>
  </w:style>
  <w:style w:type="paragraph" w:styleId="17">
    <w:name w:val="List Paragraph"/>
    <w:basedOn w:val="1"/>
    <w:autoRedefine/>
    <w:qFormat/>
    <w:uiPriority w:val="99"/>
    <w:pPr>
      <w:ind w:firstLine="420" w:firstLineChars="200"/>
    </w:pPr>
  </w:style>
  <w:style w:type="character" w:customStyle="1" w:styleId="18">
    <w:name w:val="批注文字 Char"/>
    <w:basedOn w:val="9"/>
    <w:link w:val="2"/>
    <w:autoRedefine/>
    <w:semiHidden/>
    <w:qFormat/>
    <w:uiPriority w:val="0"/>
    <w:rPr>
      <w:rFonts w:cs="Times New Roman"/>
      <w:kern w:val="2"/>
      <w:sz w:val="21"/>
      <w:szCs w:val="24"/>
    </w:rPr>
  </w:style>
  <w:style w:type="character" w:customStyle="1" w:styleId="19">
    <w:name w:val="批注主题 Char"/>
    <w:basedOn w:val="18"/>
    <w:link w:val="6"/>
    <w:autoRedefine/>
    <w:semiHidden/>
    <w:qFormat/>
    <w:uiPriority w:val="0"/>
    <w:rPr>
      <w:rFonts w:cs="Times New Roman"/>
      <w:b/>
      <w:bCs/>
      <w:kern w:val="2"/>
      <w:sz w:val="21"/>
      <w:szCs w:val="24"/>
    </w:rPr>
  </w:style>
  <w:style w:type="character" w:customStyle="1" w:styleId="20">
    <w:name w:val="批注框文本 Char"/>
    <w:basedOn w:val="9"/>
    <w:link w:val="3"/>
    <w:autoRedefine/>
    <w:semiHidden/>
    <w:qFormat/>
    <w:uiPriority w:val="0"/>
    <w:rPr>
      <w:rFonts w:cs="Times New Roman"/>
      <w:kern w:val="2"/>
      <w:sz w:val="18"/>
      <w:szCs w:val="18"/>
    </w:rPr>
  </w:style>
  <w:style w:type="paragraph" w:customStyle="1" w:styleId="21">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2">
    <w:name w:val="修订1"/>
    <w:autoRedefine/>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3</Pages>
  <Words>1439</Words>
  <Characters>1688</Characters>
  <Lines>18</Lines>
  <Paragraphs>5</Paragraphs>
  <TotalTime>3</TotalTime>
  <ScaleCrop>false</ScaleCrop>
  <LinksUpToDate>false</LinksUpToDate>
  <CharactersWithSpaces>1769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2024-11-29T10:20:00Z</dcterms:created>
  <dc:creator>86186</dc:creator>
  <cp:lastModifiedBy>No、</cp:lastModifiedBy>
  <cp:lastPrinted>2022-03-16T07:42:00Z</cp:lastPrinted>
  <dcterms:modified xsi:type="dcterms:W3CDTF">2025-04-01T09:16:57Z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F549F0DC7F2B42429F9A3A13885BB1FA_13</vt:lpwstr>
  </property>
  <property fmtid="{D5CDD505-2E9C-101B-9397-08002B2CF9AE}" pid="4" name="KSOTemplateDocerSaveRecord">
    <vt:lpwstr>eyJoZGlkIjoiNTU0ZmIwYTQ3NzlmZGUxZmU3Zjk0M2IyZTNmM2IxNjAiLCJ1c2VySWQiOiIzMDI2MTkyOTMifQ==</vt:lpwstr>
  </property>
</Properties>
</file>