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3A118">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证券代码：601828                                 证券简称：美凯龙</w:t>
      </w:r>
    </w:p>
    <w:p w14:paraId="6F081060">
      <w:pPr>
        <w:spacing w:before="156" w:beforeLines="50" w:after="156" w:afterLines="50" w:line="400" w:lineRule="exact"/>
        <w:ind w:firstLine="720" w:firstLineChars="300"/>
        <w:rPr>
          <w:rFonts w:ascii="宋体" w:hAnsi="宋体"/>
          <w:bCs/>
          <w:iCs/>
          <w:color w:val="000000"/>
          <w:sz w:val="24"/>
        </w:rPr>
      </w:pPr>
    </w:p>
    <w:p w14:paraId="236919F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红星美凯龙家居集团股份有限公司投资者关系活动记录表</w:t>
      </w:r>
    </w:p>
    <w:p w14:paraId="12166344">
      <w:pPr>
        <w:spacing w:line="400" w:lineRule="exact"/>
        <w:rPr>
          <w:rFonts w:ascii="宋体" w:hAnsi="宋体"/>
          <w:bCs/>
          <w:iCs/>
          <w:color w:val="000000"/>
          <w:sz w:val="24"/>
        </w:rPr>
      </w:pPr>
      <w:r>
        <w:rPr>
          <w:rFonts w:hint="eastAsia" w:ascii="宋体" w:hAnsi="宋体"/>
          <w:bCs/>
          <w:iCs/>
          <w:color w:val="000000"/>
          <w:sz w:val="24"/>
        </w:rPr>
        <w:t xml:space="preserve">                                                              编号：202</w:t>
      </w:r>
      <w:r>
        <w:rPr>
          <w:rFonts w:hint="eastAsia" w:ascii="宋体" w:hAnsi="宋体"/>
          <w:bCs/>
          <w:iCs/>
          <w:color w:val="000000"/>
          <w:sz w:val="24"/>
          <w:lang w:val="en-US" w:eastAsia="zh-CN"/>
        </w:rPr>
        <w:t>5</w:t>
      </w:r>
      <w:r>
        <w:rPr>
          <w:rFonts w:ascii="宋体" w:hAnsi="宋体"/>
          <w:bCs/>
          <w:iCs/>
          <w:color w:val="000000"/>
          <w:sz w:val="24"/>
        </w:rPr>
        <w:t>01</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80"/>
      </w:tblGrid>
      <w:tr w14:paraId="37A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FEADA34">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14:paraId="6FC1E710">
            <w:pPr>
              <w:spacing w:line="312" w:lineRule="auto"/>
              <w:rPr>
                <w:rFonts w:ascii="宋体" w:hAnsi="宋体"/>
                <w:b/>
                <w:bCs/>
                <w:iCs/>
                <w:color w:val="000000"/>
                <w:sz w:val="24"/>
                <w:szCs w:val="24"/>
              </w:rPr>
            </w:pPr>
          </w:p>
        </w:tc>
        <w:tc>
          <w:tcPr>
            <w:tcW w:w="7380" w:type="dxa"/>
          </w:tcPr>
          <w:p w14:paraId="7CCA397C">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14:paraId="750C40CE">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sz w:val="24"/>
                <w:szCs w:val="24"/>
                <w:lang w:eastAsia="zh-CN"/>
              </w:rPr>
              <w:t>☑</w:t>
            </w:r>
            <w:r>
              <w:rPr>
                <w:rFonts w:hint="eastAsia" w:ascii="宋体" w:hAnsi="宋体"/>
                <w:sz w:val="24"/>
                <w:szCs w:val="24"/>
              </w:rPr>
              <w:t xml:space="preserve">业绩说明会 </w:t>
            </w:r>
          </w:p>
          <w:p w14:paraId="721F1B4A">
            <w:pPr>
              <w:spacing w:line="312" w:lineRule="auto"/>
              <w:rPr>
                <w:rFonts w:ascii="宋体" w:hAnsi="宋体"/>
                <w:bCs/>
                <w:iCs/>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14:paraId="2E66DAD9">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r>
              <w:rPr>
                <w:rFonts w:ascii="宋体" w:hAnsi="宋体"/>
                <w:bCs/>
                <w:iCs/>
                <w:color w:val="000000"/>
                <w:sz w:val="24"/>
                <w:szCs w:val="24"/>
              </w:rPr>
              <w:tab/>
            </w:r>
          </w:p>
          <w:p w14:paraId="3AE67F23">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14:paraId="774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908" w:type="dxa"/>
            <w:vAlign w:val="center"/>
          </w:tcPr>
          <w:p w14:paraId="4DA25581">
            <w:pPr>
              <w:spacing w:line="312" w:lineRule="auto"/>
              <w:rPr>
                <w:rFonts w:ascii="宋体" w:hAnsi="宋体"/>
                <w:b/>
                <w:bCs/>
                <w:iCs/>
                <w:color w:val="000000"/>
                <w:sz w:val="24"/>
                <w:szCs w:val="24"/>
              </w:rPr>
            </w:pPr>
            <w:r>
              <w:rPr>
                <w:rFonts w:hint="eastAsia" w:ascii="宋体" w:hAnsi="宋体"/>
                <w:b/>
                <w:bCs/>
                <w:iCs/>
                <w:color w:val="000000"/>
                <w:sz w:val="24"/>
                <w:szCs w:val="24"/>
              </w:rPr>
              <w:t>参与单位名称及人员姓名</w:t>
            </w:r>
          </w:p>
        </w:tc>
        <w:tc>
          <w:tcPr>
            <w:tcW w:w="7380" w:type="dxa"/>
            <w:vAlign w:val="center"/>
          </w:tcPr>
          <w:p w14:paraId="7FB01449">
            <w:pPr>
              <w:numPr>
                <w:ilvl w:val="0"/>
                <w:numId w:val="0"/>
              </w:numPr>
              <w:spacing w:line="312" w:lineRule="auto"/>
              <w:ind w:leftChars="0"/>
              <w:rPr>
                <w:rFonts w:ascii="宋体" w:hAnsi="宋体"/>
                <w:bCs/>
                <w:iCs/>
                <w:color w:val="000000"/>
                <w:sz w:val="24"/>
                <w:szCs w:val="24"/>
              </w:rPr>
            </w:pPr>
            <w:r>
              <w:rPr>
                <w:rFonts w:hint="default" w:ascii="宋体" w:hAnsi="宋体"/>
                <w:bCs/>
                <w:iCs/>
                <w:color w:val="000000"/>
                <w:sz w:val="24"/>
                <w:szCs w:val="24"/>
                <w:lang w:val="en-US" w:eastAsia="zh-CN"/>
              </w:rPr>
              <w:t>长江证券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浙商资管</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华安基金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东吴基金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中加基金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中信保诚基金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中金基金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国金基金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富安达基金</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仁桥资产</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厚特投资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明达资产</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玄卜投资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贝溢投资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天猊投资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度势投资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长谋投资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远信私募</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混沌投资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明河投资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鸿运私募</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星石投资</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国华兴益</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平安资管</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泰康资产</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杭州银行</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华泰资管</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东兴证券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东方自营</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LONG RIVER I NVESTMENT</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IGWT Investment</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中信证券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国联证券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国</w:t>
            </w:r>
            <w:r>
              <w:rPr>
                <w:rFonts w:hint="eastAsia" w:ascii="宋体" w:hAnsi="宋体"/>
                <w:bCs/>
                <w:iCs/>
                <w:color w:val="000000"/>
                <w:sz w:val="24"/>
                <w:szCs w:val="24"/>
                <w:lang w:val="en-US" w:eastAsia="zh-CN"/>
              </w:rPr>
              <w:t>海</w:t>
            </w:r>
            <w:r>
              <w:rPr>
                <w:rFonts w:hint="default" w:ascii="宋体" w:hAnsi="宋体"/>
                <w:bCs/>
                <w:iCs/>
                <w:color w:val="000000"/>
                <w:sz w:val="24"/>
                <w:szCs w:val="24"/>
                <w:lang w:val="en-US" w:eastAsia="zh-CN"/>
              </w:rPr>
              <w:t>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东方证券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华福证券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东北证券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中邮证券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东吴证券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东方财富证券</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中信建投证券</w:t>
            </w:r>
            <w:r>
              <w:rPr>
                <w:rFonts w:hint="eastAsia" w:ascii="宋体" w:hAnsi="宋体"/>
                <w:bCs/>
                <w:iCs/>
                <w:color w:val="000000"/>
                <w:sz w:val="24"/>
                <w:szCs w:val="24"/>
                <w:lang w:val="en-US" w:eastAsia="zh-CN"/>
              </w:rPr>
              <w:t>等超50家机构</w:t>
            </w:r>
          </w:p>
        </w:tc>
      </w:tr>
      <w:tr w14:paraId="1B2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A7D0C23">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7380" w:type="dxa"/>
          </w:tcPr>
          <w:p w14:paraId="7A4744E5">
            <w:pPr>
              <w:spacing w:line="312" w:lineRule="auto"/>
              <w:rPr>
                <w:rFonts w:hint="default" w:ascii="宋体" w:hAnsi="宋体" w:eastAsia="宋体"/>
                <w:bCs/>
                <w:iCs/>
                <w:color w:val="000000"/>
                <w:sz w:val="24"/>
                <w:szCs w:val="24"/>
                <w:lang w:val="en-US" w:eastAsia="zh-CN"/>
              </w:rPr>
            </w:pPr>
            <w:r>
              <w:rPr>
                <w:rFonts w:hint="eastAsia" w:ascii="宋体" w:hAnsi="宋体"/>
                <w:bCs/>
                <w:iCs/>
                <w:color w:val="000000"/>
                <w:sz w:val="24"/>
                <w:szCs w:val="24"/>
              </w:rPr>
              <w:t>202</w:t>
            </w:r>
            <w:r>
              <w:rPr>
                <w:rFonts w:hint="eastAsia" w:ascii="宋体" w:hAnsi="宋体"/>
                <w:bCs/>
                <w:iCs/>
                <w:color w:val="000000"/>
                <w:sz w:val="24"/>
                <w:szCs w:val="24"/>
                <w:lang w:val="en-US" w:eastAsia="zh-CN"/>
              </w:rPr>
              <w:t>5</w:t>
            </w:r>
            <w:r>
              <w:rPr>
                <w:rFonts w:hint="eastAsia" w:ascii="宋体" w:hAnsi="宋体"/>
                <w:bCs/>
                <w:iCs/>
                <w:color w:val="000000"/>
                <w:sz w:val="24"/>
                <w:szCs w:val="24"/>
              </w:rPr>
              <w:t>年</w:t>
            </w:r>
            <w:r>
              <w:rPr>
                <w:rFonts w:hint="eastAsia" w:ascii="宋体" w:hAnsi="宋体"/>
                <w:bCs/>
                <w:iCs/>
                <w:color w:val="000000"/>
                <w:sz w:val="24"/>
                <w:szCs w:val="24"/>
                <w:lang w:val="en-US" w:eastAsia="zh-CN"/>
              </w:rPr>
              <w:t>4</w:t>
            </w:r>
            <w:r>
              <w:rPr>
                <w:rFonts w:hint="eastAsia" w:ascii="宋体" w:hAnsi="宋体"/>
                <w:bCs/>
                <w:iCs/>
                <w:color w:val="000000"/>
                <w:sz w:val="24"/>
                <w:szCs w:val="24"/>
              </w:rPr>
              <w:t>月</w:t>
            </w:r>
            <w:r>
              <w:rPr>
                <w:rFonts w:hint="eastAsia" w:ascii="宋体" w:hAnsi="宋体"/>
                <w:bCs/>
                <w:iCs/>
                <w:color w:val="000000"/>
                <w:sz w:val="24"/>
                <w:szCs w:val="24"/>
                <w:lang w:val="en-US" w:eastAsia="zh-CN"/>
              </w:rPr>
              <w:t>3日 10:00-11：00</w:t>
            </w:r>
          </w:p>
        </w:tc>
      </w:tr>
      <w:tr w14:paraId="424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DFED40D">
            <w:pPr>
              <w:spacing w:line="312" w:lineRule="auto"/>
              <w:rPr>
                <w:rFonts w:ascii="宋体" w:hAnsi="宋体"/>
                <w:b/>
                <w:bCs/>
                <w:iCs/>
                <w:color w:val="000000"/>
                <w:sz w:val="24"/>
                <w:szCs w:val="24"/>
              </w:rPr>
            </w:pPr>
            <w:r>
              <w:rPr>
                <w:rFonts w:hint="eastAsia" w:ascii="宋体" w:hAnsi="宋体"/>
                <w:b/>
                <w:bCs/>
                <w:iCs/>
                <w:color w:val="000000"/>
                <w:sz w:val="24"/>
                <w:szCs w:val="24"/>
              </w:rPr>
              <w:t>地点</w:t>
            </w:r>
          </w:p>
        </w:tc>
        <w:tc>
          <w:tcPr>
            <w:tcW w:w="7380" w:type="dxa"/>
          </w:tcPr>
          <w:p w14:paraId="1419F129">
            <w:pPr>
              <w:spacing w:line="312" w:lineRule="auto"/>
              <w:rPr>
                <w:rFonts w:hint="default" w:ascii="宋体" w:hAnsi="宋体" w:eastAsia="宋体"/>
                <w:bCs/>
                <w:iCs/>
                <w:color w:val="000000"/>
                <w:sz w:val="24"/>
                <w:szCs w:val="24"/>
                <w:lang w:val="en-US" w:eastAsia="zh-CN"/>
              </w:rPr>
            </w:pPr>
            <w:r>
              <w:rPr>
                <w:rFonts w:hint="eastAsia" w:ascii="宋体" w:hAnsi="宋体"/>
                <w:bCs/>
                <w:iCs/>
                <w:color w:val="000000"/>
                <w:sz w:val="24"/>
                <w:szCs w:val="24"/>
                <w:lang w:val="en-US" w:eastAsia="zh-CN"/>
              </w:rPr>
              <w:t>红星美凯龙总部南座A209会议室、电话会议</w:t>
            </w:r>
          </w:p>
        </w:tc>
      </w:tr>
      <w:tr w14:paraId="099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A298C5F">
            <w:pPr>
              <w:spacing w:line="312" w:lineRule="auto"/>
              <w:rPr>
                <w:rFonts w:ascii="宋体" w:hAnsi="宋体"/>
                <w:b/>
                <w:bCs/>
                <w:iCs/>
                <w:color w:val="000000"/>
                <w:sz w:val="24"/>
                <w:szCs w:val="24"/>
              </w:rPr>
            </w:pPr>
            <w:r>
              <w:rPr>
                <w:rFonts w:hint="eastAsia" w:ascii="宋体" w:hAnsi="宋体"/>
                <w:b/>
                <w:bCs/>
                <w:iCs/>
                <w:color w:val="000000"/>
                <w:sz w:val="24"/>
                <w:szCs w:val="24"/>
              </w:rPr>
              <w:t>公司总部接待人员姓名</w:t>
            </w:r>
          </w:p>
        </w:tc>
        <w:tc>
          <w:tcPr>
            <w:tcW w:w="7380" w:type="dxa"/>
            <w:vAlign w:val="center"/>
          </w:tcPr>
          <w:p w14:paraId="26FB169E">
            <w:pPr>
              <w:spacing w:line="312" w:lineRule="auto"/>
              <w:rPr>
                <w:rFonts w:hint="default" w:ascii="宋体" w:hAnsi="宋体" w:eastAsia="宋体"/>
                <w:sz w:val="24"/>
                <w:szCs w:val="24"/>
                <w:lang w:val="en-US" w:eastAsia="zh-CN"/>
              </w:rPr>
            </w:pPr>
            <w:r>
              <w:rPr>
                <w:rFonts w:hint="eastAsia" w:ascii="宋体" w:hAnsi="宋体"/>
                <w:sz w:val="24"/>
                <w:szCs w:val="24"/>
                <w:lang w:val="en-US" w:eastAsia="zh-CN"/>
              </w:rPr>
              <w:t>董事长 李玉鹏、总裁 施姚峰、CFO 杨映武、执行总裁 朱家桂、董秘 邱喆</w:t>
            </w:r>
          </w:p>
        </w:tc>
      </w:tr>
      <w:tr w14:paraId="4E4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08" w:type="dxa"/>
            <w:vAlign w:val="center"/>
          </w:tcPr>
          <w:p w14:paraId="46125A7D">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7380" w:type="dxa"/>
          </w:tcPr>
          <w:p w14:paraId="733503AA">
            <w:pPr>
              <w:numPr>
                <w:ilvl w:val="0"/>
                <w:numId w:val="1"/>
              </w:numPr>
              <w:spacing w:line="312" w:lineRule="auto"/>
              <w:ind w:left="0" w:leftChars="0" w:firstLine="0" w:firstLine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董事长李玉鹏致辞</w:t>
            </w:r>
          </w:p>
          <w:p w14:paraId="772A68A6">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2024年是中国经济“十四五”规划攻坚之年。面对全球经济复苏乏力、地缘政治波动等挑战，中国GDP仍保持5%左右的稳健增长，首次突破130万亿元。经济走势呈现“修复-走弱-触底回升”的态势，四季度在一系列逆周期调节政策的作用下明显回升。消费复苏成为主要驱动力，制造业投资在科技升级带动下保持韧性，出口受全球供应链重构影响呈现区域分化。对家居行业而言，宏观经济的结构性优化带来了两大机遇：‌消费升级驱动品质化需求爆发‌，‌绿色低碳转型倒逼产业链革新‌。这为美凯龙在高端化、智能化赛道的布局提供了战略窗口。</w:t>
            </w:r>
          </w:p>
          <w:p w14:paraId="5AA1007D">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2024年，中国房地产行业步入"深度调整与模式重构"阶段。基本面显示市场分化加剧，一二线城市在政策优化下成交量企稳回升，三四线城市仍在消化库存；房企加速出清，国有房企和优质民企主导市场，行业集中度持续提升。对家居产业而言，地产行业的调整带来两大确定性趋势：一是‌精装房交付占比提升‌，推动B端工程业务持续扩容；二是存量需求如局部改造、旧房翻新、适老化改造升级等逐渐成为“第二增长曲线”。政策面上，政府通过大规模设备更新和消费品以旧换新政策，带动了家居行业的部分需求。此外，家居行业竞争加剧，企业纷纷通过创新求变，从价格、渠道、产品、服务等多维度进行升级，以提高运营效率和品牌优势。</w:t>
            </w:r>
          </w:p>
          <w:p w14:paraId="0BEA93F1">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在这样的宏观经济和行业背景下，红星美凯龙积极应对挑战，推进“3+星生态”战略，紧跟以旧换新国补等政策利好，通过家居、家电、家装的综合布局，提升整体竞争力。</w:t>
            </w:r>
            <w:r>
              <w:rPr>
                <w:rFonts w:hint="eastAsia" w:ascii="宋体" w:hAnsi="宋体"/>
                <w:bCs/>
                <w:iCs/>
                <w:color w:val="000000"/>
                <w:sz w:val="24"/>
                <w:szCs w:val="24"/>
                <w:lang w:val="zh-TW" w:eastAsia="zh-CN"/>
              </w:rPr>
              <w:t>截至20</w:t>
            </w:r>
            <w:r>
              <w:rPr>
                <w:rFonts w:hint="default" w:ascii="宋体" w:hAnsi="宋体"/>
                <w:bCs/>
                <w:iCs/>
                <w:color w:val="000000"/>
                <w:sz w:val="24"/>
                <w:szCs w:val="24"/>
                <w:lang w:val="zh-TW" w:eastAsia="zh-CN"/>
              </w:rPr>
              <w:t>24年12月31日，公司经营77家自营商场，</w:t>
            </w:r>
            <w:r>
              <w:rPr>
                <w:rFonts w:hint="eastAsia" w:ascii="宋体" w:hAnsi="宋体"/>
                <w:bCs/>
                <w:iCs/>
                <w:color w:val="000000"/>
                <w:sz w:val="24"/>
                <w:szCs w:val="24"/>
                <w:lang w:val="en-US" w:eastAsia="zh-CN"/>
              </w:rPr>
              <w:t>出租率为83.0%，较半年报的81.6%，有1.4个百分点的提升，</w:t>
            </w:r>
            <w:r>
              <w:rPr>
                <w:rFonts w:hint="default" w:ascii="宋体" w:hAnsi="宋体"/>
                <w:bCs/>
                <w:iCs/>
                <w:color w:val="000000"/>
                <w:sz w:val="24"/>
                <w:szCs w:val="24"/>
                <w:lang w:val="zh-TW" w:eastAsia="zh-CN"/>
              </w:rPr>
              <w:t>257家不同管理深度的委管商场，</w:t>
            </w:r>
            <w:r>
              <w:rPr>
                <w:rFonts w:hint="eastAsia" w:ascii="宋体" w:hAnsi="宋体"/>
                <w:bCs/>
                <w:iCs/>
                <w:color w:val="000000"/>
                <w:sz w:val="24"/>
                <w:szCs w:val="24"/>
                <w:lang w:val="en-US" w:eastAsia="zh-CN"/>
              </w:rPr>
              <w:t>出租率为82.5%，</w:t>
            </w:r>
            <w:r>
              <w:rPr>
                <w:rFonts w:hint="default" w:ascii="宋体" w:hAnsi="宋体"/>
                <w:bCs/>
                <w:iCs/>
                <w:color w:val="000000"/>
                <w:sz w:val="24"/>
                <w:szCs w:val="24"/>
                <w:lang w:val="zh-TW" w:eastAsia="zh-CN"/>
              </w:rPr>
              <w:t>通过战略合作经营7家家居商场，此外，公司以特许经营方式授权33家特许经营家居建材项目，共包括405家家居建材店/产业街。覆盖全国</w:t>
            </w:r>
            <w:r>
              <w:rPr>
                <w:rFonts w:hint="eastAsia" w:ascii="宋体" w:hAnsi="宋体"/>
                <w:bCs/>
                <w:iCs/>
                <w:color w:val="000000"/>
                <w:sz w:val="24"/>
                <w:szCs w:val="24"/>
                <w:lang w:val="en-US" w:eastAsia="zh-CN"/>
              </w:rPr>
              <w:t>30</w:t>
            </w:r>
            <w:r>
              <w:rPr>
                <w:rFonts w:hint="default" w:ascii="宋体" w:hAnsi="宋体"/>
                <w:bCs/>
                <w:iCs/>
                <w:color w:val="000000"/>
                <w:sz w:val="24"/>
                <w:szCs w:val="24"/>
                <w:lang w:val="zh-TW" w:eastAsia="zh-CN"/>
              </w:rPr>
              <w:t>个省、直辖市、自治区的</w:t>
            </w:r>
            <w:r>
              <w:rPr>
                <w:rFonts w:hint="eastAsia" w:ascii="宋体" w:hAnsi="宋体"/>
                <w:bCs/>
                <w:iCs/>
                <w:color w:val="000000"/>
                <w:sz w:val="24"/>
                <w:szCs w:val="24"/>
                <w:lang w:val="en-US" w:eastAsia="zh-CN"/>
              </w:rPr>
              <w:t>202</w:t>
            </w:r>
            <w:r>
              <w:rPr>
                <w:rFonts w:hint="default" w:ascii="宋体" w:hAnsi="宋体"/>
                <w:bCs/>
                <w:iCs/>
                <w:color w:val="000000"/>
                <w:sz w:val="24"/>
                <w:szCs w:val="24"/>
                <w:lang w:val="zh-TW" w:eastAsia="zh-CN"/>
              </w:rPr>
              <w:t>个城市，总经营面积</w:t>
            </w:r>
            <w:r>
              <w:rPr>
                <w:rFonts w:hint="eastAsia" w:ascii="宋体" w:hAnsi="宋体"/>
                <w:bCs/>
                <w:iCs/>
                <w:color w:val="000000"/>
                <w:sz w:val="24"/>
                <w:szCs w:val="24"/>
                <w:lang w:val="en-US" w:eastAsia="zh-CN"/>
              </w:rPr>
              <w:t>2033万</w:t>
            </w:r>
            <w:r>
              <w:rPr>
                <w:rFonts w:hint="default" w:ascii="宋体" w:hAnsi="宋体"/>
                <w:bCs/>
                <w:iCs/>
                <w:color w:val="000000"/>
                <w:sz w:val="24"/>
                <w:szCs w:val="24"/>
                <w:lang w:val="zh-TW" w:eastAsia="zh-CN"/>
              </w:rPr>
              <w:t>平方米</w:t>
            </w:r>
            <w:r>
              <w:rPr>
                <w:rFonts w:hint="eastAsia" w:ascii="宋体" w:hAnsi="宋体"/>
                <w:bCs/>
                <w:iCs/>
                <w:color w:val="000000"/>
                <w:sz w:val="24"/>
                <w:szCs w:val="24"/>
                <w:lang w:val="zh-TW" w:eastAsia="zh-CN"/>
              </w:rPr>
              <w:t>。</w:t>
            </w:r>
            <w:r>
              <w:rPr>
                <w:rFonts w:hint="eastAsia" w:ascii="宋体" w:hAnsi="宋体"/>
                <w:bCs/>
                <w:iCs/>
                <w:color w:val="000000"/>
                <w:sz w:val="24"/>
                <w:szCs w:val="24"/>
                <w:lang w:val="en-US" w:eastAsia="zh-CN"/>
              </w:rPr>
              <w:t>建发入主美凯龙后，公司在战略升级、业务结构、公司治理、业务拓展、运营层面都有了显著的成果。</w:t>
            </w:r>
          </w:p>
          <w:p w14:paraId="2622E290">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将持续改善公司治理、规范运作，践行社会责任。美凯龙家居作为长期破净的行业龙头公司，也将着手开展市值管理工作。加强主业经营的同时，通过充分合规的信息披露、适时利用资本运作工具、加深投资者关系管理等手段，引导公司市值与内在价值趋同，增强投资者信心并推动公司市值稳步提升。</w:t>
            </w:r>
          </w:p>
          <w:p w14:paraId="7FE5C679">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展望未来，公司将在业态创新、服务体验、营销融合、数字化、品牌力等方面不断提升自身实力，结合政策利好和股东资源以应对市场竞争的挑战，实现从传统建材家居平台服务商到人车家生活方式聚合场的商业转型，继续承担行业引领者的社会责任。</w:t>
            </w:r>
          </w:p>
          <w:p w14:paraId="02767827">
            <w:pPr>
              <w:numPr>
                <w:ilvl w:val="0"/>
                <w:numId w:val="0"/>
              </w:numPr>
              <w:spacing w:line="312" w:lineRule="auto"/>
              <w:ind w:leftChars="0"/>
              <w:rPr>
                <w:rFonts w:hint="default" w:ascii="宋体" w:hAnsi="宋体"/>
                <w:bCs/>
                <w:iCs/>
                <w:color w:val="000000"/>
                <w:sz w:val="24"/>
                <w:szCs w:val="24"/>
                <w:lang w:val="en-US" w:eastAsia="zh-CN"/>
              </w:rPr>
            </w:pPr>
          </w:p>
          <w:p w14:paraId="24E9F5E7">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2.总裁施姚峰发言</w:t>
            </w:r>
          </w:p>
          <w:p w14:paraId="1D81C1B9">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公司在2024年上半年业绩压力比较大，三四季度因为国家一系列消费政策提振下有所恢复。</w:t>
            </w:r>
          </w:p>
          <w:p w14:paraId="2434735F">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这几年公司主要有几个大的战略变化，一个是业态的调整，公司原来是以家居建材为主的租赁业态，建发入主后我们根据行业环境变化做了业态的优化，发布3+星生态战略，未来公司商场的业态分布将是建材家具占比经营面积60%，电器占比15%，家装占比15%，新业态10%的业态新格局。</w:t>
            </w:r>
          </w:p>
          <w:p w14:paraId="53F77C30">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第二个是公司组织架构上，原来有两块主要的业务，一个是商业运营，一个是发展板块，随着地产进入存量时代，我们的发展业务会减少，重点在商业运营板块上。在地产迅速发展的时期，我们战略侧重在提供更好的购物环境和更多的面积租赁上，但进入存量时期，我们战略会更侧重在提升商业运营质量上，去建立美凯龙的核心竞争力。我们在家居板块设立了一个新的经营班子，来着重加强我们的经营。业务策略上，美凯龙会在商业运营上投入更多精力，提升运营的专业化和精细化，专业化和精细化运营也是建发的竞争优势所在，未来将为商户和消费者提供更好的服务和场景，这几年我们跟天猫、抖音、小红书等线上平台合作，为线下卖场引流，提升招商运营企划能力，提高员工的组织能力等，也利用一些数字化的新技术等等方式，加强跟消费者的联系，促进消费者和品牌经销商之间的交互，给消费者体验“整个家”的感受，让消费者来美凯龙体会到未来的家的样子。这两年遇到的情况，有些商户的能力遇到很大的问题，经销商风险有一些增加，后续公司将对经销商的评估上更严格，加强长期经营稳定性。</w:t>
            </w:r>
          </w:p>
          <w:p w14:paraId="41BC1E34">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第三个是业务策略上，公司会继续加大跟建发集团的业务协同，例如电器和建发轻工、汽车和建发汽车、家装和建发地产联发地产等协作。总体的战略目标是在出租率上有一个大的提升。</w:t>
            </w:r>
          </w:p>
          <w:p w14:paraId="6634D673">
            <w:pPr>
              <w:numPr>
                <w:ilvl w:val="0"/>
                <w:numId w:val="0"/>
              </w:numPr>
              <w:spacing w:line="312" w:lineRule="auto"/>
              <w:ind w:leftChars="0"/>
              <w:rPr>
                <w:rFonts w:hint="eastAsia" w:ascii="宋体" w:hAnsi="宋体"/>
                <w:bCs/>
                <w:iCs/>
                <w:color w:val="000000"/>
                <w:sz w:val="24"/>
                <w:szCs w:val="24"/>
                <w:lang w:val="en-US" w:eastAsia="zh-CN"/>
              </w:rPr>
            </w:pPr>
          </w:p>
          <w:p w14:paraId="4467932E">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3.执行总裁朱家桂介绍2024年公司业务情况。</w:t>
            </w:r>
          </w:p>
          <w:p w14:paraId="3360796F">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建发入主美凯龙后，美凯龙业务有了结构性的调整，</w:t>
            </w:r>
            <w:r>
              <w:rPr>
                <w:rFonts w:hint="eastAsia" w:ascii="宋体" w:hAnsi="宋体"/>
                <w:bCs/>
                <w:iCs/>
                <w:color w:val="000000"/>
                <w:sz w:val="24"/>
                <w:szCs w:val="24"/>
                <w:lang w:val="zh-TW" w:eastAsia="zh-CN"/>
              </w:rPr>
              <w:t>2024年3月，</w:t>
            </w:r>
            <w:r>
              <w:rPr>
                <w:rFonts w:hint="eastAsia" w:ascii="宋体" w:hAnsi="宋体"/>
                <w:bCs/>
                <w:iCs/>
                <w:color w:val="000000"/>
                <w:sz w:val="24"/>
                <w:szCs w:val="24"/>
                <w:lang w:val="en-US" w:eastAsia="zh-CN"/>
              </w:rPr>
              <w:t>公司</w:t>
            </w:r>
            <w:r>
              <w:rPr>
                <w:rFonts w:hint="eastAsia" w:ascii="宋体" w:hAnsi="宋体"/>
                <w:bCs/>
                <w:iCs/>
                <w:color w:val="000000"/>
                <w:sz w:val="24"/>
                <w:szCs w:val="24"/>
                <w:lang w:val="zh-TW" w:eastAsia="zh-CN"/>
              </w:rPr>
              <w:t>在厦门举办“中国高端电器行业生态大会”，正式发布“3+星生态”战略，明确高端电器为“智慧生活场景芯片”，提出“高端电器智选最优渠道”目标。上半年，高端生活电器馆潮电荟在红星美凯龙郑州中原全球家居1号店正式开业。未来两年，公司将在全国布局100家高端生活电器馆，馆内集合厨房小家电、清洁电器、个护产品、咖啡休闲、儿童娱乐等品类，与原有的大家电形成互补，让消费者实现真正的全屋家电一站购。</w:t>
            </w:r>
            <w:r>
              <w:rPr>
                <w:rFonts w:hint="eastAsia" w:ascii="宋体" w:hAnsi="宋体"/>
                <w:bCs/>
                <w:iCs/>
                <w:color w:val="000000"/>
                <w:sz w:val="24"/>
                <w:szCs w:val="24"/>
                <w:lang w:val="en-US" w:eastAsia="zh-CN"/>
              </w:rPr>
              <w:t>进入高端电器发展的新三年，公司对高端电器品类的运营将进行五重升级，包括规模扩容、品类拓展、店态升级、运营升级、营销升级，强化美凯龙成为高端电器智选“最优渠道”的用户心智，实现“多、广、大、全”，即高端销售规模最多，品牌旗舰店布局最广，品类品牌面积最大，高端品牌聚合最全。目前电器经营面积超150万方，占比9.1%，线下超150家高端电器馆，未来2-3年，电器经营面积占比要达到15%左右。</w:t>
            </w:r>
          </w:p>
          <w:p w14:paraId="55291B30">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家装业务方面，2024年1月，</w:t>
            </w:r>
            <w:r>
              <w:rPr>
                <w:rFonts w:hint="eastAsia" w:ascii="宋体" w:hAnsi="宋体"/>
                <w:bCs/>
                <w:iCs/>
                <w:color w:val="000000"/>
                <w:sz w:val="24"/>
                <w:szCs w:val="24"/>
                <w:lang w:val="zh-TW" w:eastAsia="zh-CN"/>
              </w:rPr>
              <w:t>公司在河南郑州主办中国家装设计生态大会暨红星美凯龙M+高端家装设计中心百MALL发布会，在首批16家M+高端家装设计中心落成的基础上，正式启动第二批84家中心的打造，预计到2025年实现M+高端家装设计中心全国百MALL覆盖，</w:t>
            </w:r>
            <w:r>
              <w:rPr>
                <w:rFonts w:hint="eastAsia" w:ascii="宋体" w:hAnsi="宋体"/>
                <w:bCs/>
                <w:iCs/>
                <w:color w:val="000000"/>
                <w:sz w:val="24"/>
                <w:szCs w:val="24"/>
                <w:lang w:val="en-US" w:eastAsia="zh-CN"/>
              </w:rPr>
              <w:t>截至报告期末，已完成规划出租率81.3%</w:t>
            </w:r>
            <w:r>
              <w:rPr>
                <w:rFonts w:hint="eastAsia" w:ascii="宋体" w:hAnsi="宋体"/>
                <w:bCs/>
                <w:iCs/>
                <w:color w:val="000000"/>
                <w:sz w:val="24"/>
                <w:szCs w:val="24"/>
                <w:lang w:val="zh-TW" w:eastAsia="zh-CN"/>
              </w:rPr>
              <w:t>。同时，公司还发布了“533”优租长租免装期政策，力邀全国更多家装设计专业力量进驻。</w:t>
            </w:r>
            <w:r>
              <w:rPr>
                <w:rFonts w:hint="eastAsia" w:ascii="宋体" w:hAnsi="宋体"/>
                <w:bCs/>
                <w:iCs/>
                <w:color w:val="000000"/>
                <w:sz w:val="24"/>
                <w:szCs w:val="24"/>
                <w:lang w:val="en-US" w:eastAsia="zh-CN"/>
              </w:rPr>
              <w:t>2026年家装我们要做到经营面积占比的15%。</w:t>
            </w:r>
          </w:p>
          <w:p w14:paraId="788EA411">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还有10%要给到新业态业务方面，</w:t>
            </w:r>
            <w:r>
              <w:rPr>
                <w:rFonts w:hint="eastAsia" w:ascii="宋体" w:hAnsi="宋体"/>
                <w:bCs/>
                <w:iCs/>
                <w:color w:val="000000"/>
                <w:sz w:val="24"/>
                <w:szCs w:val="24"/>
                <w:lang w:val="zh-TW" w:eastAsia="zh-CN"/>
              </w:rPr>
              <w:t>挖掘休闲娱乐、教育培训、体育运动、婚纱摄影、酒店、超市品类中的头部企业，</w:t>
            </w:r>
            <w:r>
              <w:rPr>
                <w:rFonts w:hint="eastAsia" w:ascii="宋体" w:hAnsi="宋体"/>
                <w:bCs/>
                <w:iCs/>
                <w:color w:val="000000"/>
                <w:sz w:val="24"/>
                <w:szCs w:val="24"/>
                <w:lang w:val="en-US" w:eastAsia="zh-CN"/>
              </w:rPr>
              <w:t>特别是新能源汽车板块</w:t>
            </w:r>
            <w:r>
              <w:rPr>
                <w:rFonts w:hint="eastAsia" w:ascii="宋体" w:hAnsi="宋体"/>
                <w:bCs/>
                <w:iCs/>
                <w:color w:val="000000"/>
                <w:sz w:val="24"/>
                <w:szCs w:val="24"/>
                <w:lang w:val="zh-TW" w:eastAsia="zh-CN"/>
              </w:rPr>
              <w:t>。截止</w:t>
            </w:r>
            <w:r>
              <w:rPr>
                <w:rFonts w:hint="eastAsia" w:ascii="宋体" w:hAnsi="宋体"/>
                <w:bCs/>
                <w:iCs/>
                <w:color w:val="000000"/>
                <w:sz w:val="24"/>
                <w:szCs w:val="24"/>
                <w:lang w:val="en-US" w:eastAsia="zh-CN"/>
              </w:rPr>
              <w:t>报告期末</w:t>
            </w:r>
            <w:r>
              <w:rPr>
                <w:rFonts w:hint="eastAsia" w:ascii="宋体" w:hAnsi="宋体"/>
                <w:bCs/>
                <w:iCs/>
                <w:color w:val="000000"/>
                <w:sz w:val="24"/>
                <w:szCs w:val="24"/>
                <w:lang w:val="zh-TW" w:eastAsia="zh-CN"/>
              </w:rPr>
              <w:t>，新业态（含汽车、餐饮</w:t>
            </w:r>
            <w:r>
              <w:rPr>
                <w:rFonts w:hint="eastAsia" w:ascii="宋体" w:hAnsi="宋体"/>
                <w:bCs/>
                <w:iCs/>
                <w:color w:val="000000"/>
                <w:sz w:val="24"/>
                <w:szCs w:val="24"/>
                <w:lang w:val="en-US" w:eastAsia="zh-CN"/>
              </w:rPr>
              <w:t>等</w:t>
            </w:r>
            <w:r>
              <w:rPr>
                <w:rFonts w:hint="eastAsia" w:ascii="宋体" w:hAnsi="宋体"/>
                <w:bCs/>
                <w:iCs/>
                <w:color w:val="000000"/>
                <w:sz w:val="24"/>
                <w:szCs w:val="24"/>
                <w:lang w:val="zh-TW" w:eastAsia="zh-CN"/>
              </w:rPr>
              <w:t>）经营面积为</w:t>
            </w:r>
            <w:r>
              <w:rPr>
                <w:rFonts w:hint="eastAsia" w:ascii="宋体" w:hAnsi="宋体"/>
                <w:bCs/>
                <w:iCs/>
                <w:color w:val="000000"/>
                <w:sz w:val="24"/>
                <w:szCs w:val="24"/>
                <w:lang w:val="en-US" w:eastAsia="zh-CN"/>
              </w:rPr>
              <w:t>91</w:t>
            </w:r>
            <w:r>
              <w:rPr>
                <w:rFonts w:hint="eastAsia" w:ascii="宋体" w:hAnsi="宋体"/>
                <w:bCs/>
                <w:iCs/>
                <w:color w:val="000000"/>
                <w:sz w:val="24"/>
                <w:szCs w:val="24"/>
                <w:lang w:val="zh-TW" w:eastAsia="zh-CN"/>
              </w:rPr>
              <w:t>万㎡，</w:t>
            </w:r>
            <w:r>
              <w:rPr>
                <w:rFonts w:hint="eastAsia" w:ascii="宋体" w:hAnsi="宋体"/>
                <w:bCs/>
                <w:iCs/>
                <w:color w:val="000000"/>
                <w:sz w:val="24"/>
                <w:szCs w:val="24"/>
                <w:lang w:val="en-US" w:eastAsia="zh-CN"/>
              </w:rPr>
              <w:t>同比</w:t>
            </w:r>
            <w:r>
              <w:rPr>
                <w:rFonts w:hint="eastAsia" w:ascii="宋体" w:hAnsi="宋体"/>
                <w:bCs/>
                <w:iCs/>
                <w:color w:val="000000"/>
                <w:sz w:val="24"/>
                <w:szCs w:val="24"/>
                <w:lang w:val="zh-TW" w:eastAsia="zh-CN"/>
              </w:rPr>
              <w:t>提升</w:t>
            </w:r>
            <w:r>
              <w:rPr>
                <w:rFonts w:hint="eastAsia" w:ascii="宋体" w:hAnsi="宋体"/>
                <w:bCs/>
                <w:iCs/>
                <w:color w:val="000000"/>
                <w:sz w:val="24"/>
                <w:szCs w:val="24"/>
                <w:lang w:val="en-US" w:eastAsia="zh-CN"/>
              </w:rPr>
              <w:t>28.6</w:t>
            </w:r>
            <w:r>
              <w:rPr>
                <w:rFonts w:hint="eastAsia" w:ascii="宋体" w:hAnsi="宋体"/>
                <w:bCs/>
                <w:iCs/>
                <w:color w:val="000000"/>
                <w:sz w:val="24"/>
                <w:szCs w:val="24"/>
                <w:lang w:val="zh-TW" w:eastAsia="zh-CN"/>
              </w:rPr>
              <w:t>万㎡。</w:t>
            </w:r>
            <w:r>
              <w:rPr>
                <w:rFonts w:hint="eastAsia" w:ascii="宋体" w:hAnsi="宋体"/>
                <w:bCs/>
                <w:iCs/>
                <w:color w:val="000000"/>
                <w:sz w:val="24"/>
                <w:szCs w:val="24"/>
                <w:lang w:val="en-US" w:eastAsia="zh-CN"/>
              </w:rPr>
              <w:t>其中</w:t>
            </w:r>
            <w:r>
              <w:rPr>
                <w:rFonts w:hint="eastAsia" w:ascii="宋体" w:hAnsi="宋体"/>
                <w:bCs/>
                <w:iCs/>
                <w:color w:val="000000"/>
                <w:sz w:val="24"/>
                <w:szCs w:val="24"/>
                <w:lang w:val="zh-TW" w:eastAsia="zh-CN"/>
              </w:rPr>
              <w:t>新能源汽车业态</w:t>
            </w:r>
            <w:r>
              <w:rPr>
                <w:rFonts w:hint="eastAsia" w:ascii="宋体" w:hAnsi="宋体"/>
                <w:bCs/>
                <w:iCs/>
                <w:color w:val="000000"/>
                <w:sz w:val="24"/>
                <w:szCs w:val="24"/>
                <w:lang w:val="en-US" w:eastAsia="zh-CN"/>
              </w:rPr>
              <w:t>方面</w:t>
            </w:r>
            <w:r>
              <w:rPr>
                <w:rFonts w:hint="eastAsia" w:ascii="宋体" w:hAnsi="宋体"/>
                <w:bCs/>
                <w:iCs/>
                <w:color w:val="000000"/>
                <w:sz w:val="24"/>
                <w:szCs w:val="24"/>
                <w:lang w:val="zh-TW" w:eastAsia="zh-CN"/>
              </w:rPr>
              <w:t>，</w:t>
            </w:r>
            <w:r>
              <w:rPr>
                <w:rFonts w:hint="eastAsia" w:ascii="宋体" w:hAnsi="宋体"/>
                <w:bCs/>
                <w:iCs/>
                <w:color w:val="000000"/>
                <w:sz w:val="24"/>
                <w:szCs w:val="24"/>
                <w:lang w:val="en-US" w:eastAsia="zh-CN"/>
              </w:rPr>
              <w:t>公司成立了</w:t>
            </w:r>
            <w:r>
              <w:rPr>
                <w:rFonts w:hint="eastAsia" w:ascii="宋体" w:hAnsi="宋体"/>
                <w:bCs/>
                <w:iCs/>
                <w:color w:val="000000"/>
                <w:sz w:val="24"/>
                <w:szCs w:val="24"/>
                <w:lang w:val="zh-TW" w:eastAsia="zh-CN"/>
              </w:rPr>
              <w:t>上海建美智慧汽车服务有限公司，负责新能源汽车的板块的招商和运营，发布汽车业态的“3100规划”，即3年内孵化出汽车业态的新赛道，汽车业态总经营面积突破100万㎡的规划。截至</w:t>
            </w:r>
            <w:r>
              <w:rPr>
                <w:rFonts w:hint="eastAsia" w:ascii="宋体" w:hAnsi="宋体"/>
                <w:bCs/>
                <w:iCs/>
                <w:color w:val="000000"/>
                <w:sz w:val="24"/>
                <w:szCs w:val="24"/>
                <w:lang w:val="en-US" w:eastAsia="zh-CN"/>
              </w:rPr>
              <w:t>报告期末</w:t>
            </w:r>
            <w:r>
              <w:rPr>
                <w:rFonts w:hint="eastAsia" w:ascii="宋体" w:hAnsi="宋体"/>
                <w:bCs/>
                <w:iCs/>
                <w:color w:val="000000"/>
                <w:sz w:val="24"/>
                <w:szCs w:val="24"/>
                <w:lang w:val="zh-TW" w:eastAsia="zh-CN"/>
              </w:rPr>
              <w:t>，</w:t>
            </w:r>
            <w:r>
              <w:rPr>
                <w:rFonts w:hint="eastAsia" w:ascii="宋体" w:hAnsi="宋体"/>
                <w:bCs/>
                <w:iCs/>
                <w:color w:val="000000"/>
                <w:sz w:val="24"/>
                <w:szCs w:val="24"/>
                <w:lang w:val="en-US" w:eastAsia="zh-CN"/>
              </w:rPr>
              <w:t>公司已与</w:t>
            </w:r>
            <w:r>
              <w:rPr>
                <w:rFonts w:hint="eastAsia" w:ascii="宋体" w:hAnsi="宋体"/>
                <w:bCs/>
                <w:iCs/>
                <w:color w:val="000000"/>
                <w:sz w:val="24"/>
                <w:szCs w:val="24"/>
                <w:lang w:val="zh-TW" w:eastAsia="zh-CN"/>
              </w:rPr>
              <w:t>25</w:t>
            </w:r>
            <w:r>
              <w:rPr>
                <w:rFonts w:hint="eastAsia" w:ascii="宋体" w:hAnsi="宋体"/>
                <w:bCs/>
                <w:iCs/>
                <w:color w:val="000000"/>
                <w:sz w:val="24"/>
                <w:szCs w:val="24"/>
                <w:lang w:val="en-US" w:eastAsia="zh-CN"/>
              </w:rPr>
              <w:t>家车企</w:t>
            </w:r>
            <w:r>
              <w:rPr>
                <w:rFonts w:hint="eastAsia" w:ascii="宋体" w:hAnsi="宋体"/>
                <w:bCs/>
                <w:iCs/>
                <w:color w:val="000000"/>
                <w:sz w:val="24"/>
                <w:szCs w:val="24"/>
                <w:lang w:val="zh-TW" w:eastAsia="zh-CN"/>
              </w:rPr>
              <w:t>品牌</w:t>
            </w:r>
            <w:r>
              <w:rPr>
                <w:rFonts w:hint="eastAsia" w:ascii="宋体" w:hAnsi="宋体"/>
                <w:bCs/>
                <w:iCs/>
                <w:color w:val="000000"/>
                <w:sz w:val="24"/>
                <w:szCs w:val="24"/>
                <w:lang w:val="en-US" w:eastAsia="zh-CN"/>
              </w:rPr>
              <w:t>合作，</w:t>
            </w:r>
            <w:r>
              <w:rPr>
                <w:rFonts w:hint="eastAsia" w:ascii="宋体" w:hAnsi="宋体"/>
                <w:bCs/>
                <w:iCs/>
                <w:color w:val="000000"/>
                <w:sz w:val="24"/>
                <w:szCs w:val="24"/>
                <w:lang w:val="zh-TW" w:eastAsia="zh-CN"/>
              </w:rPr>
              <w:t>布局26个城市，经营面积</w:t>
            </w:r>
            <w:r>
              <w:rPr>
                <w:rFonts w:hint="eastAsia" w:ascii="宋体" w:hAnsi="宋体"/>
                <w:bCs/>
                <w:iCs/>
                <w:color w:val="000000"/>
                <w:sz w:val="24"/>
                <w:szCs w:val="24"/>
                <w:lang w:val="en-US" w:eastAsia="zh-CN"/>
              </w:rPr>
              <w:t>16.4万</w:t>
            </w:r>
            <w:r>
              <w:rPr>
                <w:rFonts w:hint="eastAsia" w:ascii="宋体" w:hAnsi="宋体"/>
                <w:bCs/>
                <w:iCs/>
                <w:color w:val="000000"/>
                <w:sz w:val="24"/>
                <w:szCs w:val="24"/>
                <w:lang w:val="zh-TW" w:eastAsia="zh-CN"/>
              </w:rPr>
              <w:t>㎡，同比面积增长6万㎡。</w:t>
            </w:r>
          </w:p>
          <w:p w14:paraId="27E9F835">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另一个是去年国家及各地“以旧换新”政策密集出台，2024年</w:t>
            </w:r>
            <w:r>
              <w:rPr>
                <w:rFonts w:hint="eastAsia" w:ascii="宋体" w:hAnsi="宋体"/>
                <w:bCs/>
                <w:iCs/>
                <w:color w:val="000000"/>
                <w:sz w:val="24"/>
                <w:szCs w:val="24"/>
                <w:lang w:val="zh-TW" w:eastAsia="zh-CN"/>
              </w:rPr>
              <w:t>3月，</w:t>
            </w:r>
            <w:r>
              <w:rPr>
                <w:rFonts w:hint="eastAsia" w:ascii="宋体" w:hAnsi="宋体"/>
                <w:bCs/>
                <w:iCs/>
                <w:color w:val="000000"/>
                <w:sz w:val="24"/>
                <w:szCs w:val="24"/>
                <w:lang w:val="en-US" w:eastAsia="zh-CN"/>
              </w:rPr>
              <w:t>公司</w:t>
            </w:r>
            <w:r>
              <w:rPr>
                <w:rFonts w:hint="eastAsia" w:ascii="宋体" w:hAnsi="宋体"/>
                <w:bCs/>
                <w:iCs/>
                <w:color w:val="000000"/>
                <w:sz w:val="24"/>
                <w:szCs w:val="24"/>
                <w:lang w:val="zh-TW" w:eastAsia="zh-CN"/>
              </w:rPr>
              <w:t>在全国15城 32店成功跑通“以旧换新”全链路流程，针对多元场景深度挖掘，构建标准化流程体系，</w:t>
            </w:r>
            <w:r>
              <w:rPr>
                <w:rFonts w:hint="eastAsia" w:ascii="宋体" w:hAnsi="宋体"/>
                <w:bCs/>
                <w:iCs/>
                <w:color w:val="000000"/>
                <w:sz w:val="24"/>
                <w:szCs w:val="24"/>
                <w:lang w:val="en-US" w:eastAsia="zh-CN"/>
              </w:rPr>
              <w:t>同时积极对接品牌工厂资源，形成以旧换新的广泛合力，</w:t>
            </w:r>
            <w:r>
              <w:rPr>
                <w:rFonts w:hint="eastAsia" w:ascii="宋体" w:hAnsi="宋体"/>
                <w:bCs/>
                <w:iCs/>
                <w:color w:val="000000"/>
                <w:sz w:val="24"/>
                <w:szCs w:val="24"/>
                <w:lang w:val="zh-TW" w:eastAsia="zh-CN"/>
              </w:rPr>
              <w:t>确保消费者各环节体验顺畅。2024年</w:t>
            </w:r>
            <w:r>
              <w:rPr>
                <w:rFonts w:hint="eastAsia" w:ascii="宋体" w:hAnsi="宋体"/>
                <w:bCs/>
                <w:iCs/>
                <w:color w:val="000000"/>
                <w:sz w:val="24"/>
                <w:szCs w:val="24"/>
                <w:lang w:val="en-US" w:eastAsia="zh-CN"/>
              </w:rPr>
              <w:t>第</w:t>
            </w:r>
            <w:r>
              <w:rPr>
                <w:rFonts w:hint="eastAsia" w:ascii="宋体" w:hAnsi="宋体"/>
                <w:bCs/>
                <w:iCs/>
                <w:color w:val="000000"/>
                <w:sz w:val="24"/>
                <w:szCs w:val="24"/>
                <w:lang w:val="zh-TW" w:eastAsia="zh-CN"/>
              </w:rPr>
              <w:t>4季度，全国范围开启大规模家电家居以旧换新消费补贴活动，</w:t>
            </w:r>
            <w:r>
              <w:rPr>
                <w:rFonts w:hint="eastAsia" w:ascii="宋体" w:hAnsi="宋体"/>
                <w:bCs/>
                <w:iCs/>
                <w:color w:val="000000"/>
                <w:sz w:val="24"/>
                <w:szCs w:val="24"/>
                <w:lang w:val="en-US" w:eastAsia="zh-CN"/>
              </w:rPr>
              <w:t>公司</w:t>
            </w:r>
            <w:r>
              <w:rPr>
                <w:rFonts w:hint="eastAsia" w:ascii="宋体" w:hAnsi="宋体"/>
                <w:bCs/>
                <w:iCs/>
                <w:color w:val="000000"/>
                <w:sz w:val="24"/>
                <w:szCs w:val="24"/>
                <w:lang w:val="zh-TW" w:eastAsia="zh-CN"/>
              </w:rPr>
              <w:t>充分利用龙头线下渠道红利，展现卓越的组织行动执行力，积极对接政府、</w:t>
            </w:r>
            <w:r>
              <w:rPr>
                <w:rFonts w:hint="eastAsia" w:ascii="宋体" w:hAnsi="宋体"/>
                <w:bCs/>
                <w:iCs/>
                <w:color w:val="000000"/>
                <w:sz w:val="24"/>
                <w:szCs w:val="24"/>
                <w:lang w:val="en-US" w:eastAsia="zh-CN"/>
              </w:rPr>
              <w:t>行业协会</w:t>
            </w:r>
            <w:r>
              <w:rPr>
                <w:rFonts w:hint="eastAsia" w:ascii="宋体" w:hAnsi="宋体"/>
                <w:bCs/>
                <w:iCs/>
                <w:color w:val="000000"/>
                <w:sz w:val="24"/>
                <w:szCs w:val="24"/>
                <w:lang w:val="zh-TW" w:eastAsia="zh-CN"/>
              </w:rPr>
              <w:t>，组织帮助商户完成资质申请，政策、流程宣讲等工作，同时及时向政府反馈政策推进中遇到的问题和改进建议，有效推动地方补贴政策的细化和顺利执行。</w:t>
            </w:r>
            <w:r>
              <w:rPr>
                <w:rFonts w:hint="eastAsia" w:ascii="宋体" w:hAnsi="宋体"/>
                <w:bCs/>
                <w:iCs/>
                <w:color w:val="000000"/>
                <w:sz w:val="24"/>
                <w:szCs w:val="24"/>
                <w:lang w:val="en-US" w:eastAsia="zh-CN"/>
              </w:rPr>
              <w:t>截至报告期末，</w:t>
            </w:r>
            <w:r>
              <w:rPr>
                <w:rFonts w:hint="eastAsia" w:ascii="宋体" w:hAnsi="宋体"/>
                <w:bCs/>
                <w:iCs/>
                <w:color w:val="000000"/>
                <w:sz w:val="24"/>
                <w:szCs w:val="24"/>
                <w:lang w:val="zh-TW" w:eastAsia="zh-CN"/>
              </w:rPr>
              <w:t>实现全国 24</w:t>
            </w:r>
            <w:r>
              <w:rPr>
                <w:rFonts w:hint="eastAsia" w:ascii="宋体" w:hAnsi="宋体"/>
                <w:bCs/>
                <w:iCs/>
                <w:color w:val="000000"/>
                <w:sz w:val="24"/>
                <w:szCs w:val="24"/>
                <w:lang w:val="en-US" w:eastAsia="zh-CN"/>
              </w:rPr>
              <w:t>9</w:t>
            </w:r>
            <w:r>
              <w:rPr>
                <w:rFonts w:hint="eastAsia" w:ascii="宋体" w:hAnsi="宋体"/>
                <w:bCs/>
                <w:iCs/>
                <w:color w:val="000000"/>
                <w:sz w:val="24"/>
                <w:szCs w:val="24"/>
                <w:lang w:val="zh-TW" w:eastAsia="zh-CN"/>
              </w:rPr>
              <w:t>家商场覆盖，多地商场跻身政府指定企业名录，北京、上海、黔贵区域更是率先成为省内国补首批</w:t>
            </w:r>
            <w:r>
              <w:rPr>
                <w:rFonts w:hint="eastAsia" w:ascii="宋体" w:hAnsi="宋体"/>
                <w:bCs/>
                <w:iCs/>
                <w:color w:val="000000"/>
                <w:sz w:val="24"/>
                <w:szCs w:val="24"/>
                <w:lang w:val="en-US" w:eastAsia="zh-CN"/>
              </w:rPr>
              <w:t>线下试点企业，公司线下超</w:t>
            </w:r>
            <w:r>
              <w:rPr>
                <w:rFonts w:hint="eastAsia" w:ascii="宋体" w:hAnsi="宋体"/>
                <w:bCs/>
                <w:iCs/>
                <w:color w:val="000000"/>
                <w:sz w:val="24"/>
                <w:szCs w:val="24"/>
                <w:lang w:val="zh-TW" w:eastAsia="zh-CN"/>
              </w:rPr>
              <w:t>150</w:t>
            </w:r>
            <w:r>
              <w:rPr>
                <w:rFonts w:hint="eastAsia" w:ascii="宋体" w:hAnsi="宋体"/>
                <w:bCs/>
                <w:iCs/>
                <w:color w:val="000000"/>
                <w:sz w:val="24"/>
                <w:szCs w:val="24"/>
                <w:lang w:val="en-US" w:eastAsia="zh-CN"/>
              </w:rPr>
              <w:t>家</w:t>
            </w:r>
            <w:r>
              <w:rPr>
                <w:rFonts w:hint="eastAsia" w:ascii="宋体" w:hAnsi="宋体"/>
                <w:bCs/>
                <w:iCs/>
                <w:color w:val="000000"/>
                <w:sz w:val="24"/>
                <w:szCs w:val="24"/>
                <w:lang w:val="zh-TW" w:eastAsia="zh-CN"/>
              </w:rPr>
              <w:t>高端电器馆成为线下家电“以旧换新”政府补贴主渠道之一。</w:t>
            </w:r>
          </w:p>
          <w:p w14:paraId="276C4452">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zh-TW" w:eastAsia="zh-CN"/>
              </w:rPr>
              <w:t>2024年</w:t>
            </w:r>
            <w:r>
              <w:rPr>
                <w:rFonts w:hint="eastAsia" w:ascii="宋体" w:hAnsi="宋体"/>
                <w:bCs/>
                <w:iCs/>
                <w:color w:val="000000"/>
                <w:sz w:val="24"/>
                <w:szCs w:val="24"/>
                <w:lang w:val="en-US" w:eastAsia="zh-CN"/>
              </w:rPr>
              <w:t>第</w:t>
            </w:r>
            <w:r>
              <w:rPr>
                <w:rFonts w:hint="eastAsia" w:ascii="宋体" w:hAnsi="宋体"/>
                <w:bCs/>
                <w:iCs/>
                <w:color w:val="000000"/>
                <w:sz w:val="24"/>
                <w:szCs w:val="24"/>
                <w:lang w:val="zh-TW" w:eastAsia="zh-CN"/>
              </w:rPr>
              <w:t>4季度</w:t>
            </w:r>
            <w:r>
              <w:rPr>
                <w:rFonts w:hint="eastAsia" w:ascii="宋体" w:hAnsi="宋体"/>
                <w:bCs/>
                <w:iCs/>
                <w:color w:val="000000"/>
                <w:sz w:val="24"/>
                <w:szCs w:val="24"/>
                <w:lang w:val="en-US" w:eastAsia="zh-CN"/>
              </w:rPr>
              <w:t>公司</w:t>
            </w:r>
            <w:r>
              <w:rPr>
                <w:rFonts w:hint="eastAsia" w:ascii="宋体" w:hAnsi="宋体"/>
                <w:bCs/>
                <w:iCs/>
                <w:color w:val="000000"/>
                <w:sz w:val="24"/>
                <w:szCs w:val="24"/>
                <w:lang w:val="zh-TW" w:eastAsia="zh-CN"/>
              </w:rPr>
              <w:t>全国卖场以旧换新订单数72.4万单，销售额66.9亿，中央补贴金额11.5亿，补贴占销售额17%左右，龙头聚集效应显著，切实拉动消费，充实</w:t>
            </w:r>
            <w:r>
              <w:rPr>
                <w:rFonts w:hint="eastAsia" w:ascii="宋体" w:hAnsi="宋体"/>
                <w:bCs/>
                <w:iCs/>
                <w:color w:val="000000"/>
                <w:sz w:val="24"/>
                <w:szCs w:val="24"/>
                <w:lang w:val="en-US" w:eastAsia="zh-CN"/>
              </w:rPr>
              <w:t>商户</w:t>
            </w:r>
            <w:r>
              <w:rPr>
                <w:rFonts w:hint="eastAsia" w:ascii="宋体" w:hAnsi="宋体"/>
                <w:bCs/>
                <w:iCs/>
                <w:color w:val="000000"/>
                <w:sz w:val="24"/>
                <w:szCs w:val="24"/>
                <w:lang w:val="zh-TW" w:eastAsia="zh-CN"/>
              </w:rPr>
              <w:t>营收。</w:t>
            </w:r>
            <w:r>
              <w:rPr>
                <w:rFonts w:hint="eastAsia" w:ascii="宋体" w:hAnsi="宋体"/>
                <w:bCs/>
                <w:iCs/>
                <w:color w:val="000000"/>
                <w:sz w:val="24"/>
                <w:szCs w:val="24"/>
                <w:lang w:val="en-US" w:eastAsia="zh-CN"/>
              </w:rPr>
              <w:t>线上线下全平台</w:t>
            </w:r>
            <w:r>
              <w:rPr>
                <w:rFonts w:hint="eastAsia" w:ascii="宋体" w:hAnsi="宋体"/>
                <w:bCs/>
                <w:iCs/>
                <w:color w:val="000000"/>
                <w:sz w:val="24"/>
                <w:szCs w:val="24"/>
                <w:lang w:val="zh-TW" w:eastAsia="zh-CN"/>
              </w:rPr>
              <w:t>‌营销</w:t>
            </w:r>
            <w:r>
              <w:rPr>
                <w:rFonts w:hint="eastAsia" w:ascii="宋体" w:hAnsi="宋体"/>
                <w:bCs/>
                <w:iCs/>
                <w:color w:val="000000"/>
                <w:sz w:val="24"/>
                <w:szCs w:val="24"/>
                <w:lang w:val="en-US" w:eastAsia="zh-CN"/>
              </w:rPr>
              <w:t>升级</w:t>
            </w:r>
            <w:r>
              <w:rPr>
                <w:rFonts w:hint="eastAsia" w:ascii="宋体" w:hAnsi="宋体"/>
                <w:bCs/>
                <w:iCs/>
                <w:color w:val="000000"/>
                <w:sz w:val="24"/>
                <w:szCs w:val="24"/>
                <w:lang w:val="zh-TW" w:eastAsia="zh-CN"/>
              </w:rPr>
              <w:t>，</w:t>
            </w:r>
            <w:r>
              <w:rPr>
                <w:rFonts w:hint="eastAsia" w:ascii="宋体" w:hAnsi="宋体"/>
                <w:bCs/>
                <w:iCs/>
                <w:color w:val="000000"/>
                <w:sz w:val="24"/>
                <w:szCs w:val="24"/>
                <w:lang w:val="en-US" w:eastAsia="zh-CN"/>
              </w:rPr>
              <w:t>助推战略转型商场经营</w:t>
            </w:r>
          </w:p>
          <w:p w14:paraId="431BA145">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企划营销方面，公司</w:t>
            </w:r>
            <w:r>
              <w:rPr>
                <w:rFonts w:hint="eastAsia" w:ascii="宋体" w:hAnsi="宋体"/>
                <w:bCs/>
                <w:iCs/>
                <w:color w:val="000000"/>
                <w:sz w:val="24"/>
                <w:szCs w:val="24"/>
                <w:lang w:val="zh-TW" w:eastAsia="zh-CN"/>
              </w:rPr>
              <w:t>积极拓展线上流量运营矩阵，赋能商场经营，构建起“天猫同城站”+“抖音本地生活”双主阵地为核心的线上流量运营矩阵，</w:t>
            </w:r>
            <w:r>
              <w:rPr>
                <w:rFonts w:hint="eastAsia" w:ascii="宋体" w:hAnsi="宋体"/>
                <w:bCs/>
                <w:iCs/>
                <w:color w:val="000000"/>
                <w:sz w:val="24"/>
                <w:szCs w:val="24"/>
                <w:lang w:val="en-US" w:eastAsia="zh-CN"/>
              </w:rPr>
              <w:t>线上线下全平台</w:t>
            </w:r>
            <w:r>
              <w:rPr>
                <w:rFonts w:hint="eastAsia" w:ascii="宋体" w:hAnsi="宋体"/>
                <w:bCs/>
                <w:iCs/>
                <w:color w:val="000000"/>
                <w:sz w:val="24"/>
                <w:szCs w:val="24"/>
                <w:lang w:val="zh-TW" w:eastAsia="zh-CN"/>
              </w:rPr>
              <w:t>‌营销</w:t>
            </w:r>
            <w:r>
              <w:rPr>
                <w:rFonts w:hint="eastAsia" w:ascii="宋体" w:hAnsi="宋体"/>
                <w:bCs/>
                <w:iCs/>
                <w:color w:val="000000"/>
                <w:sz w:val="24"/>
                <w:szCs w:val="24"/>
                <w:lang w:val="en-US" w:eastAsia="zh-CN"/>
              </w:rPr>
              <w:t>升级</w:t>
            </w:r>
            <w:r>
              <w:rPr>
                <w:rFonts w:hint="eastAsia" w:ascii="宋体" w:hAnsi="宋体"/>
                <w:bCs/>
                <w:iCs/>
                <w:color w:val="000000"/>
                <w:sz w:val="24"/>
                <w:szCs w:val="24"/>
                <w:lang w:val="zh-TW" w:eastAsia="zh-CN"/>
              </w:rPr>
              <w:t>，</w:t>
            </w:r>
            <w:r>
              <w:rPr>
                <w:rFonts w:hint="eastAsia" w:ascii="宋体" w:hAnsi="宋体"/>
                <w:bCs/>
                <w:iCs/>
                <w:color w:val="000000"/>
                <w:sz w:val="24"/>
                <w:szCs w:val="24"/>
                <w:lang w:val="en-US" w:eastAsia="zh-CN"/>
              </w:rPr>
              <w:t>助推战略转型商场经营。公司数智化升级</w:t>
            </w:r>
            <w:r>
              <w:rPr>
                <w:rFonts w:hint="eastAsia" w:ascii="宋体" w:hAnsi="宋体"/>
                <w:bCs/>
                <w:iCs/>
                <w:color w:val="000000"/>
                <w:sz w:val="24"/>
                <w:szCs w:val="24"/>
                <w:lang w:val="zh-TW" w:eastAsia="zh-CN"/>
              </w:rPr>
              <w:t>聚焦于“战略业务支撑”与“系统整合”两大领域，确保核心业务战略的有效实施。商户端，推出“招商扣点合同”、“商户通”及“M+臻选设计师”三大产品。消费者端，推出了“红星美凯龙小程序”、“SCRM系统”，并为“全国以旧换新业务”提供系统支持。面向管理端，完成了“招商电子合同”优化升级，确保了续签工作的高效稳定进行，提高了合同签订效率。系统整合方面，通过对龙翼管理系统的迭代升级，实现发展、招商、营运、物业系统的全面融合。</w:t>
            </w:r>
          </w:p>
          <w:p w14:paraId="683B8D7B">
            <w:pPr>
              <w:numPr>
                <w:ilvl w:val="0"/>
                <w:numId w:val="0"/>
              </w:numPr>
              <w:spacing w:line="312" w:lineRule="auto"/>
              <w:ind w:leftChars="0"/>
              <w:rPr>
                <w:rFonts w:hint="default" w:ascii="宋体" w:hAnsi="宋体"/>
                <w:bCs/>
                <w:iCs/>
                <w:color w:val="000000"/>
                <w:sz w:val="24"/>
                <w:szCs w:val="24"/>
                <w:lang w:val="en-US" w:eastAsia="zh-CN"/>
              </w:rPr>
            </w:pPr>
          </w:p>
          <w:p w14:paraId="0FDB2E7E">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4.CFO杨映武介绍公司2024年财报情况</w:t>
            </w:r>
          </w:p>
          <w:p w14:paraId="081D84EE">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2024年营业收入实现78.21亿，同比下滑32.08%，各板块营业收入均有一定程度下降；归母净亏损是29.83亿，</w:t>
            </w:r>
            <w:r>
              <w:rPr>
                <w:rFonts w:hint="default" w:ascii="宋体" w:hAnsi="宋体"/>
                <w:bCs/>
                <w:iCs/>
                <w:color w:val="000000"/>
                <w:sz w:val="24"/>
                <w:szCs w:val="24"/>
                <w:lang w:val="en-US" w:eastAsia="zh-CN"/>
              </w:rPr>
              <w:t>受到公允价值变动损失增加、资产减值损失和闭店支出等事项继续发生的影响，</w:t>
            </w:r>
            <w:r>
              <w:rPr>
                <w:rFonts w:hint="eastAsia" w:ascii="宋体" w:hAnsi="宋体"/>
                <w:bCs/>
                <w:iCs/>
                <w:color w:val="000000"/>
                <w:sz w:val="24"/>
                <w:szCs w:val="24"/>
                <w:lang w:val="en-US" w:eastAsia="zh-CN"/>
              </w:rPr>
              <w:t>归母扣非净亏损是16.80亿。</w:t>
            </w:r>
          </w:p>
          <w:p w14:paraId="582402FD">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各版块收入上，租赁及管理的收入53.60 亿元，同比下降 21.0%，主要是受相关产业发展波动影响，商场和商户的经营情况均受到影响，商场的出租率和租金出现阶段性下滑。同时，为支持商户，公司稳商留商优惠增加。与委管相关收入14.6亿，同比下降28%，主要是委管商场数量减少以及委管项目的进度放缓所致。建筑装饰服务收入3.3亿，主要系受到相关行业收缩情况的影响，公司项目数量减少、存续项目工程进度放缓等原因所致。</w:t>
            </w:r>
          </w:p>
          <w:p w14:paraId="24B2F682">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报告期内，本公司实现毛利 45.56 亿元，相比 2023 年同期毛利 65.33 亿元下降 30.3%；综合毛利率为 58.3%，相比2023年同期的56.7%增加了1.6个百分点。</w:t>
            </w:r>
          </w:p>
          <w:p w14:paraId="465BCCEB">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财务表现上回暖的几个方面，一是下半年由于消费政策刺激景气度回升，出租率有所回升，2024Q4自营商场出租率</w:t>
            </w:r>
            <w:r>
              <w:rPr>
                <w:rFonts w:hint="default" w:ascii="宋体" w:hAnsi="宋体"/>
                <w:bCs/>
                <w:iCs/>
                <w:color w:val="000000"/>
                <w:sz w:val="24"/>
                <w:szCs w:val="24"/>
                <w:lang w:val="en-US" w:eastAsia="zh-CN"/>
              </w:rPr>
              <w:t>环比</w:t>
            </w:r>
            <w:r>
              <w:rPr>
                <w:rFonts w:hint="eastAsia" w:ascii="宋体" w:hAnsi="宋体"/>
                <w:bCs/>
                <w:iCs/>
                <w:color w:val="000000"/>
                <w:sz w:val="24"/>
                <w:szCs w:val="24"/>
                <w:lang w:val="en-US" w:eastAsia="zh-CN"/>
              </w:rPr>
              <w:t>Q3</w:t>
            </w:r>
            <w:r>
              <w:rPr>
                <w:rFonts w:hint="default" w:ascii="宋体" w:hAnsi="宋体"/>
                <w:bCs/>
                <w:iCs/>
                <w:color w:val="000000"/>
                <w:sz w:val="24"/>
                <w:szCs w:val="24"/>
                <w:lang w:val="en-US" w:eastAsia="zh-CN"/>
              </w:rPr>
              <w:t>提升3.1个百分点</w:t>
            </w:r>
            <w:r>
              <w:rPr>
                <w:rFonts w:hint="eastAsia" w:ascii="宋体" w:hAnsi="宋体"/>
                <w:bCs/>
                <w:iCs/>
                <w:color w:val="000000"/>
                <w:sz w:val="24"/>
                <w:szCs w:val="24"/>
                <w:lang w:val="en-US" w:eastAsia="zh-CN"/>
              </w:rPr>
              <w:t>，Q4委管商场出租率</w:t>
            </w:r>
            <w:r>
              <w:rPr>
                <w:rFonts w:hint="default" w:ascii="宋体" w:hAnsi="宋体"/>
                <w:bCs/>
                <w:iCs/>
                <w:color w:val="000000"/>
                <w:sz w:val="24"/>
                <w:szCs w:val="24"/>
                <w:lang w:val="en-US" w:eastAsia="zh-CN"/>
              </w:rPr>
              <w:t>环比</w:t>
            </w:r>
            <w:r>
              <w:rPr>
                <w:rFonts w:hint="eastAsia" w:ascii="宋体" w:hAnsi="宋体"/>
                <w:bCs/>
                <w:iCs/>
                <w:color w:val="000000"/>
                <w:sz w:val="24"/>
                <w:szCs w:val="24"/>
                <w:lang w:val="en-US" w:eastAsia="zh-CN"/>
              </w:rPr>
              <w:t>Q3</w:t>
            </w:r>
            <w:r>
              <w:rPr>
                <w:rFonts w:hint="default" w:ascii="宋体" w:hAnsi="宋体"/>
                <w:bCs/>
                <w:iCs/>
                <w:color w:val="000000"/>
                <w:sz w:val="24"/>
                <w:szCs w:val="24"/>
                <w:lang w:val="en-US" w:eastAsia="zh-CN"/>
              </w:rPr>
              <w:t>提升4.5个百分点</w:t>
            </w:r>
            <w:r>
              <w:rPr>
                <w:rFonts w:hint="eastAsia" w:ascii="宋体" w:hAnsi="宋体"/>
                <w:bCs/>
                <w:iCs/>
                <w:color w:val="000000"/>
                <w:sz w:val="24"/>
                <w:szCs w:val="24"/>
                <w:lang w:val="en-US" w:eastAsia="zh-CN"/>
              </w:rPr>
              <w:t>。二是经营性现金流净额，</w:t>
            </w:r>
            <w:r>
              <w:rPr>
                <w:rFonts w:hint="default" w:ascii="宋体" w:hAnsi="宋体"/>
                <w:bCs/>
                <w:iCs/>
                <w:color w:val="000000"/>
                <w:sz w:val="24"/>
                <w:szCs w:val="24"/>
                <w:lang w:val="en-US" w:eastAsia="zh-CN"/>
              </w:rPr>
              <w:t>连续</w:t>
            </w:r>
            <w:r>
              <w:rPr>
                <w:rFonts w:hint="eastAsia" w:ascii="宋体" w:hAnsi="宋体"/>
                <w:bCs/>
                <w:iCs/>
                <w:color w:val="000000"/>
                <w:sz w:val="24"/>
                <w:szCs w:val="24"/>
                <w:lang w:val="en-US" w:eastAsia="zh-CN"/>
              </w:rPr>
              <w:t>2</w:t>
            </w:r>
            <w:r>
              <w:rPr>
                <w:rFonts w:hint="default" w:ascii="宋体" w:hAnsi="宋体"/>
                <w:bCs/>
                <w:iCs/>
                <w:color w:val="000000"/>
                <w:sz w:val="24"/>
                <w:szCs w:val="24"/>
                <w:lang w:val="en-US" w:eastAsia="zh-CN"/>
              </w:rPr>
              <w:t>个季度正流入</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并实现正增长</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Q4单季度提升4.6亿元</w:t>
            </w:r>
            <w:r>
              <w:rPr>
                <w:rFonts w:hint="eastAsia" w:ascii="宋体" w:hAnsi="宋体"/>
                <w:bCs/>
                <w:iCs/>
                <w:color w:val="000000"/>
                <w:sz w:val="24"/>
                <w:szCs w:val="24"/>
                <w:lang w:val="en-US" w:eastAsia="zh-CN"/>
              </w:rPr>
              <w:t>。三是我们的融资成本负债规模有所下降，2024年公司计息负债规模291</w:t>
            </w:r>
            <w:r>
              <w:rPr>
                <w:rFonts w:hint="default" w:ascii="宋体" w:hAnsi="宋体"/>
                <w:bCs/>
                <w:iCs/>
                <w:color w:val="000000"/>
                <w:sz w:val="24"/>
                <w:szCs w:val="24"/>
                <w:lang w:val="en-US" w:eastAsia="zh-CN"/>
              </w:rPr>
              <w:t>亿元，较年初下降 55亿元</w:t>
            </w:r>
            <w:r>
              <w:rPr>
                <w:rFonts w:hint="eastAsia" w:ascii="宋体" w:hAnsi="宋体"/>
                <w:bCs/>
                <w:iCs/>
                <w:color w:val="000000"/>
                <w:sz w:val="24"/>
                <w:szCs w:val="24"/>
                <w:lang w:val="en-US" w:eastAsia="zh-CN"/>
              </w:rPr>
              <w:t>；</w:t>
            </w:r>
            <w:r>
              <w:rPr>
                <w:rFonts w:hint="default" w:ascii="宋体" w:hAnsi="宋体"/>
                <w:bCs/>
                <w:iCs/>
                <w:color w:val="000000"/>
                <w:sz w:val="24"/>
                <w:szCs w:val="24"/>
                <w:lang w:val="en-US" w:eastAsia="zh-CN"/>
              </w:rPr>
              <w:t>到期时间一年以上的债务占73.1%， 较年初提高11.0个百分点</w:t>
            </w:r>
            <w:r>
              <w:rPr>
                <w:rFonts w:hint="eastAsia" w:ascii="宋体" w:hAnsi="宋体"/>
                <w:bCs/>
                <w:iCs/>
                <w:color w:val="000000"/>
                <w:sz w:val="24"/>
                <w:szCs w:val="24"/>
                <w:lang w:val="en-US" w:eastAsia="zh-CN"/>
              </w:rPr>
              <w:t>，计息负债融资成本5.1%</w:t>
            </w:r>
            <w:r>
              <w:rPr>
                <w:rFonts w:hint="default" w:ascii="宋体" w:hAnsi="宋体"/>
                <w:bCs/>
                <w:iCs/>
                <w:color w:val="000000"/>
                <w:sz w:val="24"/>
                <w:szCs w:val="24"/>
                <w:lang w:val="en-US" w:eastAsia="zh-CN"/>
              </w:rPr>
              <w:t>，较年初下降0.9个百分点</w:t>
            </w:r>
            <w:r>
              <w:rPr>
                <w:rFonts w:hint="eastAsia" w:ascii="宋体" w:hAnsi="宋体"/>
                <w:bCs/>
                <w:iCs/>
                <w:color w:val="000000"/>
                <w:sz w:val="24"/>
                <w:szCs w:val="24"/>
                <w:lang w:val="en-US" w:eastAsia="zh-CN"/>
              </w:rPr>
              <w:t>，利息支出25.3</w:t>
            </w:r>
            <w:r>
              <w:rPr>
                <w:rFonts w:hint="default" w:ascii="宋体" w:hAnsi="宋体"/>
                <w:bCs/>
                <w:iCs/>
                <w:color w:val="000000"/>
                <w:sz w:val="24"/>
                <w:szCs w:val="24"/>
                <w:lang w:val="en-US" w:eastAsia="zh-CN"/>
              </w:rPr>
              <w:t>亿元，较2023年下降3.4亿元</w:t>
            </w:r>
            <w:r>
              <w:rPr>
                <w:rFonts w:hint="eastAsia" w:ascii="宋体" w:hAnsi="宋体"/>
                <w:bCs/>
                <w:iCs/>
                <w:color w:val="000000"/>
                <w:sz w:val="24"/>
                <w:szCs w:val="24"/>
                <w:lang w:val="en-US" w:eastAsia="zh-CN"/>
              </w:rPr>
              <w:t>。</w:t>
            </w:r>
          </w:p>
          <w:p w14:paraId="520A0F59">
            <w:pPr>
              <w:numPr>
                <w:ilvl w:val="0"/>
                <w:numId w:val="0"/>
              </w:numPr>
              <w:spacing w:line="312" w:lineRule="auto"/>
              <w:ind w:leftChars="0"/>
              <w:rPr>
                <w:rFonts w:hint="default" w:ascii="宋体" w:hAnsi="宋体"/>
                <w:bCs/>
                <w:iCs/>
                <w:color w:val="000000"/>
                <w:sz w:val="24"/>
                <w:szCs w:val="24"/>
                <w:lang w:val="en-US" w:eastAsia="zh-CN"/>
              </w:rPr>
            </w:pPr>
          </w:p>
          <w:p w14:paraId="5483C81A">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Q&amp;A</w:t>
            </w:r>
          </w:p>
          <w:p w14:paraId="7A6011BC">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1）出租率及单价改善具体方式及相应目标？对减亏的影响预期。</w:t>
            </w:r>
          </w:p>
          <w:p w14:paraId="604C34D6">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施总：今年还是会重点放在品类拓展上提升出租率，美凯龙在线下家居零售占比大概是10%左右，我们要充分了解市场，招商从市场总体容量中，去找更好的品类品种和商户。租金水平方面，公司将通过差异化运营，建立专业化和精细化运营的核心竞争力，帮助商户经销商去提升效率，通过经销商盈利增加、流量增加的基础上去考虑租金的优化。减亏预期，上半年不会太明显，下半年应该会有一些收入增长，出租率有一定改善，使得投房公允价值不会太多下行。</w:t>
            </w:r>
          </w:p>
          <w:p w14:paraId="6AFD73D4">
            <w:pPr>
              <w:numPr>
                <w:ilvl w:val="0"/>
                <w:numId w:val="0"/>
              </w:numPr>
              <w:spacing w:line="312" w:lineRule="auto"/>
              <w:ind w:leftChars="0"/>
              <w:rPr>
                <w:rFonts w:hint="eastAsia" w:ascii="宋体" w:hAnsi="宋体"/>
                <w:bCs/>
                <w:iCs/>
                <w:color w:val="000000"/>
                <w:sz w:val="24"/>
                <w:szCs w:val="24"/>
                <w:lang w:val="en-US" w:eastAsia="zh-CN"/>
              </w:rPr>
            </w:pPr>
          </w:p>
          <w:p w14:paraId="2719848D">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2）今年尤其是在以旧换新政策背景下，公司的核心增长抓手及预期？</w:t>
            </w:r>
          </w:p>
          <w:p w14:paraId="79376834">
            <w:pPr>
              <w:numPr>
                <w:ilvl w:val="0"/>
                <w:numId w:val="0"/>
              </w:numPr>
              <w:spacing w:line="312" w:lineRule="auto"/>
              <w:ind w:leftChars="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朱总：2023年是以旧换新政策引导，2024年、2025年是真金白银政策落地。美凯龙将结合上下游产业资源，美凯龙自身的营销资源，利用政策利好，充分推动今年经销商商户参与补贴活动的比例和销售额的增长。其次侧重在消费者用户运营上，这一轮参与到补贴中的，是目前最有消费能力的刚需人群，美凯龙将通过数字赋能这一块，深耕用户运营。</w:t>
            </w:r>
          </w:p>
          <w:p w14:paraId="54E9FB77">
            <w:pPr>
              <w:numPr>
                <w:ilvl w:val="0"/>
                <w:numId w:val="0"/>
              </w:numPr>
              <w:spacing w:line="312" w:lineRule="auto"/>
              <w:ind w:leftChars="0"/>
              <w:rPr>
                <w:rFonts w:hint="eastAsia" w:ascii="宋体" w:hAnsi="宋体"/>
                <w:bCs/>
                <w:iCs/>
                <w:color w:val="000000"/>
                <w:sz w:val="24"/>
                <w:szCs w:val="24"/>
                <w:lang w:val="en-US" w:eastAsia="zh-CN"/>
              </w:rPr>
            </w:pPr>
          </w:p>
          <w:p w14:paraId="4EF13E92">
            <w:pPr>
              <w:numPr>
                <w:ilvl w:val="0"/>
                <w:numId w:val="0"/>
              </w:numPr>
              <w:spacing w:line="312" w:lineRule="auto"/>
              <w:ind w:leftChars="0"/>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3）问董事长：建发派驻董事长入职是否意味着赋能方式的加强及多元化，以及公司会布局新的经营策略及领域？公司新业务及新合作的发展预期及展望？</w:t>
            </w:r>
          </w:p>
          <w:p w14:paraId="77EF3A74">
            <w:pPr>
              <w:numPr>
                <w:ilvl w:val="0"/>
                <w:numId w:val="0"/>
              </w:numPr>
              <w:spacing w:line="312" w:lineRule="auto"/>
              <w:ind w:leftChars="0"/>
              <w:rPr>
                <w:rFonts w:hint="eastAsia" w:ascii="宋体" w:hAnsi="宋体"/>
                <w:bCs/>
                <w:iCs/>
                <w:color w:val="000000"/>
                <w:sz w:val="24"/>
                <w:szCs w:val="24"/>
                <w:lang w:val="zh-TW" w:eastAsia="zh-CN"/>
              </w:rPr>
            </w:pPr>
            <w:r>
              <w:rPr>
                <w:rFonts w:hint="eastAsia" w:ascii="宋体" w:hAnsi="宋体"/>
                <w:bCs/>
                <w:iCs/>
                <w:color w:val="000000"/>
                <w:sz w:val="24"/>
                <w:szCs w:val="24"/>
                <w:lang w:val="en-US" w:eastAsia="zh-CN"/>
              </w:rPr>
              <w:t>李总：在建发任职期间，我曾深度参与了建发入主美凯龙的整个交易过程，也见证了自2023年建发入主红星美凯龙以来，双方在多个层面展开的深度协同和显著成效。我对建发内部的资源禀赋也是非常熟悉，未来我将助力</w:t>
            </w:r>
            <w:r>
              <w:rPr>
                <w:rFonts w:hint="eastAsia" w:ascii="宋体" w:hAnsi="宋体"/>
                <w:bCs/>
                <w:iCs/>
                <w:color w:val="000000"/>
                <w:sz w:val="24"/>
                <w:szCs w:val="24"/>
                <w:lang w:val="zh-TW" w:eastAsia="zh-CN"/>
              </w:rPr>
              <w:t>推动</w:t>
            </w:r>
            <w:r>
              <w:rPr>
                <w:rFonts w:hint="eastAsia" w:ascii="宋体" w:hAnsi="宋体"/>
                <w:bCs/>
                <w:iCs/>
                <w:color w:val="000000"/>
                <w:sz w:val="24"/>
                <w:szCs w:val="24"/>
                <w:lang w:val="en-US" w:eastAsia="zh-CN"/>
              </w:rPr>
              <w:t>双方</w:t>
            </w:r>
            <w:r>
              <w:rPr>
                <w:rFonts w:hint="eastAsia" w:ascii="宋体" w:hAnsi="宋体"/>
                <w:bCs/>
                <w:iCs/>
                <w:color w:val="000000"/>
                <w:sz w:val="24"/>
                <w:szCs w:val="24"/>
                <w:lang w:val="zh-TW" w:eastAsia="zh-CN"/>
              </w:rPr>
              <w:t>的</w:t>
            </w:r>
            <w:r>
              <w:rPr>
                <w:rFonts w:hint="eastAsia" w:ascii="宋体" w:hAnsi="宋体"/>
                <w:bCs/>
                <w:iCs/>
                <w:color w:val="000000"/>
                <w:sz w:val="24"/>
                <w:szCs w:val="24"/>
                <w:lang w:val="en-US" w:eastAsia="zh-CN"/>
              </w:rPr>
              <w:t>深度</w:t>
            </w:r>
            <w:r>
              <w:rPr>
                <w:rFonts w:hint="eastAsia" w:ascii="宋体" w:hAnsi="宋体"/>
                <w:bCs/>
                <w:iCs/>
                <w:color w:val="000000"/>
                <w:sz w:val="24"/>
                <w:szCs w:val="24"/>
                <w:lang w:val="zh-TW" w:eastAsia="zh-CN"/>
              </w:rPr>
              <w:t>协同、资源互补和业务拓展。</w:t>
            </w:r>
          </w:p>
          <w:p w14:paraId="3184DEC2">
            <w:pPr>
              <w:numPr>
                <w:ilvl w:val="0"/>
                <w:numId w:val="0"/>
              </w:numPr>
              <w:spacing w:line="312" w:lineRule="auto"/>
              <w:ind w:leftChars="0"/>
              <w:rPr>
                <w:rFonts w:ascii="宋体" w:hAnsi="宋体"/>
                <w:bCs/>
                <w:iCs/>
                <w:color w:val="000000"/>
                <w:sz w:val="24"/>
                <w:szCs w:val="24"/>
              </w:rPr>
            </w:pPr>
            <w:r>
              <w:rPr>
                <w:rFonts w:hint="eastAsia" w:ascii="宋体" w:hAnsi="宋体"/>
                <w:bCs/>
                <w:iCs/>
                <w:color w:val="000000"/>
                <w:sz w:val="24"/>
                <w:szCs w:val="24"/>
                <w:lang w:val="en-US" w:eastAsia="zh-CN"/>
              </w:rPr>
              <w:t>首先是地产和家装这一块，建发地产近年来在成都、北京等地拿到高质地块，未来与美凯龙的协同将有一些爆发点；其次是建发股份供应链业务方面强有力的资源，在未来美凯龙走国际化战略，海外发展海外布局的机会上也有促进作用，除了刚才提到的电器与建发轻工、汽车与建发汽车等方面，未来还有更多的落地机会。</w:t>
            </w:r>
            <w:bookmarkStart w:id="0" w:name="_GoBack"/>
            <w:bookmarkEnd w:id="0"/>
          </w:p>
        </w:tc>
      </w:tr>
      <w:tr w14:paraId="598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08" w:type="dxa"/>
            <w:vAlign w:val="center"/>
          </w:tcPr>
          <w:p w14:paraId="65F52CB7">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7380" w:type="dxa"/>
          </w:tcPr>
          <w:p w14:paraId="09C15907">
            <w:pPr>
              <w:spacing w:line="312" w:lineRule="auto"/>
              <w:rPr>
                <w:rFonts w:ascii="宋体" w:hAnsi="宋体"/>
                <w:bCs/>
                <w:iCs/>
                <w:color w:val="000000"/>
                <w:sz w:val="24"/>
                <w:szCs w:val="24"/>
              </w:rPr>
            </w:pPr>
            <w:r>
              <w:rPr>
                <w:rFonts w:hint="eastAsia" w:ascii="宋体" w:hAnsi="宋体"/>
                <w:bCs/>
                <w:iCs/>
                <w:color w:val="000000"/>
                <w:sz w:val="24"/>
                <w:szCs w:val="24"/>
              </w:rPr>
              <w:t>无</w:t>
            </w:r>
          </w:p>
        </w:tc>
      </w:tr>
      <w:tr w14:paraId="546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70D7E21">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7380" w:type="dxa"/>
          </w:tcPr>
          <w:p w14:paraId="6BAC84A3">
            <w:pPr>
              <w:spacing w:line="312" w:lineRule="auto"/>
              <w:rPr>
                <w:rFonts w:ascii="宋体" w:hAnsi="宋体"/>
                <w:bCs/>
                <w:iCs/>
                <w:color w:val="000000"/>
                <w:sz w:val="24"/>
                <w:szCs w:val="24"/>
              </w:rPr>
            </w:pPr>
            <w:r>
              <w:rPr>
                <w:rFonts w:hint="eastAsia" w:ascii="宋体" w:hAnsi="宋体"/>
                <w:bCs/>
                <w:iCs/>
                <w:color w:val="000000"/>
                <w:sz w:val="24"/>
                <w:szCs w:val="24"/>
              </w:rPr>
              <w:t>202</w:t>
            </w:r>
            <w:r>
              <w:rPr>
                <w:rFonts w:hint="eastAsia" w:ascii="宋体" w:hAnsi="宋体"/>
                <w:bCs/>
                <w:iCs/>
                <w:color w:val="000000"/>
                <w:sz w:val="24"/>
                <w:szCs w:val="24"/>
                <w:lang w:val="en-US" w:eastAsia="zh-CN"/>
              </w:rPr>
              <w:t>5</w:t>
            </w:r>
            <w:r>
              <w:rPr>
                <w:rFonts w:hint="eastAsia" w:ascii="宋体" w:hAnsi="宋体"/>
                <w:bCs/>
                <w:iCs/>
                <w:color w:val="000000"/>
                <w:sz w:val="24"/>
                <w:szCs w:val="24"/>
              </w:rPr>
              <w:t>年</w:t>
            </w:r>
            <w:r>
              <w:rPr>
                <w:rFonts w:hint="eastAsia" w:ascii="宋体" w:hAnsi="宋体"/>
                <w:bCs/>
                <w:iCs/>
                <w:color w:val="000000"/>
                <w:sz w:val="24"/>
                <w:szCs w:val="24"/>
                <w:lang w:val="en-US" w:eastAsia="zh-CN"/>
              </w:rPr>
              <w:t>4</w:t>
            </w:r>
            <w:r>
              <w:rPr>
                <w:rFonts w:hint="eastAsia" w:ascii="宋体" w:hAnsi="宋体"/>
                <w:bCs/>
                <w:iCs/>
                <w:color w:val="000000"/>
                <w:sz w:val="24"/>
                <w:szCs w:val="24"/>
              </w:rPr>
              <w:t>月</w:t>
            </w:r>
            <w:r>
              <w:rPr>
                <w:rFonts w:hint="eastAsia" w:ascii="宋体" w:hAnsi="宋体"/>
                <w:bCs/>
                <w:iCs/>
                <w:color w:val="000000"/>
                <w:sz w:val="24"/>
                <w:szCs w:val="24"/>
                <w:lang w:val="en-US" w:eastAsia="zh-CN"/>
              </w:rPr>
              <w:t>3</w:t>
            </w:r>
            <w:r>
              <w:rPr>
                <w:rFonts w:hint="eastAsia" w:ascii="宋体" w:hAnsi="宋体"/>
                <w:bCs/>
                <w:iCs/>
                <w:color w:val="000000"/>
                <w:sz w:val="24"/>
                <w:szCs w:val="24"/>
              </w:rPr>
              <w:t>日</w:t>
            </w:r>
          </w:p>
        </w:tc>
      </w:tr>
    </w:tbl>
    <w:p w14:paraId="68BFC3B8"/>
    <w:sectPr>
      <w:footerReference r:id="rId3"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AC16">
    <w:pPr>
      <w:pStyle w:val="11"/>
      <w:framePr w:wrap="around" w:vAnchor="text" w:hAnchor="margin" w:xAlign="center" w:y="1"/>
      <w:rPr>
        <w:rStyle w:val="18"/>
      </w:rPr>
    </w:pPr>
    <w:r>
      <w:fldChar w:fldCharType="begin"/>
    </w:r>
    <w:r>
      <w:rPr>
        <w:rStyle w:val="18"/>
      </w:rPr>
      <w:instrText xml:space="preserve">PAGE  </w:instrText>
    </w:r>
    <w:r>
      <w:fldChar w:fldCharType="end"/>
    </w:r>
  </w:p>
  <w:p w14:paraId="33F1BD1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5BE2"/>
    <w:multiLevelType w:val="singleLevel"/>
    <w:tmpl w:val="B2645B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10AAE"/>
    <w:rsid w:val="00012403"/>
    <w:rsid w:val="00013502"/>
    <w:rsid w:val="00014002"/>
    <w:rsid w:val="000148EC"/>
    <w:rsid w:val="00020110"/>
    <w:rsid w:val="00023AD8"/>
    <w:rsid w:val="000242D4"/>
    <w:rsid w:val="00027543"/>
    <w:rsid w:val="00027E91"/>
    <w:rsid w:val="000325CB"/>
    <w:rsid w:val="00033F3E"/>
    <w:rsid w:val="0003412E"/>
    <w:rsid w:val="00040106"/>
    <w:rsid w:val="00040588"/>
    <w:rsid w:val="00043B1A"/>
    <w:rsid w:val="000441A5"/>
    <w:rsid w:val="00046C00"/>
    <w:rsid w:val="00053029"/>
    <w:rsid w:val="000607C6"/>
    <w:rsid w:val="00060AA6"/>
    <w:rsid w:val="0006194A"/>
    <w:rsid w:val="0007492A"/>
    <w:rsid w:val="00074A14"/>
    <w:rsid w:val="00077D4A"/>
    <w:rsid w:val="00077E40"/>
    <w:rsid w:val="00082533"/>
    <w:rsid w:val="0008640A"/>
    <w:rsid w:val="000951EF"/>
    <w:rsid w:val="00095821"/>
    <w:rsid w:val="00095AE5"/>
    <w:rsid w:val="00097616"/>
    <w:rsid w:val="000A06A2"/>
    <w:rsid w:val="000A1164"/>
    <w:rsid w:val="000A2B49"/>
    <w:rsid w:val="000A65BE"/>
    <w:rsid w:val="000C1592"/>
    <w:rsid w:val="000C3A39"/>
    <w:rsid w:val="000C5505"/>
    <w:rsid w:val="000C5CAF"/>
    <w:rsid w:val="000C6844"/>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2021E"/>
    <w:rsid w:val="00221D18"/>
    <w:rsid w:val="002227DA"/>
    <w:rsid w:val="0022321C"/>
    <w:rsid w:val="00225F06"/>
    <w:rsid w:val="002262D2"/>
    <w:rsid w:val="00226F37"/>
    <w:rsid w:val="00227C8D"/>
    <w:rsid w:val="00230E41"/>
    <w:rsid w:val="0023234B"/>
    <w:rsid w:val="0023265F"/>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74B8"/>
    <w:rsid w:val="002E0A2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635F"/>
    <w:rsid w:val="00353370"/>
    <w:rsid w:val="00357239"/>
    <w:rsid w:val="00357645"/>
    <w:rsid w:val="00363067"/>
    <w:rsid w:val="0036322F"/>
    <w:rsid w:val="003650E2"/>
    <w:rsid w:val="00367530"/>
    <w:rsid w:val="00374679"/>
    <w:rsid w:val="003831E5"/>
    <w:rsid w:val="00384C33"/>
    <w:rsid w:val="00385B9F"/>
    <w:rsid w:val="00393259"/>
    <w:rsid w:val="003959F3"/>
    <w:rsid w:val="00395D49"/>
    <w:rsid w:val="003B18E5"/>
    <w:rsid w:val="003B248C"/>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5768B"/>
    <w:rsid w:val="00562DA1"/>
    <w:rsid w:val="00562F21"/>
    <w:rsid w:val="00570DFE"/>
    <w:rsid w:val="00573E1F"/>
    <w:rsid w:val="005828AA"/>
    <w:rsid w:val="00586CA0"/>
    <w:rsid w:val="00590896"/>
    <w:rsid w:val="005912C5"/>
    <w:rsid w:val="00593140"/>
    <w:rsid w:val="00596838"/>
    <w:rsid w:val="005A0027"/>
    <w:rsid w:val="005A615A"/>
    <w:rsid w:val="005A6220"/>
    <w:rsid w:val="005B0815"/>
    <w:rsid w:val="005B5D91"/>
    <w:rsid w:val="005C1165"/>
    <w:rsid w:val="005C183B"/>
    <w:rsid w:val="005C7068"/>
    <w:rsid w:val="005C7BE3"/>
    <w:rsid w:val="005D2A87"/>
    <w:rsid w:val="005D7F0F"/>
    <w:rsid w:val="005E16A1"/>
    <w:rsid w:val="005E22A1"/>
    <w:rsid w:val="005E5919"/>
    <w:rsid w:val="005E7168"/>
    <w:rsid w:val="005F4BAB"/>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A3A"/>
    <w:rsid w:val="006770D1"/>
    <w:rsid w:val="006811B9"/>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4F53"/>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6EEA"/>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6B0"/>
    <w:rsid w:val="009B115B"/>
    <w:rsid w:val="009B1498"/>
    <w:rsid w:val="009B1827"/>
    <w:rsid w:val="009B1F8D"/>
    <w:rsid w:val="009B472F"/>
    <w:rsid w:val="009B54F8"/>
    <w:rsid w:val="009C2EE0"/>
    <w:rsid w:val="009C7105"/>
    <w:rsid w:val="009D0115"/>
    <w:rsid w:val="009D5548"/>
    <w:rsid w:val="009D5D9C"/>
    <w:rsid w:val="009D5E6C"/>
    <w:rsid w:val="009E0FBC"/>
    <w:rsid w:val="009E1A23"/>
    <w:rsid w:val="009E33D4"/>
    <w:rsid w:val="009E62D5"/>
    <w:rsid w:val="009E6F1C"/>
    <w:rsid w:val="009E71A3"/>
    <w:rsid w:val="00A00BF1"/>
    <w:rsid w:val="00A0192E"/>
    <w:rsid w:val="00A041C4"/>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364B"/>
    <w:rsid w:val="00A63AA1"/>
    <w:rsid w:val="00A64A5F"/>
    <w:rsid w:val="00A666E1"/>
    <w:rsid w:val="00A73412"/>
    <w:rsid w:val="00A73B44"/>
    <w:rsid w:val="00A74C9D"/>
    <w:rsid w:val="00A754FD"/>
    <w:rsid w:val="00A80981"/>
    <w:rsid w:val="00A80BBD"/>
    <w:rsid w:val="00A82502"/>
    <w:rsid w:val="00A82845"/>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53C5F"/>
    <w:rsid w:val="00B63770"/>
    <w:rsid w:val="00B643E7"/>
    <w:rsid w:val="00B65FAE"/>
    <w:rsid w:val="00B7259B"/>
    <w:rsid w:val="00B768F4"/>
    <w:rsid w:val="00B77F93"/>
    <w:rsid w:val="00B80AA0"/>
    <w:rsid w:val="00B81969"/>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2035"/>
    <w:rsid w:val="00C42AE9"/>
    <w:rsid w:val="00C4360C"/>
    <w:rsid w:val="00C51EE9"/>
    <w:rsid w:val="00C53010"/>
    <w:rsid w:val="00C53D73"/>
    <w:rsid w:val="00C55C9A"/>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A65"/>
    <w:rsid w:val="00CC40FF"/>
    <w:rsid w:val="00CC6BC8"/>
    <w:rsid w:val="00CC6E3B"/>
    <w:rsid w:val="00CD23BD"/>
    <w:rsid w:val="00CD4143"/>
    <w:rsid w:val="00CD56C1"/>
    <w:rsid w:val="00CD58AF"/>
    <w:rsid w:val="00CD68EF"/>
    <w:rsid w:val="00CD733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43646"/>
    <w:rsid w:val="00E4499B"/>
    <w:rsid w:val="00E457D8"/>
    <w:rsid w:val="00E51559"/>
    <w:rsid w:val="00E52B71"/>
    <w:rsid w:val="00E552E0"/>
    <w:rsid w:val="00E5540E"/>
    <w:rsid w:val="00E55FF9"/>
    <w:rsid w:val="00E602A6"/>
    <w:rsid w:val="00E60E36"/>
    <w:rsid w:val="00E62D8A"/>
    <w:rsid w:val="00E642A2"/>
    <w:rsid w:val="00E65147"/>
    <w:rsid w:val="00E654F1"/>
    <w:rsid w:val="00E662AB"/>
    <w:rsid w:val="00E6699B"/>
    <w:rsid w:val="00E71AE4"/>
    <w:rsid w:val="00E721F5"/>
    <w:rsid w:val="00E7566C"/>
    <w:rsid w:val="00E920C2"/>
    <w:rsid w:val="00E95A71"/>
    <w:rsid w:val="00E97ACA"/>
    <w:rsid w:val="00EA0D84"/>
    <w:rsid w:val="00EA1169"/>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F02CE7"/>
    <w:rsid w:val="00F042AD"/>
    <w:rsid w:val="00F10B6E"/>
    <w:rsid w:val="00F148EF"/>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53FC"/>
    <w:rsid w:val="00FF7E67"/>
    <w:rsid w:val="0663650E"/>
    <w:rsid w:val="0935504D"/>
    <w:rsid w:val="1A781AD7"/>
    <w:rsid w:val="43E23B0B"/>
    <w:rsid w:val="54454425"/>
    <w:rsid w:val="5A5119FF"/>
    <w:rsid w:val="5BE7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60" w:lineRule="atLeast"/>
      <w:ind w:left="200" w:leftChars="200"/>
    </w:pPr>
    <w:rPr>
      <w:szCs w:val="24"/>
    </w:rPr>
  </w:style>
  <w:style w:type="paragraph" w:styleId="6">
    <w:name w:val="Plain Text"/>
    <w:basedOn w:val="1"/>
    <w:qFormat/>
    <w:uiPriority w:val="0"/>
    <w:rPr>
      <w:rFonts w:ascii="宋体" w:hAnsi="Courier New"/>
    </w:rPr>
  </w:style>
  <w:style w:type="paragraph" w:styleId="7">
    <w:name w:val="Date"/>
    <w:basedOn w:val="1"/>
    <w:next w:val="1"/>
    <w:link w:val="23"/>
    <w:semiHidden/>
    <w:unhideWhenUsed/>
    <w:qFormat/>
    <w:uiPriority w:val="99"/>
    <w:pPr>
      <w:ind w:left="100" w:leftChars="2500"/>
    </w:pPr>
    <w:rPr>
      <w:lang w:val="zh-CN"/>
    </w:rPr>
  </w:style>
  <w:style w:type="paragraph" w:styleId="8">
    <w:name w:val="Body Text Indent 2"/>
    <w:basedOn w:val="1"/>
    <w:qFormat/>
    <w:uiPriority w:val="0"/>
    <w:pPr>
      <w:spacing w:after="120" w:line="480" w:lineRule="auto"/>
      <w:ind w:left="420" w:leftChars="200"/>
    </w:pPr>
  </w:style>
  <w:style w:type="paragraph" w:styleId="9">
    <w:name w:val="endnote text"/>
    <w:basedOn w:val="1"/>
    <w:qFormat/>
    <w:uiPriority w:val="0"/>
    <w:pPr>
      <w:snapToGrid w:val="0"/>
      <w:jc w:val="left"/>
    </w:pPr>
    <w:rPr>
      <w:rFonts w:ascii="宋体" w:hAnsi="宋体"/>
      <w:sz w:val="28"/>
      <w:szCs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annotation subject"/>
    <w:basedOn w:val="4"/>
    <w:next w:val="4"/>
    <w:qFormat/>
    <w:uiPriority w:val="0"/>
    <w:rPr>
      <w:b/>
      <w:bCs/>
    </w:r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paragraph" w:customStyle="1" w:styleId="21">
    <w:name w:val="修订1"/>
    <w:qFormat/>
    <w:uiPriority w:val="0"/>
    <w:rPr>
      <w:rFonts w:ascii="Times New Roman" w:hAnsi="Times New Roman" w:eastAsia="宋体" w:cs="Times New Roman"/>
      <w:kern w:val="2"/>
      <w:sz w:val="21"/>
      <w:lang w:val="en-US" w:eastAsia="zh-CN" w:bidi="ar-SA"/>
    </w:rPr>
  </w:style>
  <w:style w:type="paragraph" w:styleId="22">
    <w:name w:val="List Paragraph"/>
    <w:basedOn w:val="1"/>
    <w:link w:val="25"/>
    <w:qFormat/>
    <w:uiPriority w:val="34"/>
    <w:pPr>
      <w:ind w:firstLine="420" w:firstLineChars="200"/>
    </w:pPr>
  </w:style>
  <w:style w:type="character" w:customStyle="1" w:styleId="23">
    <w:name w:val="日期 字符"/>
    <w:link w:val="7"/>
    <w:semiHidden/>
    <w:qFormat/>
    <w:uiPriority w:val="99"/>
    <w:rPr>
      <w:kern w:val="2"/>
      <w:sz w:val="21"/>
    </w:rPr>
  </w:style>
  <w:style w:type="character" w:customStyle="1" w:styleId="24">
    <w:name w:val="apple-converted-space"/>
    <w:qFormat/>
    <w:uiPriority w:val="0"/>
  </w:style>
  <w:style w:type="character" w:customStyle="1" w:styleId="25">
    <w:name w:val="列出段落 字符"/>
    <w:basedOn w:val="16"/>
    <w:link w:val="22"/>
    <w:qFormat/>
    <w:uiPriority w:val="34"/>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AECB-DB53-430B-A7E0-29632AB33C1E}">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6</Pages>
  <Words>5057</Words>
  <Characters>5392</Characters>
  <Lines>59</Lines>
  <Paragraphs>16</Paragraphs>
  <TotalTime>9</TotalTime>
  <ScaleCrop>false</ScaleCrop>
  <LinksUpToDate>false</LinksUpToDate>
  <CharactersWithSpaces>5543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2024-12-31T06:56:00Z</dcterms:created>
  <dc:creator>陈朝晖</dc:creator>
  <cp:lastModifiedBy>ningjie</cp:lastModifiedBy>
  <cp:lastPrinted>2024-12-31T03:15:00Z</cp:lastPrinted>
  <dcterms:modified xsi:type="dcterms:W3CDTF">2025-04-03T06:57:08Z</dcterms:modified>
  <dc:title>中小企业板信息披露业务备忘录第5号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eyJoZGlkIjoiMmU5ODJlYjdkODVjNzBjMzkxMjk4MjAwMWU0YzE1YzgiLCJ1c2VySWQiOiI1MzQ0MjI3MDUifQ==</vt:lpwstr>
  </property>
  <property fmtid="{D5CDD505-2E9C-101B-9397-08002B2CF9AE}" pid="4" name="ICV">
    <vt:lpwstr>980A27AAA7AA4BE28D0CA129EEDF576D_13</vt:lpwstr>
  </property>
</Properties>
</file>