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DB83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三</w:t>
            </w:r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:30</w:t>
            </w:r>
          </w:p>
          <w:p w14:paraId="775C2530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太平洋证券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程志峰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公司调研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77E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1、董事会秘书：郭小薇</w:t>
            </w:r>
          </w:p>
          <w:p w14:paraId="18E5B120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2、资本运作管理经理：张伟</w:t>
            </w:r>
          </w:p>
        </w:tc>
      </w:tr>
      <w:tr w14:paraId="61F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3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8077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A5D1495">
            <w:pPr>
              <w:spacing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.公司的</w:t>
            </w:r>
            <w:r>
              <w:rPr>
                <w:rFonts w:asciiTheme="minorEastAsia" w:hAnsiTheme="minorEastAsia" w:eastAsiaTheme="minorEastAsia"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货类</w:t>
            </w:r>
            <w:r>
              <w:rPr>
                <w:rFonts w:asciiTheme="minorEastAsia" w:hAnsiTheme="minorEastAsia" w:eastAsiaTheme="minorEastAsia"/>
                <w:sz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吞吐量情况</w:t>
            </w:r>
          </w:p>
          <w:p w14:paraId="4C7FD4D8"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公司货类分为集装箱、干散货、液体散货、滚装汽车、件杂货等等。</w:t>
            </w:r>
          </w:p>
          <w:p w14:paraId="4D2D9B34">
            <w:pPr>
              <w:pStyle w:val="8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t>度公司完成货物吞吐量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亿吨，较同期增长 1.80%，完成年度计划 4.48亿吨的 101.12%。其中：集装箱吞吐量 2047 万 TEU，较同期增长 2.25%，完成年度计划 2066 万 TEU 的 99.08%。按照</w:t>
            </w:r>
            <w:r>
              <w:t>年度</w:t>
            </w:r>
            <w:r>
              <w:rPr>
                <w:rFonts w:hint="eastAsia"/>
              </w:rPr>
              <w:t>计划，202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年度预计完成货物吞吐量4.</w:t>
            </w:r>
            <w:r>
              <w:rPr>
                <w:rFonts w:hint="eastAsia"/>
                <w:lang w:val="en-US" w:eastAsia="zh-CN"/>
              </w:rPr>
              <w:t>56</w:t>
            </w:r>
            <w:r>
              <w:rPr>
                <w:rFonts w:hint="eastAsia"/>
              </w:rPr>
              <w:t>亿吨，其中集装箱吞吐量20</w:t>
            </w:r>
            <w:r>
              <w:rPr>
                <w:rFonts w:hint="eastAsia"/>
                <w:lang w:val="en-US" w:eastAsia="zh-CN"/>
              </w:rPr>
              <w:t>77</w:t>
            </w:r>
            <w:r>
              <w:rPr>
                <w:rFonts w:hint="eastAsia"/>
              </w:rPr>
              <w:t>万TEU。集装箱</w:t>
            </w:r>
            <w:r>
              <w:t>、</w:t>
            </w:r>
            <w:r>
              <w:rPr>
                <w:rFonts w:hint="eastAsia"/>
              </w:rPr>
              <w:t>铁矿石、有色矿、煤炭、焦炭、钢材、铝矾土</w:t>
            </w:r>
            <w:r>
              <w:t>等优势货类保持良好发展势头。</w:t>
            </w:r>
          </w:p>
          <w:p w14:paraId="24987C81">
            <w:pPr>
              <w:pStyle w:val="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2.公司</w:t>
            </w:r>
            <w:r>
              <w:rPr>
                <w:rFonts w:hint="eastAsia"/>
                <w:lang w:val="en-US" w:eastAsia="zh-CN"/>
              </w:rPr>
              <w:t>2024年</w:t>
            </w:r>
            <w:r>
              <w:t>度</w:t>
            </w:r>
            <w:r>
              <w:rPr>
                <w:rFonts w:hint="eastAsia"/>
                <w:lang w:eastAsia="zh-CN"/>
              </w:rPr>
              <w:t>经营情况</w:t>
            </w:r>
          </w:p>
          <w:p w14:paraId="4077AA14">
            <w:pPr>
              <w:pStyle w:val="8"/>
            </w:pPr>
            <w:r>
              <w:rPr>
                <w:rFonts w:hint="eastAsia"/>
              </w:rPr>
              <w:t>2024年度，公司实现营业收入89.82亿元，收入实现 120.70 亿元，较同期增长 3.13%，完成年度预算110 亿元的 109.73%；利润总额 19.10 亿元，较同期增长 8.49%，完成年度预算 17.80亿元的 107.31%；实现归属于上市公司股东的净利润 9.94 亿元，较同期增长 1.22%。</w:t>
            </w:r>
          </w:p>
          <w:p w14:paraId="101A38B0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危化品发展情况</w:t>
            </w:r>
          </w:p>
          <w:p w14:paraId="616212B9">
            <w:pPr>
              <w:pStyle w:val="8"/>
              <w:numPr>
                <w:ilvl w:val="0"/>
                <w:numId w:val="0"/>
              </w:numPr>
              <w:ind w:firstLine="48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所属公司2023年底建成南港工业区新建危险货物集装箱堆场，主要承担第2至第6类危险货物集装箱，2024年全类别堆场正式营业，加之持续开展“四千行动”以及大力开发宣传天津港2-6类危险品业务，全面拓展危化品全链条一体化物流服务，板块整体2-6类危险货物出场量实现较快增长。</w:t>
            </w:r>
          </w:p>
          <w:p w14:paraId="28D5714E">
            <w:pPr>
              <w:pStyle w:val="8"/>
              <w:numPr>
                <w:ilvl w:val="0"/>
                <w:numId w:val="0"/>
              </w:numPr>
              <w:ind w:firstLine="48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未来公司将持续拓展战略资源，强化市场开发工作，积极宣传全程物流服务项目及优势，加强对各大船公司的走访联系，积极宣传全类别危险货物作业开通事宜，持续致力于扩大天津口岸全类别危险货物集装箱作业量，拉动天津口岸全类别进口箱存储场地需求，以带动危化品业务发展。</w:t>
            </w:r>
          </w:p>
          <w:p w14:paraId="7DBD85AC">
            <w:pPr>
              <w:pStyle w:val="8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</w:rPr>
              <w:t>2024年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资本</w:t>
            </w:r>
            <w:r>
              <w:rPr>
                <w:rFonts w:hint="eastAsia" w:asciiTheme="minorEastAsia" w:hAnsiTheme="minorEastAsia" w:eastAsiaTheme="minorEastAsia"/>
              </w:rPr>
              <w:t>开支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的实际情况，</w:t>
            </w:r>
            <w:r>
              <w:rPr>
                <w:rFonts w:hint="eastAsia" w:asciiTheme="minorEastAsia" w:hAnsiTheme="minorEastAsia" w:eastAsiaTheme="minorEastAsia"/>
              </w:rPr>
              <w:t>2025年资本开支计划？</w:t>
            </w:r>
          </w:p>
          <w:p w14:paraId="1BE8A065">
            <w:pPr>
              <w:pStyle w:val="8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2024年公司计划投资额为14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54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亿</w:t>
            </w:r>
            <w:r>
              <w:rPr>
                <w:rFonts w:hint="eastAsia" w:asciiTheme="minorEastAsia" w:hAnsiTheme="minorEastAsia" w:eastAsiaTheme="minorEastAsia"/>
              </w:rPr>
              <w:t>元，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实际</w:t>
            </w:r>
            <w:r>
              <w:rPr>
                <w:rFonts w:hint="eastAsia" w:asciiTheme="minorEastAsia" w:hAnsiTheme="minorEastAsia" w:eastAsiaTheme="minorEastAsia"/>
              </w:rPr>
              <w:t>完成投资比例76.23%。2025年预计完成固定资产投资23.74亿元。主要包括基本建设项目18.22亿元，设备投资3.66亿元，数字化建设项目1.86亿元。基本建设项目主要为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所属公司</w:t>
            </w:r>
            <w:r>
              <w:rPr>
                <w:rFonts w:hint="eastAsia" w:asciiTheme="minorEastAsia" w:hAnsiTheme="minorEastAsia" w:eastAsiaTheme="minorEastAsia"/>
              </w:rPr>
              <w:t>堆场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扩建</w:t>
            </w:r>
            <w:r>
              <w:rPr>
                <w:rFonts w:hint="eastAsia" w:asciiTheme="minorEastAsia" w:hAnsiTheme="minorEastAsia" w:eastAsiaTheme="minorEastAsia"/>
              </w:rPr>
              <w:t>、码头改造等项目。</w:t>
            </w:r>
          </w:p>
          <w:p w14:paraId="0F957C9D"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</w:rPr>
              <w:t>公司对</w:t>
            </w:r>
            <w:r>
              <w:rPr>
                <w:rFonts w:asciiTheme="minorEastAsia" w:hAnsiTheme="minorEastAsia" w:eastAsiaTheme="minorEastAsia"/>
              </w:rPr>
              <w:t>所属企业负责人如何考核</w:t>
            </w:r>
          </w:p>
          <w:p w14:paraId="0FCC5BFB"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按照</w:t>
            </w:r>
            <w:r>
              <w:rPr>
                <w:rFonts w:asciiTheme="minorEastAsia" w:hAnsiTheme="minorEastAsia" w:eastAsiaTheme="minorEastAsia"/>
              </w:rPr>
              <w:t>公司相关规定，公司对所属企业负责人</w:t>
            </w:r>
            <w:r>
              <w:rPr>
                <w:rFonts w:hint="eastAsia" w:asciiTheme="minorEastAsia" w:hAnsiTheme="minorEastAsia" w:eastAsiaTheme="minorEastAsia"/>
              </w:rPr>
              <w:t>从</w:t>
            </w:r>
            <w:r>
              <w:rPr>
                <w:rFonts w:asciiTheme="minorEastAsia" w:hAnsiTheme="minorEastAsia" w:eastAsiaTheme="minorEastAsia"/>
              </w:rPr>
              <w:t>营业收入、利润总额、</w:t>
            </w:r>
            <w:r>
              <w:rPr>
                <w:rFonts w:hint="eastAsia" w:asciiTheme="minorEastAsia" w:hAnsiTheme="minorEastAsia" w:eastAsiaTheme="minorEastAsia"/>
              </w:rPr>
              <w:t>企业综合</w:t>
            </w:r>
            <w:r>
              <w:rPr>
                <w:rFonts w:asciiTheme="minorEastAsia" w:hAnsiTheme="minorEastAsia" w:eastAsiaTheme="minorEastAsia"/>
              </w:rPr>
              <w:t>管理、企业安全管理等多方面进行</w:t>
            </w:r>
            <w:r>
              <w:rPr>
                <w:rFonts w:hint="eastAsia" w:asciiTheme="minorEastAsia" w:hAnsiTheme="minorEastAsia" w:eastAsiaTheme="minorEastAsia"/>
              </w:rPr>
              <w:t>月度</w:t>
            </w:r>
            <w:r>
              <w:rPr>
                <w:rFonts w:asciiTheme="minorEastAsia" w:hAnsiTheme="minorEastAsia" w:eastAsiaTheme="minorEastAsia"/>
              </w:rPr>
              <w:t>和年度综合考核。</w:t>
            </w:r>
          </w:p>
          <w:p w14:paraId="436F360B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6.公司对未来业务发展的考虑，除主业外是否考虑发展其他业务？</w:t>
            </w:r>
          </w:p>
          <w:p w14:paraId="15B67700">
            <w:pPr>
              <w:pStyle w:val="8"/>
              <w:numPr>
                <w:ilvl w:val="0"/>
                <w:numId w:val="0"/>
              </w:numPr>
              <w:ind w:firstLine="48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根据2024年度经营情况，公司装卸业务收入73.6亿元，同比增长10.1%；销售业务收入26.24亿元，同比减少17.77%；物流业务收入19.81亿元，同比增长14.85%；服务业务收入6.39亿元，同比增长7.7%。从几项业务数据来看，公司营业收入和利润主要来源于装卸业务。根据天津市国资委《市国资委党委 市国资委关于加强市管企业、委管企业对控股子企业监督管理有关事项的通知》要求，公司未来发展方向是聚焦装卸主业，做好销售、港口物流、港口服务及其他等业务。</w:t>
            </w:r>
          </w:p>
          <w:p w14:paraId="165BB8F9">
            <w:pPr>
              <w:pStyle w:val="8"/>
              <w:numPr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7.公司市值表现情况</w:t>
            </w:r>
          </w:p>
          <w:p w14:paraId="7C5F1BBB">
            <w:pPr>
              <w:pStyle w:val="8"/>
              <w:numPr>
                <w:numId w:val="0"/>
              </w:numPr>
              <w:ind w:firstLine="48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lang w:val="en-US" w:eastAsia="zh-CN"/>
              </w:rPr>
              <w:t>公司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持续加强“三会”及信息披露管理，提升公司治理能力，深化投资者关系管理，优化ESG管理效能，开展常态化分红，推动集团公司增持股份。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2024年初市值为116.05亿元，年末提升至140.94亿元，增长幅度为21.75%。荣获了“中国上市公司投资者关系股东回报天马奖”、中国基金报“英华奖”优秀上市公司示范案例“A股价值奖”。</w:t>
            </w:r>
          </w:p>
          <w:p w14:paraId="134A56BA">
            <w:pPr>
              <w:pStyle w:val="8"/>
              <w:numPr>
                <w:numId w:val="0"/>
              </w:num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lang w:val="en-US" w:eastAsia="zh-CN"/>
              </w:rPr>
              <w:t xml:space="preserve">    未来公司将按照中国证监会对市值管理的最新指导精神，以提升公司总市值为目标，不断深化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市值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管理各项工作，提升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市值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管理水平和效果。</w:t>
            </w:r>
          </w:p>
          <w:p w14:paraId="1B05B0CC">
            <w:pPr>
              <w:pStyle w:val="8"/>
              <w:numPr>
                <w:numId w:val="0"/>
              </w:numPr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 w14:paraId="102A2293">
            <w:pPr>
              <w:pStyle w:val="8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 w14:paraId="515DD949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1A4D81EB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756C4D16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7DE46F76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4CAFA788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4725B0A8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42D11D3F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1CBB0C15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6B7598A9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3800F065">
            <w:pPr>
              <w:pStyle w:val="8"/>
              <w:rPr>
                <w:rFonts w:hint="eastAsia" w:asciiTheme="minorEastAsia" w:hAnsiTheme="minorEastAsia" w:eastAsiaTheme="minorEastAsia"/>
              </w:rPr>
            </w:pPr>
          </w:p>
          <w:p w14:paraId="084C77B9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528ABD70">
            <w:pPr>
              <w:pStyle w:val="8"/>
              <w:rPr>
                <w:rFonts w:asciiTheme="minorEastAsia" w:hAnsiTheme="minorEastAsia" w:eastAsiaTheme="minorEastAsia"/>
              </w:rPr>
            </w:pPr>
          </w:p>
          <w:p w14:paraId="334378C0">
            <w:pPr>
              <w:pStyle w:val="8"/>
              <w:ind w:firstLine="0" w:firstLineChars="0"/>
              <w:rPr>
                <w:rFonts w:asciiTheme="minorEastAsia" w:hAnsiTheme="minorEastAsia" w:eastAsiaTheme="minorEastAsia"/>
              </w:rPr>
            </w:pPr>
          </w:p>
          <w:p w14:paraId="4CD5DE30">
            <w:pPr>
              <w:pStyle w:val="8"/>
              <w:ind w:firstLine="0" w:firstLineChars="0"/>
              <w:rPr>
                <w:rFonts w:asciiTheme="minorEastAsia" w:hAnsiTheme="minorEastAsia" w:eastAsiaTheme="minorEastAsia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2B81FC4"/>
    <w:rsid w:val="05C0366A"/>
    <w:rsid w:val="05C14C3D"/>
    <w:rsid w:val="06D870D9"/>
    <w:rsid w:val="09293304"/>
    <w:rsid w:val="0CEE4F60"/>
    <w:rsid w:val="0DB43078"/>
    <w:rsid w:val="13877630"/>
    <w:rsid w:val="140C1569"/>
    <w:rsid w:val="189F1804"/>
    <w:rsid w:val="19040FC4"/>
    <w:rsid w:val="19196E74"/>
    <w:rsid w:val="1B2418A5"/>
    <w:rsid w:val="1B750E0A"/>
    <w:rsid w:val="1D0640F7"/>
    <w:rsid w:val="1DB63878"/>
    <w:rsid w:val="1F9000F9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AE27603"/>
    <w:rsid w:val="3B9D79CE"/>
    <w:rsid w:val="3BFA3B96"/>
    <w:rsid w:val="3CEF3472"/>
    <w:rsid w:val="3E120292"/>
    <w:rsid w:val="3EFF16E9"/>
    <w:rsid w:val="40E57E4D"/>
    <w:rsid w:val="420E5181"/>
    <w:rsid w:val="434A043B"/>
    <w:rsid w:val="47FA75D9"/>
    <w:rsid w:val="48594C7C"/>
    <w:rsid w:val="4A8232F8"/>
    <w:rsid w:val="4E2D2E33"/>
    <w:rsid w:val="519A07DF"/>
    <w:rsid w:val="546649A9"/>
    <w:rsid w:val="567D5022"/>
    <w:rsid w:val="5A0C5FF2"/>
    <w:rsid w:val="5B7F07AB"/>
    <w:rsid w:val="5DA14CA4"/>
    <w:rsid w:val="620D46B6"/>
    <w:rsid w:val="63100A20"/>
    <w:rsid w:val="644A563F"/>
    <w:rsid w:val="64AA4AE5"/>
    <w:rsid w:val="67F02A95"/>
    <w:rsid w:val="6910200B"/>
    <w:rsid w:val="6E8757F0"/>
    <w:rsid w:val="715776FB"/>
    <w:rsid w:val="71954707"/>
    <w:rsid w:val="7206621D"/>
    <w:rsid w:val="73AF2A42"/>
    <w:rsid w:val="76676633"/>
    <w:rsid w:val="77CF73AC"/>
    <w:rsid w:val="78FF0116"/>
    <w:rsid w:val="7B915F00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Char Char Char1"/>
    <w:basedOn w:val="1"/>
    <w:autoRedefine/>
    <w:qFormat/>
    <w:uiPriority w:val="0"/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HTML 预设格式 Char"/>
    <w:basedOn w:val="7"/>
    <w:link w:val="5"/>
    <w:autoRedefine/>
    <w:qFormat/>
    <w:uiPriority w:val="99"/>
    <w:rPr>
      <w:rFonts w:ascii="宋体" w:hAnsi="宋体"/>
      <w:sz w:val="24"/>
      <w:szCs w:val="24"/>
    </w:rPr>
  </w:style>
  <w:style w:type="character" w:customStyle="1" w:styleId="16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1149</Words>
  <Characters>1354</Characters>
  <Lines>12</Lines>
  <Paragraphs>3</Paragraphs>
  <TotalTime>30</TotalTime>
  <ScaleCrop>false</ScaleCrop>
  <LinksUpToDate>false</LinksUpToDate>
  <CharactersWithSpaces>1512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张伟</cp:lastModifiedBy>
  <cp:lastPrinted>2025-04-08T00:51:53Z</cp:lastPrinted>
  <dcterms:modified xsi:type="dcterms:W3CDTF">2025-04-08T01:04:06Z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EBF92860B7264B2B9A16E4DD0D42E9FE_13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