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600020</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中原高速</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河南中原高速公路股份有限公司</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投资者关系活动记录表</w:t>
      </w:r>
    </w:p>
    <w:p>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rPr>
        <w:t>-</w:t>
      </w:r>
      <w:r>
        <w:rPr>
          <w:rFonts w:hint="eastAsia" w:ascii="宋体" w:hAnsi="宋体" w:eastAsia="宋体" w:cs="宋体"/>
          <w:sz w:val="24"/>
          <w:szCs w:val="24"/>
          <w:lang w:val="en-US" w:eastAsia="zh-CN"/>
        </w:rPr>
        <w:t>001</w:t>
      </w:r>
    </w:p>
    <w:tbl>
      <w:tblPr>
        <w:tblStyle w:val="9"/>
        <w:tblW w:w="88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011"/>
        <w:gridCol w:w="6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146"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 w:line="460" w:lineRule="exact"/>
              <w:ind w:left="107"/>
              <w:textAlignment w:val="auto"/>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6810" w:type="dxa"/>
          </w:tcPr>
          <w:p>
            <w:pPr>
              <w:pStyle w:val="12"/>
              <w:keepNext w:val="0"/>
              <w:keepLines w:val="0"/>
              <w:pageBreakBefore w:val="0"/>
              <w:widowControl w:val="0"/>
              <w:tabs>
                <w:tab w:val="left" w:pos="2418"/>
              </w:tabs>
              <w:kinsoku/>
              <w:wordWrap/>
              <w:overflowPunct/>
              <w:topLinePunct w:val="0"/>
              <w:autoSpaceDE w:val="0"/>
              <w:autoSpaceDN w:val="0"/>
              <w:bidi w:val="0"/>
              <w:adjustRightInd/>
              <w:snapToGrid/>
              <w:spacing w:before="1" w:line="460" w:lineRule="exact"/>
              <w:ind w:left="108"/>
              <w:textAlignment w:val="auto"/>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pPr>
              <w:pStyle w:val="12"/>
              <w:keepNext w:val="0"/>
              <w:keepLines w:val="0"/>
              <w:pageBreakBefore w:val="0"/>
              <w:widowControl w:val="0"/>
              <w:tabs>
                <w:tab w:val="left" w:pos="2418"/>
              </w:tabs>
              <w:kinsoku/>
              <w:wordWrap/>
              <w:overflowPunct/>
              <w:topLinePunct w:val="0"/>
              <w:autoSpaceDE w:val="0"/>
              <w:autoSpaceDN w:val="0"/>
              <w:bidi w:val="0"/>
              <w:adjustRightInd/>
              <w:snapToGrid/>
              <w:spacing w:line="460" w:lineRule="exact"/>
              <w:ind w:left="108"/>
              <w:textAlignment w:val="auto"/>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pPr>
              <w:pStyle w:val="12"/>
              <w:keepNext w:val="0"/>
              <w:keepLines w:val="0"/>
              <w:pageBreakBefore w:val="0"/>
              <w:widowControl w:val="0"/>
              <w:tabs>
                <w:tab w:val="left" w:pos="2418"/>
              </w:tabs>
              <w:kinsoku/>
              <w:wordWrap/>
              <w:overflowPunct/>
              <w:topLinePunct w:val="0"/>
              <w:autoSpaceDE w:val="0"/>
              <w:autoSpaceDN w:val="0"/>
              <w:bidi w:val="0"/>
              <w:adjustRightInd/>
              <w:snapToGrid/>
              <w:spacing w:line="460" w:lineRule="exact"/>
              <w:ind w:left="108"/>
              <w:textAlignment w:val="auto"/>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pPr>
              <w:pStyle w:val="12"/>
              <w:keepNext w:val="0"/>
              <w:keepLines w:val="0"/>
              <w:pageBreakBefore w:val="0"/>
              <w:widowControl w:val="0"/>
              <w:kinsoku/>
              <w:wordWrap/>
              <w:overflowPunct/>
              <w:topLinePunct w:val="0"/>
              <w:autoSpaceDE w:val="0"/>
              <w:autoSpaceDN w:val="0"/>
              <w:bidi w:val="0"/>
              <w:adjustRightInd/>
              <w:snapToGrid/>
              <w:spacing w:line="460" w:lineRule="exact"/>
              <w:ind w:left="108"/>
              <w:textAlignment w:val="auto"/>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pPr>
              <w:pStyle w:val="12"/>
              <w:keepNext w:val="0"/>
              <w:keepLines w:val="0"/>
              <w:pageBreakBefore w:val="0"/>
              <w:widowControl w:val="0"/>
              <w:kinsoku/>
              <w:wordWrap/>
              <w:overflowPunct/>
              <w:topLinePunct w:val="0"/>
              <w:autoSpaceDE w:val="0"/>
              <w:autoSpaceDN w:val="0"/>
              <w:bidi w:val="0"/>
              <w:adjustRightInd/>
              <w:snapToGrid/>
              <w:spacing w:line="460" w:lineRule="exact"/>
              <w:ind w:left="108"/>
              <w:textAlignment w:val="auto"/>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w:t>
            </w:r>
            <w:r>
              <w:rPr>
                <w:rFonts w:hint="eastAsia" w:ascii="宋体" w:hAnsi="宋体" w:eastAsia="宋体" w:cs="宋体"/>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460" w:lineRule="exact"/>
              <w:ind w:left="107" w:right="96"/>
              <w:textAlignment w:val="auto"/>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681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线上参与中原高速2024年度业绩说明会的全体投资者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460" w:lineRule="exact"/>
              <w:ind w:left="107"/>
              <w:textAlignment w:val="auto"/>
              <w:rPr>
                <w:rFonts w:hint="eastAsia" w:ascii="宋体" w:hAnsi="宋体" w:eastAsia="宋体" w:cs="宋体"/>
                <w:b/>
                <w:bCs/>
                <w:sz w:val="24"/>
                <w:szCs w:val="24"/>
              </w:rPr>
            </w:pPr>
            <w:r>
              <w:rPr>
                <w:rFonts w:hint="eastAsia" w:ascii="宋体" w:hAnsi="宋体" w:eastAsia="宋体" w:cs="宋体"/>
                <w:b/>
                <w:bCs/>
                <w:sz w:val="24"/>
                <w:szCs w:val="24"/>
              </w:rPr>
              <w:t>时间</w:t>
            </w:r>
          </w:p>
        </w:tc>
        <w:tc>
          <w:tcPr>
            <w:tcW w:w="6810" w:type="dxa"/>
            <w:vAlign w:val="center"/>
          </w:tcPr>
          <w:p>
            <w:pPr>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eastAsia" w:ascii="宋体" w:hAnsi="宋体" w:eastAsia="宋体" w:cs="宋体"/>
                <w:sz w:val="24"/>
                <w:szCs w:val="24"/>
              </w:rPr>
            </w:pPr>
            <w:r>
              <w:rPr>
                <w:rFonts w:hint="eastAsia" w:ascii="宋体" w:hAnsi="宋体" w:eastAsia="宋体" w:cs="宋体"/>
                <w:sz w:val="24"/>
                <w:szCs w:val="24"/>
              </w:rPr>
              <w:t>2025年04月08日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460" w:lineRule="exact"/>
              <w:ind w:left="107"/>
              <w:textAlignment w:val="auto"/>
              <w:rPr>
                <w:rFonts w:hint="eastAsia" w:ascii="宋体" w:hAnsi="宋体" w:eastAsia="宋体" w:cs="宋体"/>
                <w:b/>
                <w:bCs/>
                <w:sz w:val="24"/>
                <w:szCs w:val="24"/>
              </w:rPr>
            </w:pPr>
            <w:r>
              <w:rPr>
                <w:rFonts w:hint="eastAsia" w:ascii="宋体" w:hAnsi="宋体" w:eastAsia="宋体" w:cs="宋体"/>
                <w:b/>
                <w:bCs/>
                <w:sz w:val="24"/>
                <w:szCs w:val="24"/>
              </w:rPr>
              <w:t>地点</w:t>
            </w:r>
          </w:p>
        </w:tc>
        <w:tc>
          <w:tcPr>
            <w:tcW w:w="681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eastAsia" w:ascii="宋体" w:hAnsi="宋体" w:eastAsia="宋体" w:cs="宋体"/>
                <w:sz w:val="24"/>
                <w:szCs w:val="24"/>
              </w:rPr>
            </w:pPr>
            <w:r>
              <w:rPr>
                <w:rFonts w:hint="eastAsia" w:ascii="宋体" w:hAnsi="宋体" w:eastAsia="宋体" w:cs="宋体"/>
                <w:sz w:val="24"/>
                <w:szCs w:val="24"/>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 w:line="460" w:lineRule="exact"/>
              <w:ind w:left="107"/>
              <w:textAlignment w:val="auto"/>
              <w:rPr>
                <w:rFonts w:hint="eastAsia" w:ascii="宋体" w:hAnsi="宋体" w:eastAsia="宋体" w:cs="宋体"/>
                <w:b/>
                <w:bCs/>
                <w:sz w:val="24"/>
                <w:szCs w:val="24"/>
              </w:rPr>
            </w:pPr>
            <w:r>
              <w:rPr>
                <w:rFonts w:hint="eastAsia" w:ascii="宋体" w:hAnsi="宋体" w:eastAsia="宋体" w:cs="宋体"/>
                <w:b/>
                <w:bCs/>
                <w:sz w:val="24"/>
                <w:szCs w:val="24"/>
              </w:rPr>
              <w:t>上市公司接待人员姓名</w:t>
            </w:r>
          </w:p>
        </w:tc>
        <w:tc>
          <w:tcPr>
            <w:tcW w:w="681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eastAsia" w:ascii="宋体" w:hAnsi="宋体" w:eastAsia="宋体" w:cs="宋体"/>
                <w:sz w:val="24"/>
                <w:szCs w:val="24"/>
              </w:rPr>
            </w:pPr>
            <w:r>
              <w:rPr>
                <w:rFonts w:hint="eastAsia" w:ascii="宋体" w:hAnsi="宋体" w:eastAsia="宋体" w:cs="宋体"/>
                <w:sz w:val="24"/>
                <w:szCs w:val="24"/>
              </w:rPr>
              <w:t>党委书记、董事长 刘静</w:t>
            </w:r>
            <w:r>
              <w:rPr>
                <w:rFonts w:hint="eastAsia" w:ascii="宋体" w:hAnsi="宋体" w:eastAsia="宋体" w:cs="宋体"/>
                <w:sz w:val="24"/>
                <w:szCs w:val="24"/>
              </w:rPr>
              <w:br w:type="textWrapping"/>
            </w:r>
            <w:r>
              <w:rPr>
                <w:rFonts w:hint="eastAsia" w:ascii="宋体" w:hAnsi="宋体" w:eastAsia="宋体" w:cs="宋体"/>
                <w:sz w:val="24"/>
                <w:szCs w:val="24"/>
              </w:rPr>
              <w:t>独立董事 周俊</w:t>
            </w:r>
            <w:r>
              <w:rPr>
                <w:rFonts w:hint="eastAsia" w:ascii="宋体" w:hAnsi="宋体" w:eastAsia="宋体" w:cs="宋体"/>
                <w:sz w:val="24"/>
                <w:szCs w:val="24"/>
              </w:rPr>
              <w:br w:type="textWrapping"/>
            </w:r>
            <w:r>
              <w:rPr>
                <w:rFonts w:hint="eastAsia" w:ascii="宋体" w:hAnsi="宋体" w:eastAsia="宋体" w:cs="宋体"/>
                <w:sz w:val="24"/>
                <w:szCs w:val="24"/>
              </w:rPr>
              <w:t>党委委员、副总经理、董事会秘书 杨亚子</w:t>
            </w:r>
            <w:r>
              <w:rPr>
                <w:rFonts w:hint="eastAsia" w:ascii="宋体" w:hAnsi="宋体" w:eastAsia="宋体" w:cs="宋体"/>
                <w:sz w:val="24"/>
                <w:szCs w:val="24"/>
              </w:rPr>
              <w:br w:type="textWrapping"/>
            </w:r>
            <w:r>
              <w:rPr>
                <w:rFonts w:hint="eastAsia" w:ascii="宋体" w:hAnsi="宋体" w:eastAsia="宋体" w:cs="宋体"/>
                <w:sz w:val="24"/>
                <w:szCs w:val="24"/>
              </w:rPr>
              <w:t>党委委员、财务总监 王立雪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bCs/>
                <w:sz w:val="24"/>
                <w:szCs w:val="24"/>
              </w:rPr>
            </w:pPr>
          </w:p>
          <w:p>
            <w:pPr>
              <w:pStyle w:val="12"/>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bCs/>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5" w:line="460" w:lineRule="exact"/>
              <w:textAlignment w:val="auto"/>
              <w:rPr>
                <w:rFonts w:hint="eastAsia" w:ascii="宋体" w:hAnsi="宋体" w:eastAsia="宋体" w:cs="宋体"/>
                <w:b/>
                <w:bCs/>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1" w:line="460" w:lineRule="exact"/>
              <w:ind w:left="107" w:right="96"/>
              <w:textAlignment w:val="auto"/>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810" w:type="dxa"/>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1）</w:t>
            </w:r>
            <w:r>
              <w:rPr>
                <w:rFonts w:hint="eastAsia" w:ascii="宋体" w:hAnsi="宋体" w:eastAsia="宋体" w:cs="宋体"/>
                <w:b/>
                <w:sz w:val="24"/>
                <w:szCs w:val="24"/>
              </w:rPr>
              <w:t>公司一直计划要专注于主业，从公司公布的报告来看公司旗下的公司</w:t>
            </w:r>
            <w:r>
              <w:rPr>
                <w:rFonts w:hint="eastAsia" w:ascii="宋体" w:hAnsi="宋体" w:eastAsia="宋体" w:cs="宋体"/>
                <w:b/>
                <w:sz w:val="24"/>
                <w:szCs w:val="24"/>
                <w:lang w:val="en-US" w:eastAsia="zh-CN"/>
              </w:rPr>
              <w:t>行</w:t>
            </w:r>
            <w:r>
              <w:rPr>
                <w:rFonts w:hint="eastAsia" w:ascii="宋体" w:hAnsi="宋体" w:eastAsia="宋体" w:cs="宋体"/>
                <w:b/>
                <w:sz w:val="24"/>
                <w:szCs w:val="24"/>
              </w:rPr>
              <w:t>业类别越来越多，请问公司有没有具体的计划和时间表推动目标的达成</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公司市值管理进展缓慢，公司股票价格长期处于</w:t>
            </w:r>
            <w:r>
              <w:rPr>
                <w:rFonts w:hint="eastAsia" w:ascii="宋体" w:hAnsi="宋体" w:eastAsia="宋体" w:cs="宋体"/>
                <w:b/>
                <w:sz w:val="24"/>
                <w:szCs w:val="24"/>
                <w:lang w:val="en-US" w:eastAsia="zh-CN"/>
              </w:rPr>
              <w:t>低于</w:t>
            </w:r>
            <w:r>
              <w:rPr>
                <w:rFonts w:hint="eastAsia" w:ascii="宋体" w:hAnsi="宋体" w:eastAsia="宋体" w:cs="宋体"/>
                <w:b/>
                <w:sz w:val="24"/>
                <w:szCs w:val="24"/>
              </w:rPr>
              <w:t>净资产价格，上市公司应该考虑每年拿出2个亿左右回购注销股份，减少市值流通</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rPr>
              <w:t>中原高速主业是高速，但同时控股股东河南交通集团也在开发经营高速公路，二者同业竞争，为什么不进行业务置换整合，或者定向对大股东发行股份收购大股东的高速资产？谢谢领导！</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公司将充分发挥资本市场平台作用，提升上市公司资产质量。未来，将加快“两非两资”盘活处置，将非主业非优势业务、低效无效企业和参股股权等纳入处置范围，优化产业投资结构，实现轻装上阵；同时，通过增发并购等资本运作方式，分阶段、分节奏推动控股股东优质路产注入上市公司，提高控股股东持股比例。感谢您的关注与建议！</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2.公司2024年有较大的投资支出，如子公司郑洛公司在建项目支出较多，未来还有哪些投资计划？这些投资是否会对公司财务状况产生压力</w:t>
            </w:r>
            <w:r>
              <w:rPr>
                <w:rFonts w:hint="eastAsia" w:ascii="宋体" w:hAnsi="宋体" w:eastAsia="宋体" w:cs="宋体"/>
                <w:b/>
                <w:sz w:val="24"/>
                <w:szCs w:val="24"/>
                <w:lang w:eastAsia="zh-CN"/>
              </w:rPr>
              <w:t>？</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公司坚持聚焦主业，深耕高速公路行业，郑洛高速作为公司重点建设项目，目前正处于建设期，预计于2026年建成通车。未来几年，公司没有新建和改扩建项目等投资，不会对公司的财务状况产生压力。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3.随着交通基础设施建设的不断发展，高速公路行业面临越来越多的竞争和政策变化。请问公司如何应对这些挑战？是否有新的战略规划？</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面对上述挑战，公司将做好政策跟踪与研判，提前拟定应对预案。大力推进技术革新，引入自动化收费技术，运用ETC、车牌支付等多种方式，提升通行效率。同时，挖掘路域资源，涉足智慧交通领域，全方位降低风险，切实维护公司及投资者利益。公司新的战略规划详见公司《2024年年度报告》第三节“管理层讨论与分析”中“公司发展战略”相关内容。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4.尽管公司2024年营收和利润都有增长，但资产负债率较高，股东回报率有待提升。请问公司未来如何进一步提升盈利能力和股东回报？</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未来，公司将在引流增收、成本控制、盘活资产、优化投资等方面提升发展质量效益，推动运营管理提质增效。同时，持续做大公司资产规模，做强主业，提高资产质量，打造价值实现新局面。公司认真践行“以投资者为本”的发展理念，高度重视投资者回报。上市以来累计现金分红42.33亿元。公司2024年度每10股派送现金1.7元（含税），分红率43.4%，股息率达4.03%。未来，公司将以良好的经营业绩为基础，实施积极的分红政策，未来三年每年分红率不低于40%，增强现金分红稳定性、持续性和可预期性，提高投资者回报。</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5.未来是否有提高分红比例的计划？</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公司一直高度重视投资者回报，2023年分红及2024年分红预案比例均在当年实现归母净利润的40%以上。未来，公司将以良好的经营业绩为基础，实施积极的分红政策，以更好的业绩回报投资者。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6.请问贵公司本期财务报告中，盈利表现如何？谢谢。</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您好！报告期内，归属于上市公司股东的净利润8.80亿元，较上期增幅6.27%。2024年公司积极践行管理提质、经营增效，持续压降财务费用 ，面对通行费收入下降的不利情况，实现利润逆势上扬；子公司秉原投资联营企业股权投资上市后，投资收益大幅增加。感谢您的关注！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7.请问在公司的决策和运营过程中，如何保障中小股东的权益？是否有具体的机制或措施来确保中小股东的知情权和参与权？</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您好！公司认真落实信息披露的真实性、准确性、完整性、及时性和</w:t>
            </w:r>
            <w:bookmarkStart w:id="0" w:name="_GoBack"/>
            <w:bookmarkEnd w:id="0"/>
            <w:r>
              <w:rPr>
                <w:rFonts w:hint="eastAsia" w:ascii="宋体" w:hAnsi="宋体" w:eastAsia="宋体" w:cs="宋体"/>
                <w:b w:val="0"/>
                <w:sz w:val="24"/>
                <w:szCs w:val="24"/>
              </w:rPr>
              <w:t>公平性原则，提升信息披露的透明度和精准度，为投资者了解公司经营情况提供了准确信息。高度重视投资者关系管理，多种方式与投资者加强沟通，积极维护投资者尤其是中小投资者的合法权益。通过投资者热线、上证E互动、业绩说明会、股东会、机构调研等方式，与投资者建立良性互动。建立常态化业绩说明会机制，每年举办多次业绩说明会，围绕公司定期报告、战略规划、经营状况、重大事项等投资者关注问题，与投资者开展深入交流，确保中小股东的知情权和参与权。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8.持股多年，中原高速市值管理和业务整合看起来进展非常缓慢，希望公司能把这些内容纳入重点推动事项，制定时间表，并定期检查评估，如每月，每季度召开专项高层会议等等，谢谢</w:t>
            </w:r>
            <w:r>
              <w:rPr>
                <w:rFonts w:hint="eastAsia" w:ascii="宋体" w:hAnsi="宋体" w:eastAsia="宋体" w:cs="宋体"/>
                <w:b/>
                <w:sz w:val="24"/>
                <w:szCs w:val="24"/>
                <w:lang w:eastAsia="zh-CN"/>
              </w:rPr>
              <w:t>！</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您好！公司目前已将市值管理纳入年度重点任务，并披露《估值提升计划》，后续将根据计划内容，加快相关工作推进。感谢您的关注与建议！</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9.去年公司通行费收入同比下降3.45%，但通过智慧高速（如CPC预交易系统、AI巡检）实现降本增效。这些技术应用是否具备可复制性？预计未来对主业利润的贡献率如何？‌</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通过智慧高速等实现降本增效，这些技术在一定程度上具备可复制性。公司始终重视数字化、智慧化与主营业务的协同融合，目前中原高速与全资子公司数智科创公司已依托Deepseek完成“绿通AI助手”的开发，并在郑庵收费站试点应用。下一步，公司将持续探索AI赋能智慧化解决方案，推进AI助手在业务流程中的深度应用，助力运营管理工作不断提速提质提效。
</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智慧高速未来在高速公路行业利润贡献潜力较大，一方面，通过智能收费系统、智能巡检等技术，可降低人力成本、提高运营效率，减少车辆拥堵，增加通行费收入。另一方面，智慧高速能提升高速公路的安全性和服务质量，吸引更多车辆通行，间接增加利润。此外，随着技术的不断进步和应用范围的扩大，智慧高速还有望在与物流、旅游等相关产业的融合发展中创造新的利润增长点。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10.请问贵公司未来盈利增长的主要驱动因素有哪些？谢谢。</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主业方面，随着经济发展带来车流量增长以及积极参与智慧高速的建设，将提高运营效率，降低成本，带来通行费收入的增长；主业拓展方面，一是随着新建郑洛高速的投入运营及收购优质路产计划，为公司带来新的收入增长点，二是对多元化业务进行整合剥离，聚焦高速公路主业，同时探索拓展产业链、价值链，为公司盈利增长做出贡献。科技创新方面，公司出台《科技创新发展规划（2025-2027）》，抓好科技创新顶层设计和蓝图规划；积极与国内知名高校、科研院所、院士团队开展深度合作，设立“联合实验室”；深度挖掘数据资产价值，加快公司数据治理体系试点建设；设立科技研发专项基金，激发科技创新活力。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11.资产负债率攀升至70.87%，且短期借款达25.22亿元。公司计划通过哪些具体措施优化债务结构、降低财务风险？‌</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您好！公司目前长短期有息债务比为14</w:t>
            </w:r>
            <w:r>
              <w:rPr>
                <w:rFonts w:hint="eastAsia" w:ascii="宋体" w:hAnsi="宋体" w:eastAsia="宋体" w:cs="宋体"/>
                <w:b w:val="0"/>
                <w:sz w:val="24"/>
                <w:szCs w:val="24"/>
                <w:lang w:val="en-US" w:eastAsia="zh-CN"/>
              </w:rPr>
              <w:t>:</w:t>
            </w:r>
            <w:r>
              <w:rPr>
                <w:rFonts w:hint="eastAsia" w:ascii="宋体" w:hAnsi="宋体" w:eastAsia="宋体" w:cs="宋体"/>
                <w:b w:val="0"/>
                <w:sz w:val="24"/>
                <w:szCs w:val="24"/>
              </w:rPr>
              <w:t>86，债务结构与资产结构配比合理。2025年公司将抢抓货币政策宽松窗口，金融支持实体经济发展新机遇，以低息借款置换存量债务，持续压降财务费用，提高公司经营效益，积极探索资产证券化，有效降低财务风险。感谢您的关注！</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2</w:t>
            </w:r>
            <w:r>
              <w:rPr>
                <w:rFonts w:hint="eastAsia" w:ascii="宋体" w:hAnsi="宋体" w:eastAsia="宋体" w:cs="宋体"/>
                <w:b/>
                <w:sz w:val="24"/>
                <w:szCs w:val="24"/>
              </w:rPr>
              <w:t>.请问如何看待行业未来的发展前景？谢谢。</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rPr>
              <w:t>您好！高速公路行业未来发展前景广阔。需求端方面，人们生活水平提高，出行需求增长，为高速公路客流量提供支撑，同时物流行业发展使货物运输对高速依赖度提高；建设端方面，政府持续投入基础设施建设，新线路不断规划建设，促进区域经济交流与合作。此外，党的二十届三中全会、交通运输部等发布的一系列政策支持为智慧高速公路投资提供了方向和动力，各地持续推进公路数字化转型，必然会带动智慧高速公路投资规模的增长，为高速公路行业带来新的发展契机，推动行业迈向更智慧、更高效的发展阶段。感谢您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 w:line="460" w:lineRule="exact"/>
              <w:ind w:left="108"/>
              <w:textAlignment w:val="auto"/>
              <w:rPr>
                <w:rFonts w:hint="eastAsia" w:ascii="宋体" w:hAnsi="宋体" w:eastAsia="宋体" w:cs="宋体"/>
                <w:b/>
                <w:bCs/>
                <w:sz w:val="24"/>
                <w:szCs w:val="24"/>
              </w:rPr>
            </w:pPr>
            <w:r>
              <w:rPr>
                <w:rFonts w:hint="eastAsia" w:ascii="宋体" w:hAnsi="宋体" w:eastAsia="宋体" w:cs="宋体"/>
                <w:b/>
                <w:bCs/>
                <w:sz w:val="24"/>
                <w:szCs w:val="24"/>
              </w:rPr>
              <w:t>关于本次活动是否涉及应披露重大信息的说明</w:t>
            </w:r>
          </w:p>
        </w:tc>
        <w:tc>
          <w:tcPr>
            <w:tcW w:w="681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eastAsia" w:ascii="宋体" w:hAnsi="宋体" w:eastAsia="宋体" w:cs="宋体"/>
                <w:sz w:val="24"/>
                <w:szCs w:val="24"/>
              </w:rPr>
            </w:pPr>
            <w:r>
              <w:rPr>
                <w:rFonts w:hint="eastAsia" w:ascii="宋体" w:hAnsi="宋体" w:eastAsia="宋体" w:cs="宋体"/>
                <w:sz w:val="24"/>
                <w:szCs w:val="24"/>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 w:line="460" w:lineRule="exact"/>
              <w:ind w:left="108" w:leftChars="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附件清单（如有）</w:t>
            </w:r>
          </w:p>
        </w:tc>
        <w:tc>
          <w:tcPr>
            <w:tcW w:w="681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01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 w:line="460" w:lineRule="exact"/>
              <w:ind w:left="108" w:leftChars="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日期</w:t>
            </w:r>
          </w:p>
        </w:tc>
        <w:tc>
          <w:tcPr>
            <w:tcW w:w="681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460" w:lineRule="exac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2025年04月08日</w:t>
            </w:r>
          </w:p>
        </w:tc>
      </w:tr>
    </w:tbl>
    <w:p>
      <w:pPr>
        <w:rPr>
          <w:rFonts w:ascii="宋体" w:hAnsi="宋体" w:eastAsia="宋体" w:cs="宋体"/>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4D1649"/>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6B6375"/>
    <w:rsid w:val="43B71B0A"/>
    <w:rsid w:val="44FA0589"/>
    <w:rsid w:val="45A663E3"/>
    <w:rsid w:val="469F09AF"/>
    <w:rsid w:val="4B756271"/>
    <w:rsid w:val="4C2E020A"/>
    <w:rsid w:val="4C8E1CA8"/>
    <w:rsid w:val="4D6D36A4"/>
    <w:rsid w:val="510903EF"/>
    <w:rsid w:val="53F137F4"/>
    <w:rsid w:val="543A6906"/>
    <w:rsid w:val="56850CBB"/>
    <w:rsid w:val="56D0289B"/>
    <w:rsid w:val="59D8738A"/>
    <w:rsid w:val="5A666D76"/>
    <w:rsid w:val="5B2253C2"/>
    <w:rsid w:val="5CF02E0F"/>
    <w:rsid w:val="5F390417"/>
    <w:rsid w:val="603269D2"/>
    <w:rsid w:val="61A52BCA"/>
    <w:rsid w:val="628109B1"/>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3303</Words>
  <Characters>3475</Characters>
  <Lines>2</Lines>
  <Paragraphs>1</Paragraphs>
  <TotalTime>56</TotalTime>
  <ScaleCrop>false</ScaleCrop>
  <LinksUpToDate>false</LinksUpToDate>
  <CharactersWithSpaces>3636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1</cp:lastModifiedBy>
  <dcterms:modified xsi:type="dcterms:W3CDTF">2025-04-08T09:36:38Z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57D148DF2F764966BF4E1C38A6255FA2</vt:lpwstr>
  </property>
  <property fmtid="{D5CDD505-2E9C-101B-9397-08002B2CF9AE}" pid="4" name="KSOTemplateDocerSaveRecord">
    <vt:lpwstr>eyJoZGlkIjoiMTcxYzY1ZjczOGFjMDQ3ZmRiZmM2NTQwNjRlNDU1YmMiLCJ1c2VySWQiOiI3Mzg0ODc0NzQifQ==</vt:lpwstr>
  </property>
</Properties>
</file>