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CF31">
      <w:pPr>
        <w:spacing w:before="31" w:beforeLines="10" w:line="360" w:lineRule="auto"/>
        <w:rPr>
          <w:rFonts w:ascii="Times New Roman" w:hAnsi="Times New Roman"/>
          <w:bCs/>
          <w:sz w:val="24"/>
        </w:rPr>
      </w:pPr>
      <w:r>
        <w:rPr>
          <w:rFonts w:ascii="Times New Roman" w:hAnsi="Times New Roman"/>
          <w:bCs/>
          <w:sz w:val="24"/>
        </w:rPr>
        <w:t>证券简称</w:t>
      </w:r>
      <w:r>
        <w:rPr>
          <w:rFonts w:hint="eastAsia" w:ascii="Times New Roman" w:hAnsi="Times New Roman"/>
          <w:bCs/>
          <w:sz w:val="24"/>
        </w:rPr>
        <w:t>：</w:t>
      </w:r>
      <w:r>
        <w:rPr>
          <w:rFonts w:ascii="Times New Roman" w:hAnsi="Times New Roman"/>
          <w:bCs/>
          <w:sz w:val="24"/>
        </w:rPr>
        <w:t>兴通股份                                        证券代码：603209</w:t>
      </w:r>
    </w:p>
    <w:p w14:paraId="737B8EE6">
      <w:pPr>
        <w:spacing w:before="31" w:beforeLines="10" w:line="360" w:lineRule="auto"/>
        <w:jc w:val="center"/>
        <w:rPr>
          <w:rFonts w:ascii="Times New Roman" w:hAnsi="Times New Roman"/>
          <w:b/>
          <w:w w:val="95"/>
          <w:sz w:val="32"/>
          <w:szCs w:val="32"/>
        </w:rPr>
      </w:pPr>
    </w:p>
    <w:p w14:paraId="0FFDF0BE">
      <w:pPr>
        <w:spacing w:before="31" w:beforeLines="10" w:line="360" w:lineRule="auto"/>
        <w:jc w:val="center"/>
        <w:rPr>
          <w:rFonts w:ascii="Times New Roman" w:hAnsi="Times New Roman"/>
          <w:b/>
          <w:sz w:val="36"/>
          <w:szCs w:val="36"/>
        </w:rPr>
      </w:pPr>
      <w:r>
        <w:rPr>
          <w:rFonts w:ascii="Times New Roman" w:hAnsi="Times New Roman"/>
          <w:b/>
          <w:sz w:val="36"/>
          <w:szCs w:val="36"/>
        </w:rPr>
        <w:t>兴通海运股份有限公司</w:t>
      </w:r>
    </w:p>
    <w:p w14:paraId="334B950C">
      <w:pPr>
        <w:spacing w:line="360" w:lineRule="auto"/>
        <w:jc w:val="center"/>
        <w:rPr>
          <w:rFonts w:ascii="Times New Roman" w:hAnsi="Times New Roman"/>
          <w:b/>
          <w:kern w:val="0"/>
          <w:sz w:val="36"/>
          <w:szCs w:val="36"/>
        </w:rPr>
      </w:pPr>
      <w:bookmarkStart w:id="0" w:name="OLE_LINK1"/>
      <w:r>
        <w:rPr>
          <w:rFonts w:ascii="Times New Roman" w:hAnsi="Times New Roman"/>
          <w:b/>
          <w:kern w:val="0"/>
          <w:sz w:val="36"/>
          <w:szCs w:val="36"/>
        </w:rPr>
        <w:t>投资者关系活动记录表</w:t>
      </w:r>
    </w:p>
    <w:bookmarkEnd w:id="0"/>
    <w:p w14:paraId="48975354">
      <w:pPr>
        <w:tabs>
          <w:tab w:val="left" w:pos="6106"/>
        </w:tabs>
        <w:spacing w:before="156" w:beforeLines="50" w:after="156" w:afterLines="50"/>
        <w:ind w:firstLine="240" w:firstLineChars="100"/>
        <w:jc w:val="right"/>
        <w:rPr>
          <w:rFonts w:hint="eastAsia" w:ascii="Times New Roman" w:hAnsi="Times New Roman" w:eastAsia="宋体"/>
          <w:sz w:val="24"/>
          <w:lang w:val="en-US" w:eastAsia="zh-CN"/>
        </w:rPr>
      </w:pPr>
      <w:r>
        <w:rPr>
          <w:rFonts w:ascii="Times New Roman" w:hAnsi="Times New Roman"/>
          <w:sz w:val="24"/>
        </w:rPr>
        <w:t>编号：202</w:t>
      </w:r>
      <w:r>
        <w:rPr>
          <w:rFonts w:hint="eastAsia" w:ascii="Times New Roman" w:hAnsi="Times New Roman"/>
          <w:sz w:val="24"/>
          <w:lang w:val="en-US" w:eastAsia="zh-CN"/>
        </w:rPr>
        <w:t>5</w:t>
      </w:r>
      <w:r>
        <w:rPr>
          <w:rFonts w:ascii="Times New Roman" w:hAnsi="Times New Roman"/>
          <w:sz w:val="24"/>
        </w:rPr>
        <w:t>-00</w:t>
      </w:r>
      <w:r>
        <w:rPr>
          <w:rFonts w:hint="eastAsia" w:ascii="Times New Roman" w:hAnsi="Times New Roman"/>
          <w:sz w:val="24"/>
          <w:lang w:val="en-US" w:eastAsia="zh-CN"/>
        </w:rPr>
        <w:t>2</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55"/>
      </w:tblGrid>
      <w:tr w14:paraId="2CC63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7DE6EE01">
            <w:pPr>
              <w:spacing w:before="156" w:beforeLines="50" w:after="156" w:afterLines="50"/>
              <w:jc w:val="center"/>
              <w:rPr>
                <w:rFonts w:ascii="Times New Roman" w:hAnsi="Times New Roman"/>
                <w:bCs/>
                <w:sz w:val="24"/>
              </w:rPr>
            </w:pPr>
            <w:r>
              <w:rPr>
                <w:rFonts w:ascii="Times New Roman" w:hAnsi="Times New Roman"/>
                <w:b/>
                <w:bCs/>
                <w:sz w:val="24"/>
              </w:rPr>
              <w:t>投资者关系活动类别</w:t>
            </w:r>
          </w:p>
        </w:tc>
        <w:tc>
          <w:tcPr>
            <w:tcW w:w="6855" w:type="dxa"/>
            <w:tcBorders>
              <w:top w:val="single" w:color="auto" w:sz="12" w:space="0"/>
              <w:left w:val="single" w:color="auto" w:sz="4" w:space="0"/>
              <w:bottom w:val="single" w:color="auto" w:sz="4" w:space="0"/>
              <w:right w:val="single" w:color="auto" w:sz="12" w:space="0"/>
            </w:tcBorders>
            <w:vAlign w:val="center"/>
          </w:tcPr>
          <w:p w14:paraId="5DBE8A1F">
            <w:pPr>
              <w:widowControl/>
              <w:tabs>
                <w:tab w:val="left" w:pos="3480"/>
              </w:tabs>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特定对象调研   □分析师会议      □媒体采访</w:t>
            </w:r>
          </w:p>
          <w:p w14:paraId="084B8793">
            <w:pPr>
              <w:widowControl/>
              <w:tabs>
                <w:tab w:val="left" w:pos="2040"/>
                <w:tab w:val="left" w:pos="3480"/>
              </w:tabs>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 xml:space="preserve">业绩说明会     □新闻发布会      </w:t>
            </w:r>
            <w:r>
              <w:rPr>
                <w:rFonts w:hint="eastAsia" w:ascii="Times New Roman" w:hAnsi="Times New Roman"/>
                <w:bCs/>
                <w:sz w:val="24"/>
                <w:lang w:eastAsia="zh-CN"/>
              </w:rPr>
              <w:t>☑</w:t>
            </w:r>
            <w:r>
              <w:rPr>
                <w:rFonts w:ascii="Times New Roman" w:hAnsi="Times New Roman"/>
                <w:bCs/>
                <w:sz w:val="24"/>
              </w:rPr>
              <w:t>路演活动</w:t>
            </w:r>
          </w:p>
          <w:p w14:paraId="7C76FED2">
            <w:pPr>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 xml:space="preserve">现场参观       □一对一沟通      </w:t>
            </w:r>
            <w:r>
              <w:rPr>
                <w:rFonts w:hint="eastAsia" w:ascii="Times New Roman" w:hAnsi="Times New Roman"/>
                <w:bCs/>
                <w:sz w:val="24"/>
                <w:lang w:eastAsia="zh-CN"/>
              </w:rPr>
              <w:t>☑</w:t>
            </w:r>
            <w:r>
              <w:rPr>
                <w:rFonts w:ascii="Times New Roman" w:hAnsi="Times New Roman"/>
                <w:bCs/>
                <w:sz w:val="24"/>
              </w:rPr>
              <w:t>其他（电话会议）</w:t>
            </w:r>
          </w:p>
        </w:tc>
      </w:tr>
      <w:tr w14:paraId="6335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9227E75">
            <w:pPr>
              <w:spacing w:before="156" w:beforeLines="50" w:after="156" w:afterLines="50"/>
              <w:jc w:val="center"/>
              <w:rPr>
                <w:rFonts w:ascii="Times New Roman" w:hAnsi="Times New Roman"/>
                <w:b/>
                <w:bCs/>
                <w:sz w:val="24"/>
              </w:rPr>
            </w:pPr>
            <w:r>
              <w:rPr>
                <w:rFonts w:ascii="Times New Roman" w:hAnsi="Times New Roman"/>
                <w:b/>
                <w:bCs/>
                <w:sz w:val="24"/>
              </w:rPr>
              <w:t>参与单位及人员名称</w:t>
            </w:r>
          </w:p>
        </w:tc>
        <w:tc>
          <w:tcPr>
            <w:tcW w:w="6855" w:type="dxa"/>
            <w:tcBorders>
              <w:top w:val="single" w:color="auto" w:sz="4" w:space="0"/>
              <w:left w:val="single" w:color="auto" w:sz="4" w:space="0"/>
              <w:bottom w:val="single" w:color="auto" w:sz="4" w:space="0"/>
              <w:right w:val="single" w:color="auto" w:sz="12" w:space="0"/>
            </w:tcBorders>
            <w:vAlign w:val="center"/>
          </w:tcPr>
          <w:p w14:paraId="6D2E438E">
            <w:pPr>
              <w:spacing w:line="360" w:lineRule="auto"/>
              <w:rPr>
                <w:rFonts w:ascii="Times New Roman" w:hAnsi="Times New Roman"/>
                <w:sz w:val="24"/>
              </w:rPr>
            </w:pPr>
            <w:r>
              <w:rPr>
                <w:rFonts w:hint="eastAsia" w:ascii="Times New Roman" w:hAnsi="Times New Roman" w:eastAsia="宋体" w:cs="Times New Roman"/>
                <w:sz w:val="24"/>
              </w:rPr>
              <w:t>杭州城投、申银万国投资、厦门国贸资本、厦门火炬创投、兖矿资本、铜冠投资、东方嘉富、中大君悦、泊富基金、长沙国控资本、台州国投、南昌产投、陕西产投、陕西投资基金、陕西金控创新、国海创新资本、威海财金集团、上海鼎赣投资、仁豪私募、风泉私募、银泰华盈、乐苍投资、华赣航投、市北建投、盛宇钤晟、金茂创业投资、长城证券投资、重庆环保基金、苏高新基金、中金公司、方正证券等机构及个人投资者</w:t>
            </w:r>
          </w:p>
        </w:tc>
      </w:tr>
      <w:tr w14:paraId="6755D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909D8CC">
            <w:pPr>
              <w:spacing w:before="156" w:beforeLines="50" w:after="156" w:afterLines="50"/>
              <w:jc w:val="center"/>
              <w:rPr>
                <w:rFonts w:ascii="Times New Roman" w:hAnsi="Times New Roman"/>
                <w:b/>
                <w:bCs/>
                <w:sz w:val="24"/>
              </w:rPr>
            </w:pPr>
            <w:r>
              <w:rPr>
                <w:rFonts w:ascii="Times New Roman" w:hAnsi="Times New Roman"/>
                <w:b/>
                <w:bCs/>
                <w:sz w:val="24"/>
              </w:rPr>
              <w:t>时间</w:t>
            </w:r>
          </w:p>
        </w:tc>
        <w:tc>
          <w:tcPr>
            <w:tcW w:w="6855" w:type="dxa"/>
            <w:tcBorders>
              <w:top w:val="single" w:color="auto" w:sz="4" w:space="0"/>
              <w:left w:val="single" w:color="auto" w:sz="4" w:space="0"/>
              <w:bottom w:val="single" w:color="auto" w:sz="4" w:space="0"/>
              <w:right w:val="single" w:color="auto" w:sz="12" w:space="0"/>
            </w:tcBorders>
            <w:vAlign w:val="center"/>
          </w:tcPr>
          <w:p w14:paraId="5E1E51C9">
            <w:pPr>
              <w:spacing w:before="156" w:beforeLines="50" w:after="156" w:afterLines="50"/>
              <w:rPr>
                <w:rFonts w:ascii="Times New Roman" w:hAnsi="Times New Roman"/>
                <w:sz w:val="24"/>
              </w:rPr>
            </w:pPr>
            <w:r>
              <w:rPr>
                <w:rFonts w:hint="eastAsia" w:ascii="Times New Roman" w:hAnsi="Times New Roman" w:eastAsia="宋体" w:cs="Times New Roman"/>
                <w:sz w:val="24"/>
              </w:rPr>
              <w:t>2025年4月7日至4月9日</w:t>
            </w:r>
          </w:p>
        </w:tc>
      </w:tr>
      <w:tr w14:paraId="0BE6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3C009A8">
            <w:pPr>
              <w:spacing w:before="156" w:beforeLines="50" w:after="156" w:afterLines="50"/>
              <w:jc w:val="center"/>
              <w:rPr>
                <w:rFonts w:ascii="Times New Roman" w:hAnsi="Times New Roman"/>
                <w:b/>
                <w:bCs/>
                <w:sz w:val="24"/>
              </w:rPr>
            </w:pPr>
            <w:r>
              <w:rPr>
                <w:rFonts w:ascii="Times New Roman" w:hAnsi="Times New Roman"/>
                <w:b/>
                <w:bCs/>
                <w:sz w:val="24"/>
              </w:rPr>
              <w:t>地点</w:t>
            </w:r>
          </w:p>
        </w:tc>
        <w:tc>
          <w:tcPr>
            <w:tcW w:w="6855" w:type="dxa"/>
            <w:tcBorders>
              <w:top w:val="single" w:color="auto" w:sz="4" w:space="0"/>
              <w:left w:val="single" w:color="auto" w:sz="4" w:space="0"/>
              <w:bottom w:val="single" w:color="auto" w:sz="4" w:space="0"/>
              <w:right w:val="single" w:color="auto" w:sz="12" w:space="0"/>
            </w:tcBorders>
            <w:vAlign w:val="center"/>
          </w:tcPr>
          <w:p w14:paraId="29DC1D8A">
            <w:pPr>
              <w:spacing w:before="156" w:beforeLines="50" w:after="156" w:afterLines="50"/>
              <w:rPr>
                <w:rFonts w:hint="eastAsia" w:ascii="Times New Roman" w:hAnsi="Times New Roman" w:eastAsia="宋体"/>
                <w:sz w:val="24"/>
                <w:lang w:val="en-US" w:eastAsia="zh-CN"/>
              </w:rPr>
            </w:pPr>
            <w:r>
              <w:rPr>
                <w:rFonts w:hint="eastAsia" w:ascii="Times New Roman" w:hAnsi="Times New Roman"/>
                <w:sz w:val="24"/>
                <w:lang w:val="en-US" w:eastAsia="zh-CN"/>
              </w:rPr>
              <w:t>福建省泉州市泉港区兴通海运大厦2楼、7-9楼，线上电话会议</w:t>
            </w:r>
          </w:p>
        </w:tc>
      </w:tr>
      <w:tr w14:paraId="00BA2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845FC8E">
            <w:pPr>
              <w:spacing w:before="156" w:beforeLines="50" w:after="156" w:afterLines="50"/>
              <w:jc w:val="center"/>
              <w:rPr>
                <w:rFonts w:ascii="Times New Roman" w:hAnsi="Times New Roman"/>
                <w:b/>
                <w:bCs/>
                <w:sz w:val="24"/>
              </w:rPr>
            </w:pPr>
            <w:r>
              <w:rPr>
                <w:rFonts w:ascii="Times New Roman" w:hAnsi="Times New Roman"/>
                <w:b/>
                <w:bCs/>
                <w:sz w:val="24"/>
              </w:rPr>
              <w:t>公司接待人员姓名</w:t>
            </w:r>
          </w:p>
        </w:tc>
        <w:tc>
          <w:tcPr>
            <w:tcW w:w="6855" w:type="dxa"/>
            <w:tcBorders>
              <w:top w:val="single" w:color="auto" w:sz="4" w:space="0"/>
              <w:left w:val="single" w:color="auto" w:sz="4" w:space="0"/>
              <w:bottom w:val="single" w:color="auto" w:sz="4" w:space="0"/>
              <w:right w:val="single" w:color="auto" w:sz="12" w:space="0"/>
            </w:tcBorders>
            <w:vAlign w:val="center"/>
          </w:tcPr>
          <w:p w14:paraId="2C2027D2">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副董事长/总经理陈其龙先生</w:t>
            </w:r>
          </w:p>
          <w:p w14:paraId="4EB39069">
            <w:pPr>
              <w:spacing w:before="156" w:beforeLines="50" w:after="156" w:afterLines="50"/>
              <w:rPr>
                <w:rFonts w:hint="eastAsia" w:ascii="Times New Roman" w:hAnsi="Times New Roman" w:eastAsia="宋体" w:cs="Times New Roman"/>
                <w:sz w:val="24"/>
              </w:rPr>
            </w:pPr>
            <w:r>
              <w:rPr>
                <w:rFonts w:hint="eastAsia" w:ascii="Times New Roman" w:hAnsi="Times New Roman" w:eastAsia="宋体" w:cs="Times New Roman"/>
                <w:sz w:val="24"/>
              </w:rPr>
              <w:t>董事/副</w:t>
            </w:r>
            <w:r>
              <w:rPr>
                <w:rFonts w:hint="eastAsia" w:ascii="Times New Roman" w:hAnsi="Times New Roman" w:eastAsia="宋体" w:cs="Times New Roman"/>
                <w:sz w:val="24"/>
                <w:lang w:val="en-US" w:eastAsia="zh-CN"/>
              </w:rPr>
              <w:t>总</w:t>
            </w:r>
            <w:r>
              <w:rPr>
                <w:rFonts w:hint="eastAsia" w:ascii="Times New Roman" w:hAnsi="Times New Roman" w:eastAsia="宋体" w:cs="Times New Roman"/>
                <w:sz w:val="24"/>
              </w:rPr>
              <w:t>经理柯文理先生</w:t>
            </w:r>
          </w:p>
          <w:p w14:paraId="4DA8DA3C">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董事会秘书/财务负责人黄木生先生</w:t>
            </w:r>
          </w:p>
          <w:p w14:paraId="6D4C838B">
            <w:pPr>
              <w:spacing w:before="156" w:beforeLines="50" w:after="156" w:afterLines="50"/>
              <w:rPr>
                <w:rFonts w:ascii="Times New Roman" w:hAnsi="Times New Roman"/>
                <w:sz w:val="24"/>
              </w:rPr>
            </w:pPr>
            <w:r>
              <w:rPr>
                <w:rFonts w:hint="eastAsia" w:ascii="Times New Roman" w:hAnsi="Times New Roman" w:eastAsia="宋体" w:cs="Times New Roman"/>
                <w:sz w:val="24"/>
              </w:rPr>
              <w:t>证券事务代表柳思颖女士</w:t>
            </w:r>
          </w:p>
        </w:tc>
      </w:tr>
      <w:tr w14:paraId="18E25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C5B6A30">
            <w:pPr>
              <w:spacing w:before="156" w:beforeLines="50" w:after="156" w:afterLines="50"/>
              <w:jc w:val="center"/>
              <w:rPr>
                <w:rFonts w:ascii="Times New Roman" w:hAnsi="Times New Roman"/>
                <w:b/>
                <w:bCs/>
                <w:sz w:val="24"/>
              </w:rPr>
            </w:pPr>
            <w:r>
              <w:rPr>
                <w:rFonts w:ascii="Times New Roman" w:hAnsi="Times New Roman"/>
                <w:b/>
                <w:bCs/>
                <w:sz w:val="24"/>
              </w:rPr>
              <w:t>投资者关系活动主要内容介绍</w:t>
            </w:r>
          </w:p>
        </w:tc>
        <w:tc>
          <w:tcPr>
            <w:tcW w:w="6855" w:type="dxa"/>
            <w:tcBorders>
              <w:top w:val="single" w:color="auto" w:sz="4" w:space="0"/>
              <w:left w:val="single" w:color="auto" w:sz="4" w:space="0"/>
              <w:bottom w:val="single" w:color="auto" w:sz="4" w:space="0"/>
              <w:right w:val="single" w:color="auto" w:sz="12" w:space="0"/>
            </w:tcBorders>
            <w:vAlign w:val="center"/>
          </w:tcPr>
          <w:p w14:paraId="15DD28A8">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问题1：美国针对中国船舶征收港口费用</w:t>
            </w: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rPr>
              <w:t>美国301调查</w:t>
            </w: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lang w:val="en-US" w:eastAsia="zh-CN"/>
              </w:rPr>
              <w:t>关税政策</w:t>
            </w:r>
            <w:r>
              <w:rPr>
                <w:rFonts w:hint="eastAsia" w:ascii="Times New Roman" w:hAnsi="Times New Roman" w:eastAsia="宋体" w:cs="Times New Roman"/>
                <w:b/>
                <w:bCs/>
                <w:sz w:val="24"/>
              </w:rPr>
              <w:t>对公司外贸业务的影响？</w:t>
            </w:r>
          </w:p>
          <w:p w14:paraId="3ADC6701">
            <w:pPr>
              <w:spacing w:before="156" w:beforeLines="50" w:after="156" w:afterLines="50"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回复：</w:t>
            </w:r>
            <w:r>
              <w:rPr>
                <w:rFonts w:hint="eastAsia" w:ascii="Times New Roman" w:hAnsi="Times New Roman" w:eastAsia="宋体" w:cs="Times New Roman"/>
                <w:sz w:val="24"/>
              </w:rPr>
              <w:t>目前公司外贸业务航线主要分布在亚洲、中东、地中海、欧洲、南美洲等地区，几乎没有美国市场业务（自公司进入国际航运市场只去过一次美国航线），且公司目前外贸化学品船队体量较小，短期内不会对公司的外贸业务造成不利影响。</w:t>
            </w:r>
          </w:p>
          <w:p w14:paraId="13B8FD3A">
            <w:pPr>
              <w:spacing w:before="156" w:beforeLines="50" w:after="156" w:afterLines="50"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bCs/>
                <w:sz w:val="24"/>
              </w:rPr>
              <w:t>公司开展外贸业务具有差异化竞争优势，</w:t>
            </w:r>
            <w:r>
              <w:rPr>
                <w:rFonts w:hint="eastAsia" w:ascii="Times New Roman" w:hAnsi="Times New Roman" w:eastAsia="宋体" w:cs="Times New Roman"/>
                <w:bCs/>
                <w:sz w:val="24"/>
                <w:lang w:val="en-US" w:eastAsia="zh-CN"/>
              </w:rPr>
              <w:t>包括船舶绿色低碳智能、</w:t>
            </w:r>
            <w:r>
              <w:rPr>
                <w:rFonts w:hint="eastAsia" w:ascii="Times New Roman" w:hAnsi="Times New Roman" w:eastAsia="宋体" w:cs="Times New Roman"/>
                <w:bCs/>
                <w:sz w:val="24"/>
              </w:rPr>
              <w:t>船龄</w:t>
            </w:r>
            <w:r>
              <w:rPr>
                <w:rFonts w:hint="eastAsia" w:ascii="Times New Roman" w:hAnsi="Times New Roman" w:eastAsia="宋体" w:cs="Times New Roman"/>
                <w:bCs/>
                <w:sz w:val="24"/>
                <w:lang w:val="en-US" w:eastAsia="zh-CN"/>
              </w:rPr>
              <w:t>年轻化</w:t>
            </w:r>
            <w:r>
              <w:rPr>
                <w:rFonts w:hint="eastAsia" w:ascii="Times New Roman" w:hAnsi="Times New Roman" w:eastAsia="宋体" w:cs="Times New Roman"/>
                <w:bCs/>
                <w:sz w:val="24"/>
              </w:rPr>
              <w:t>、不锈钢船舶占比</w:t>
            </w:r>
            <w:r>
              <w:rPr>
                <w:rFonts w:hint="eastAsia" w:ascii="Times New Roman" w:hAnsi="Times New Roman" w:eastAsia="宋体" w:cs="Times New Roman"/>
                <w:bCs/>
                <w:sz w:val="24"/>
                <w:lang w:val="en-US" w:eastAsia="zh-CN"/>
              </w:rPr>
              <w:t>大</w:t>
            </w:r>
            <w:r>
              <w:rPr>
                <w:rFonts w:hint="eastAsia" w:ascii="Times New Roman" w:hAnsi="Times New Roman" w:eastAsia="宋体" w:cs="Times New Roman"/>
                <w:bCs/>
                <w:sz w:val="24"/>
              </w:rPr>
              <w:t>等优势，</w:t>
            </w:r>
            <w:r>
              <w:rPr>
                <w:rFonts w:hint="eastAsia" w:ascii="Times New Roman" w:hAnsi="Times New Roman" w:eastAsia="宋体" w:cs="Times New Roman"/>
                <w:sz w:val="24"/>
              </w:rPr>
              <w:t>公司会紧盯市场变化，灵活调整运输路线，从而在未来</w:t>
            </w:r>
            <w:r>
              <w:rPr>
                <w:rFonts w:hint="eastAsia" w:ascii="Times New Roman" w:hAnsi="Times New Roman" w:eastAsia="宋体" w:cs="Times New Roman"/>
                <w:sz w:val="24"/>
                <w:lang w:bidi="ar"/>
              </w:rPr>
              <w:t>全球化学品运输市场</w:t>
            </w:r>
            <w:r>
              <w:rPr>
                <w:rFonts w:hint="eastAsia" w:ascii="Times New Roman" w:hAnsi="Times New Roman" w:eastAsia="宋体" w:cs="Times New Roman"/>
                <w:sz w:val="24"/>
              </w:rPr>
              <w:t>保持</w:t>
            </w:r>
            <w:r>
              <w:rPr>
                <w:rFonts w:hint="eastAsia" w:ascii="Times New Roman" w:hAnsi="Times New Roman" w:eastAsia="宋体" w:cs="Times New Roman"/>
                <w:sz w:val="24"/>
                <w:lang w:val="en-US" w:eastAsia="zh-CN"/>
              </w:rPr>
              <w:t>充分的</w:t>
            </w:r>
            <w:r>
              <w:rPr>
                <w:rFonts w:hint="eastAsia" w:ascii="Times New Roman" w:hAnsi="Times New Roman" w:eastAsia="宋体" w:cs="Times New Roman"/>
                <w:sz w:val="24"/>
              </w:rPr>
              <w:t>竞争力。</w:t>
            </w:r>
          </w:p>
          <w:p w14:paraId="4B71C7C1">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2</w:t>
            </w:r>
            <w:r>
              <w:rPr>
                <w:rFonts w:hint="eastAsia" w:ascii="Times New Roman" w:hAnsi="Times New Roman" w:eastAsia="宋体" w:cs="Times New Roman"/>
                <w:b/>
                <w:bCs/>
                <w:sz w:val="24"/>
              </w:rPr>
              <w:t>：请问公司在国际业务上获取订单的优势是什么？</w:t>
            </w:r>
          </w:p>
          <w:p w14:paraId="7FDA51E2">
            <w:pPr>
              <w:spacing w:before="156" w:beforeLines="50" w:after="156" w:afterLines="50" w:line="360" w:lineRule="auto"/>
              <w:ind w:firstLine="482" w:firstLineChars="200"/>
              <w:rPr>
                <w:rFonts w:ascii="Times New Roman" w:hAnsi="Times New Roman" w:eastAsia="宋体" w:cs="Times New Roman"/>
                <w:sz w:val="24"/>
                <w:lang w:bidi="ar"/>
              </w:rPr>
            </w:pPr>
            <w:r>
              <w:rPr>
                <w:rFonts w:hint="eastAsia" w:ascii="Times New Roman" w:hAnsi="Times New Roman" w:eastAsia="宋体" w:cs="Times New Roman"/>
                <w:b/>
                <w:bCs/>
                <w:sz w:val="24"/>
              </w:rPr>
              <w:t>回复：</w:t>
            </w:r>
            <w:r>
              <w:rPr>
                <w:rFonts w:hint="eastAsia" w:ascii="Times New Roman" w:hAnsi="Times New Roman" w:eastAsia="宋体" w:cs="Times New Roman"/>
                <w:sz w:val="24"/>
                <w:lang w:bidi="ar"/>
              </w:rPr>
              <w:t>公司采取差异化竞争的策略积极参与国际业务。</w:t>
            </w:r>
          </w:p>
          <w:p w14:paraId="272FD2BF">
            <w:pPr>
              <w:numPr>
                <w:ilvl w:val="0"/>
                <w:numId w:val="1"/>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国际化学品船呈现明显的老龄化趋势，截至2024年12月末，全球化学品船舶中船龄10年以上的船舶数量占比达67.43%，15年以上的船舶数量占比48.85%，公司</w:t>
            </w:r>
            <w:r>
              <w:rPr>
                <w:rFonts w:hint="eastAsia" w:ascii="Times New Roman" w:hAnsi="Times New Roman" w:eastAsia="宋体" w:cs="Times New Roman"/>
                <w:sz w:val="24"/>
                <w:lang w:val="en-US" w:eastAsia="zh-CN" w:bidi="ar"/>
              </w:rPr>
              <w:t>以</w:t>
            </w:r>
            <w:r>
              <w:rPr>
                <w:rFonts w:hint="eastAsia" w:ascii="Times New Roman" w:hAnsi="Times New Roman" w:eastAsia="宋体" w:cs="Times New Roman"/>
                <w:sz w:val="24"/>
                <w:lang w:bidi="ar"/>
              </w:rPr>
              <w:t>新建化学品</w:t>
            </w:r>
            <w:r>
              <w:rPr>
                <w:rFonts w:hint="eastAsia" w:ascii="Times New Roman" w:hAnsi="Times New Roman" w:eastAsia="宋体" w:cs="Times New Roman"/>
                <w:sz w:val="24"/>
                <w:lang w:val="en-US" w:eastAsia="zh-CN" w:bidi="ar"/>
              </w:rPr>
              <w:t>船舶</w:t>
            </w:r>
            <w:r>
              <w:rPr>
                <w:rFonts w:hint="eastAsia" w:ascii="Times New Roman" w:hAnsi="Times New Roman" w:eastAsia="宋体" w:cs="Times New Roman"/>
                <w:sz w:val="24"/>
                <w:lang w:bidi="ar"/>
              </w:rPr>
              <w:t>投入国际市场，目前平均船龄3.8年，远低于行业平均船龄，在国际化学品航运中具有较强市场竞争力；</w:t>
            </w:r>
          </w:p>
          <w:p w14:paraId="1919DF9A">
            <w:pPr>
              <w:numPr>
                <w:ilvl w:val="0"/>
                <w:numId w:val="1"/>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国际化学品船中不锈钢船占比较低，不锈钢船具有较强的适货性，能够满足高端货物的运输需求。截至2024年12月末，全球化学品船中不锈钢船的数量占比约为28.22%。公司外贸化学品船中，不锈钢船数量占比50%，同时新建造的12艘高端化学品船计划在2025年上半年至2027年上半年陆续投入运营，将进一步提高公司的不锈钢化学品船占比，有利于提高公司在国际化学品航运中的竞争力；</w:t>
            </w:r>
          </w:p>
          <w:p w14:paraId="3E75B06F">
            <w:pPr>
              <w:numPr>
                <w:ilvl w:val="0"/>
                <w:numId w:val="1"/>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应对IMO温室气体减排战略和欧盟排放交易体系（EU ETS）的施行，公司积极布局双燃料船舶建造，目前已签约建造6艘25,900载重吨双燃料不锈钢化学品船舶，年轻化、绿色化、高端化的船舶更符合客户需求，更具竞争优势；</w:t>
            </w:r>
          </w:p>
          <w:p w14:paraId="0E7521A6">
            <w:pPr>
              <w:numPr>
                <w:ilvl w:val="0"/>
                <w:numId w:val="1"/>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公司在新加坡设立国际商务运营团队，利用新加坡全球航运中心的优势及团队的专业能力，在获取高端订单上具有较强优势</w:t>
            </w:r>
            <w:r>
              <w:rPr>
                <w:rFonts w:hint="eastAsia" w:ascii="Times New Roman" w:hAnsi="Times New Roman" w:eastAsia="宋体" w:cs="Times New Roman"/>
                <w:sz w:val="24"/>
                <w:lang w:eastAsia="zh-CN"/>
              </w:rPr>
              <w:t>。</w:t>
            </w:r>
          </w:p>
          <w:p w14:paraId="5FFC73A6">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3</w:t>
            </w:r>
            <w:r>
              <w:rPr>
                <w:rFonts w:hint="eastAsia" w:ascii="Times New Roman" w:hAnsi="Times New Roman" w:eastAsia="宋体" w:cs="Times New Roman"/>
                <w:b/>
                <w:bCs/>
                <w:sz w:val="24"/>
              </w:rPr>
              <w:t xml:space="preserve">：公司开展国际业务时，如何应对欧盟航运业的碳税政策？ </w:t>
            </w:r>
          </w:p>
          <w:p w14:paraId="6330E745">
            <w:pPr>
              <w:spacing w:before="156" w:beforeLines="50" w:after="156" w:afterLines="50" w:line="360" w:lineRule="auto"/>
              <w:ind w:firstLine="482" w:firstLineChars="200"/>
              <w:rPr>
                <w:rFonts w:ascii="Times New Roman" w:hAnsi="Times New Roman" w:eastAsia="宋体" w:cs="Times New Roman"/>
                <w:sz w:val="24"/>
                <w:lang w:bidi="ar"/>
              </w:rPr>
            </w:pPr>
            <w:r>
              <w:rPr>
                <w:rFonts w:hint="eastAsia" w:ascii="Times New Roman" w:hAnsi="Times New Roman" w:eastAsia="宋体" w:cs="Times New Roman"/>
                <w:b/>
                <w:bCs/>
                <w:sz w:val="24"/>
                <w:lang w:bidi="ar"/>
              </w:rPr>
              <w:t>回复：</w:t>
            </w:r>
            <w:r>
              <w:rPr>
                <w:rFonts w:hint="eastAsia" w:ascii="Times New Roman" w:hAnsi="Times New Roman" w:eastAsia="宋体" w:cs="Times New Roman"/>
                <w:sz w:val="24"/>
                <w:lang w:bidi="ar"/>
              </w:rPr>
              <w:t>公司始终高度重视ESG工作和航运业的碳排放政策，自2024年1月1日起，航运业被纳入欧盟碳排放交易体系（EU ETS），并对航运碳配额费用的缴纳设定了过渡期安排，其中，2025年应缴纳2024年经核查排放量40%的碳配额，2026年应缴纳2025年经核查排放量70%的碳配额，此后年度的排放量需100%缴纳碳配额。</w:t>
            </w:r>
          </w:p>
          <w:p w14:paraId="7892C7E2">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目前根据公司在欧盟地区的业务开展需要，公司已购买了一定的碳排放额度，并密切关注和跟踪碳排放政策变化。同时，公司正在建造的6艘25,900载重吨甲醇双燃料外贸不锈钢化学品船，投产后能够有效的降低碳排放量，降本增效，提高公司船队高端化和绿色低碳化比例。</w:t>
            </w:r>
          </w:p>
          <w:p w14:paraId="7F61BAB2">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4</w:t>
            </w:r>
            <w:r>
              <w:rPr>
                <w:rFonts w:hint="eastAsia" w:ascii="Times New Roman" w:hAnsi="Times New Roman" w:eastAsia="宋体" w:cs="Times New Roman"/>
                <w:b/>
                <w:bCs/>
                <w:sz w:val="24"/>
              </w:rPr>
              <w:t>：近两年国内有新增产能投产，请问公司是否有获取新客户订单？</w:t>
            </w:r>
          </w:p>
          <w:p w14:paraId="53DAD17C">
            <w:pPr>
              <w:spacing w:before="156" w:beforeLines="50" w:after="156" w:afterLines="50"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回复：</w:t>
            </w:r>
            <w:r>
              <w:rPr>
                <w:rFonts w:hint="eastAsia" w:ascii="Times New Roman" w:hAnsi="Times New Roman" w:eastAsia="宋体" w:cs="Times New Roman"/>
                <w:sz w:val="24"/>
              </w:rPr>
              <w:t>公司以安全、环保、合规的作业规程、较低的货损率及高效精准的船期管理，全方位满足客户“保质、保量及船期准时”的要求。凭借高标准的安全质量管理体系、坚实的运力保障、专业高效的运输服务等优势，公司拥有稳定的客户资源，并受到客户的认可和青睐。</w:t>
            </w:r>
          </w:p>
          <w:p w14:paraId="04172D3A">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在保持原有客户服务质量的基础上，公司积极开拓新客户。公司于2023年与盛虹炼化签订包运合同，2024年盛虹炼化已成为公司的前五大客户之一。除此之外，公司</w:t>
            </w:r>
            <w:r>
              <w:rPr>
                <w:rFonts w:hint="eastAsia" w:ascii="Times New Roman" w:hAnsi="Times New Roman" w:eastAsia="宋体" w:cs="Times New Roman"/>
                <w:sz w:val="24"/>
                <w:lang w:val="en-US" w:eastAsia="zh-CN"/>
              </w:rPr>
              <w:t>已与</w:t>
            </w:r>
            <w:r>
              <w:rPr>
                <w:rFonts w:hint="eastAsia" w:ascii="Times New Roman" w:hAnsi="Times New Roman" w:eastAsia="宋体" w:cs="Times New Roman"/>
                <w:sz w:val="24"/>
              </w:rPr>
              <w:t>山东裕龙石化有限公司</w:t>
            </w:r>
            <w:r>
              <w:rPr>
                <w:rFonts w:hint="eastAsia" w:ascii="Times New Roman" w:hAnsi="Times New Roman" w:eastAsia="宋体" w:cs="Times New Roman"/>
                <w:sz w:val="24"/>
                <w:lang w:val="en-US" w:eastAsia="zh-CN"/>
              </w:rPr>
              <w:t>和</w:t>
            </w:r>
            <w:r>
              <w:rPr>
                <w:rFonts w:hint="eastAsia" w:ascii="Times New Roman" w:hAnsi="Times New Roman" w:eastAsia="宋体" w:cs="Times New Roman"/>
                <w:sz w:val="24"/>
              </w:rPr>
              <w:t>巴斯夫（中国）有限公司签订了包运合同。</w:t>
            </w:r>
          </w:p>
          <w:p w14:paraId="7E91DAA2">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5</w:t>
            </w:r>
            <w:r>
              <w:rPr>
                <w:rFonts w:hint="eastAsia" w:ascii="Times New Roman" w:hAnsi="Times New Roman" w:eastAsia="宋体" w:cs="Times New Roman"/>
                <w:b/>
                <w:bCs/>
                <w:sz w:val="24"/>
              </w:rPr>
              <w:t>：请问公司的数字化研发对公司整体运营的影响如何？</w:t>
            </w:r>
          </w:p>
          <w:p w14:paraId="0D161FD4">
            <w:pPr>
              <w:spacing w:before="156" w:beforeLines="50" w:after="156" w:afterLines="50" w:line="360" w:lineRule="auto"/>
              <w:ind w:firstLine="482" w:firstLineChars="200"/>
              <w:rPr>
                <w:rFonts w:ascii="Times New Roman" w:hAnsi="Times New Roman" w:eastAsia="宋体" w:cs="Times New Roman"/>
                <w:b w:val="0"/>
                <w:bCs w:val="0"/>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rPr>
              <w:t>公司高度重视数字化、信息化建设，持续不断开展创新研发。2024年12月，公司自主研发的“船舶运营效率分析数据集”荣获福建省知识产权保护中心颁发的航运数据知识产权登记证书。此举将数据“知产”变为“资产”，并首次实现数据资产入表。同时，公司的数字化部已成功研发了智能船舶管理系统，并在接入DeepSeek API后进行二次开发，打造了公司的“AI-兴仔”航运模型。</w:t>
            </w:r>
          </w:p>
          <w:p w14:paraId="6E4CA9F8">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船舶运营管理方面，航运模型基于历史航次数据、港口作业效率、航运市场动态、天气状况、船舶排队情况等多维度信息，帮助公司实现船舶航线的智能预排期，优化船舶调度策略，提升航运效率和船舶利用率。</w:t>
            </w:r>
          </w:p>
          <w:p w14:paraId="3A7D1D00">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在成本管控监测方面，能够精准测算船舶能耗，优化航速降低燃油成本；监测船舶机电设备运行状态，预警设备故障隐患等，降低设备维护成本。</w:t>
            </w:r>
          </w:p>
          <w:p w14:paraId="4410C615">
            <w:pPr>
              <w:spacing w:before="156" w:beforeLines="50" w:after="156" w:afterLines="5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在航行安全预警方面，整合船端高通量卫星宽带系统、CCTV智能监控和航行安全辅助系统，构建船岸一体化智能航保管理平台。结合权威气象数据，智能分析海域天气状况，提前规避风险，确保航行安全。</w:t>
            </w:r>
          </w:p>
          <w:p w14:paraId="320A576A">
            <w:pPr>
              <w:spacing w:before="156" w:beforeLines="50" w:after="156" w:afterLines="50" w:line="360" w:lineRule="auto"/>
              <w:ind w:left="0"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6</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公司</w:t>
            </w:r>
            <w:r>
              <w:rPr>
                <w:rFonts w:hint="eastAsia" w:ascii="Times New Roman" w:hAnsi="Times New Roman" w:eastAsia="宋体" w:cs="Times New Roman"/>
                <w:b/>
                <w:bCs/>
                <w:sz w:val="24"/>
              </w:rPr>
              <w:t>实际控制人IPO前取得的股份已于2</w:t>
            </w:r>
            <w:r>
              <w:rPr>
                <w:rFonts w:ascii="Times New Roman" w:hAnsi="Times New Roman" w:eastAsia="宋体" w:cs="Times New Roman"/>
                <w:b/>
                <w:bCs/>
                <w:sz w:val="24"/>
              </w:rPr>
              <w:t>025年</w:t>
            </w:r>
            <w:r>
              <w:rPr>
                <w:rFonts w:hint="eastAsia" w:ascii="Times New Roman" w:hAnsi="Times New Roman" w:eastAsia="宋体" w:cs="Times New Roman"/>
                <w:b/>
                <w:bCs/>
                <w:sz w:val="24"/>
              </w:rPr>
              <w:t>3月解禁，近期是否存在减持计划？</w:t>
            </w:r>
          </w:p>
          <w:p w14:paraId="4186F65C">
            <w:pPr>
              <w:spacing w:before="156" w:beforeLines="50" w:after="156" w:afterLines="50"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lang w:val="en-US" w:eastAsia="zh-CN"/>
              </w:rPr>
              <w:t>公司</w:t>
            </w:r>
            <w:r>
              <w:rPr>
                <w:rFonts w:hint="eastAsia" w:ascii="Times New Roman" w:hAnsi="Times New Roman" w:eastAsia="宋体" w:cs="Times New Roman"/>
                <w:bCs w:val="0"/>
                <w:sz w:val="24"/>
              </w:rPr>
              <w:t>实</w:t>
            </w:r>
            <w:r>
              <w:rPr>
                <w:rFonts w:hint="eastAsia" w:ascii="Times New Roman" w:hAnsi="Times New Roman" w:eastAsia="宋体" w:cs="Times New Roman"/>
                <w:bCs/>
                <w:sz w:val="24"/>
              </w:rPr>
              <w:t>际控制人IPO前取得的股份已于2025年3月份解禁上市流通，但实际控制人之一陈其龙为公司向特定对象发行A股股票的认购对象之一，陈其龙及其一致行动人已共同出具《关于特定期间不减持公司股份的承诺》，承诺包括：“在公司本次向特定对象发行股票定价基准日前六个月至本次发行完成后六个月内，本人及本人控制的关联方（如有）不以任何形式减持兴通股份股票，同时也不存在任何减持兴通股份股票的计划”，具体可见公司于2023年8月2日披露的《兴通海运股份有限公司关于实际控制人承诺特定期间不减持公司股份的公告》（公告编号：2023-081）。</w:t>
            </w:r>
          </w:p>
          <w:p w14:paraId="07EDE15F">
            <w:pPr>
              <w:spacing w:before="156" w:beforeLines="50" w:after="156" w:afterLines="50" w:line="360" w:lineRule="auto"/>
              <w:ind w:firstLine="480" w:firstLineChars="200"/>
              <w:rPr>
                <w:rFonts w:hint="eastAsia" w:ascii="Times New Roman" w:hAnsi="Times New Roman" w:eastAsia="宋体" w:cs="Times New Roman"/>
                <w:sz w:val="24"/>
              </w:rPr>
            </w:pPr>
            <w:r>
              <w:rPr>
                <w:rFonts w:ascii="Times New Roman" w:hAnsi="Times New Roman" w:eastAsia="宋体" w:cs="Times New Roman"/>
                <w:sz w:val="24"/>
              </w:rPr>
              <w:t>实际控制人短期内不存在减持计划，将</w:t>
            </w:r>
            <w:r>
              <w:rPr>
                <w:rFonts w:hint="eastAsia" w:ascii="Times New Roman" w:hAnsi="Times New Roman" w:eastAsia="宋体" w:cs="Times New Roman"/>
                <w:sz w:val="24"/>
              </w:rPr>
              <w:t>一如既往</w:t>
            </w:r>
            <w:r>
              <w:rPr>
                <w:rFonts w:ascii="Times New Roman" w:hAnsi="Times New Roman" w:eastAsia="宋体" w:cs="Times New Roman"/>
                <w:sz w:val="24"/>
              </w:rPr>
              <w:t>地支持公司做大做强，提高公司的核心竞争力，为海运强国建设贡献</w:t>
            </w:r>
            <w:r>
              <w:rPr>
                <w:rFonts w:hint="eastAsia" w:ascii="Times New Roman" w:hAnsi="Times New Roman" w:eastAsia="宋体" w:cs="Times New Roman"/>
                <w:sz w:val="24"/>
              </w:rPr>
              <w:t>力量。</w:t>
            </w:r>
          </w:p>
          <w:p w14:paraId="05F9D98C">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7</w:t>
            </w:r>
            <w:r>
              <w:rPr>
                <w:rFonts w:hint="eastAsia" w:ascii="Times New Roman" w:hAnsi="Times New Roman" w:eastAsia="宋体" w:cs="Times New Roman"/>
                <w:b/>
                <w:bCs/>
                <w:sz w:val="24"/>
              </w:rPr>
              <w:t>：请问公司如何平衡资本投入和股东回报？</w:t>
            </w:r>
          </w:p>
          <w:p w14:paraId="0CD9BB66">
            <w:pPr>
              <w:spacing w:before="156" w:beforeLines="50" w:after="156" w:afterLines="50"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回复：</w:t>
            </w:r>
            <w:r>
              <w:rPr>
                <w:rFonts w:hint="eastAsia" w:ascii="Times New Roman" w:hAnsi="Times New Roman" w:eastAsia="宋体" w:cs="Times New Roman"/>
                <w:sz w:val="24"/>
              </w:rPr>
              <w:t>内贸业务方面，国内炼厂新增产能投产带来新的运输需求，在行业规模扩大的同时市场份额也在向头部企业集中，所以公司将结合交通运输部运力评审积极争取新增运力，有序购建船舶，持续提升竞争力。</w:t>
            </w:r>
          </w:p>
          <w:p w14:paraId="034CE384">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国际业务方面，全球化学品产需错配，运输需求仍在增加，结合全球化学品船队老龄化、欧盟碳税等带来行业历史性的发展契机，兴通股份作为国内领先的化学品航运企业，适当扩大船队规模，在国家政策的支持下，充分抓住发展机遇走出去占领国际市场份额。</w:t>
            </w:r>
          </w:p>
          <w:p w14:paraId="4C0FDFE0">
            <w:pPr>
              <w:spacing w:before="156" w:beforeLines="50" w:after="156" w:afterLines="5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利润分配方面，公司上市以来每年分红总额持续增加，未来将结合资本支出需求等综合考虑，适当调增分红</w:t>
            </w:r>
            <w:r>
              <w:rPr>
                <w:rFonts w:hint="eastAsia" w:ascii="Times New Roman" w:hAnsi="Times New Roman" w:eastAsia="宋体" w:cs="Times New Roman"/>
                <w:sz w:val="24"/>
                <w:lang w:val="en-US" w:eastAsia="zh-CN"/>
              </w:rPr>
              <w:t>金额</w:t>
            </w:r>
            <w:r>
              <w:rPr>
                <w:rFonts w:hint="eastAsia" w:ascii="Times New Roman" w:hAnsi="Times New Roman" w:eastAsia="宋体" w:cs="Times New Roman"/>
                <w:sz w:val="24"/>
              </w:rPr>
              <w:t>。</w:t>
            </w:r>
          </w:p>
          <w:p w14:paraId="1F157779">
            <w:pPr>
              <w:spacing w:before="156" w:beforeLines="50" w:after="156" w:afterLines="50" w:line="360" w:lineRule="auto"/>
              <w:ind w:firstLine="482"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8</w:t>
            </w:r>
            <w:r>
              <w:rPr>
                <w:rFonts w:hint="eastAsia" w:ascii="Times New Roman" w:hAnsi="Times New Roman" w:eastAsia="宋体" w:cs="Times New Roman"/>
                <w:b/>
                <w:bCs/>
                <w:sz w:val="24"/>
              </w:rPr>
              <w:t>：请问公司的发展战略是否有变化？</w:t>
            </w:r>
          </w:p>
          <w:p w14:paraId="599AD193">
            <w:pPr>
              <w:spacing w:before="156" w:beforeLines="50" w:after="156" w:afterLines="50"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回复：</w:t>
            </w:r>
            <w:r>
              <w:rPr>
                <w:rFonts w:hint="eastAsia" w:ascii="Times New Roman" w:hAnsi="Times New Roman" w:eastAsia="宋体" w:cs="Times New Roman"/>
                <w:sz w:val="24"/>
              </w:rPr>
              <w:t>公司将稳步推进“1+2+1”战略发展规划，把握机遇，在夯实内贸业务的同时，积极拓展蓝海国际化业务，深化数智化转型，以“自身的确定性”应对“外部环境的不确定性”，多措并举提升运营效率，强化核心竞争力，在全球液货危险品运输市场上树立“兴通”品牌。公司持续对标国际先进一流，坚持安全至上和客户为先的经营原则；坚定科学精细管理和信息智能化应用；坚决强化合规建设和提质降本增效并行；坚守价值创造和成果共享；更坚定绿色低碳和卓越兴通建设；勠力同心，努力朝着成为国际一流、国内领先的化工供应链综合服务商阔步挺进！</w:t>
            </w:r>
          </w:p>
          <w:p w14:paraId="03D2715F">
            <w:pPr>
              <w:numPr>
                <w:ilvl w:val="0"/>
                <w:numId w:val="2"/>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持续优化客户服务，提升安全管理，紧抓机遇开展船舶购建以及股权并购项目，以做大做强国内沿海液货危险品运输为主线，不断提升市场占有率和市场竞争力；</w:t>
            </w:r>
          </w:p>
          <w:p w14:paraId="499ED94E">
            <w:pPr>
              <w:numPr>
                <w:ilvl w:val="0"/>
                <w:numId w:val="2"/>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以开拓清洁能源运输和参与国际海运为两翼，打造一支有规模有影响力的一流航运船队，稳步实现公司发展愿景和推进战略发展布局；</w:t>
            </w:r>
          </w:p>
          <w:p w14:paraId="45094258">
            <w:pPr>
              <w:numPr>
                <w:ilvl w:val="0"/>
                <w:numId w:val="2"/>
              </w:num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与具有资本优势的第三方合作</w:t>
            </w:r>
            <w:r>
              <w:rPr>
                <w:rFonts w:hint="eastAsia" w:ascii="Times New Roman" w:hAnsi="Times New Roman" w:eastAsia="宋体" w:cs="Times New Roman"/>
                <w:sz w:val="24"/>
                <w:lang w:val="en-US" w:eastAsia="zh-CN"/>
              </w:rPr>
              <w:t>购建</w:t>
            </w:r>
            <w:r>
              <w:rPr>
                <w:rFonts w:hint="eastAsia" w:ascii="Times New Roman" w:hAnsi="Times New Roman" w:eastAsia="宋体" w:cs="Times New Roman"/>
                <w:sz w:val="24"/>
              </w:rPr>
              <w:t>新船，优势互补，协力合作，由拥有船舶到控制船舶，持续扩大运力规模；</w:t>
            </w:r>
          </w:p>
          <w:p w14:paraId="473E67C9">
            <w:pPr>
              <w:widowControl/>
              <w:spacing w:before="156" w:beforeLines="50" w:after="156" w:afterLines="50" w:line="336" w:lineRule="auto"/>
              <w:ind w:firstLine="480" w:firstLineChars="200"/>
              <w:rPr>
                <w:rFonts w:ascii="Times New Roman" w:hAnsi="Times New Roman"/>
                <w:b/>
                <w:bCs/>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以打造数字化平台为助力，向化工供应链综合服务商转型升级。</w:t>
            </w:r>
          </w:p>
        </w:tc>
      </w:tr>
      <w:tr w14:paraId="3D8B0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6B146945">
            <w:pPr>
              <w:spacing w:before="156" w:beforeLines="50" w:after="156" w:afterLines="50"/>
              <w:jc w:val="center"/>
              <w:rPr>
                <w:rFonts w:ascii="Times New Roman" w:hAnsi="Times New Roman"/>
                <w:b/>
                <w:bCs/>
                <w:sz w:val="24"/>
              </w:rPr>
            </w:pPr>
            <w:r>
              <w:rPr>
                <w:rFonts w:ascii="Times New Roman" w:hAnsi="Times New Roman"/>
                <w:b/>
                <w:bCs/>
                <w:sz w:val="24"/>
              </w:rPr>
              <w:t>附件清单（如有）</w:t>
            </w:r>
          </w:p>
        </w:tc>
        <w:tc>
          <w:tcPr>
            <w:tcW w:w="6855" w:type="dxa"/>
            <w:tcBorders>
              <w:top w:val="single" w:color="auto" w:sz="4" w:space="0"/>
              <w:left w:val="single" w:color="auto" w:sz="4" w:space="0"/>
              <w:bottom w:val="single" w:color="auto" w:sz="4" w:space="0"/>
              <w:right w:val="single" w:color="auto" w:sz="12" w:space="0"/>
            </w:tcBorders>
            <w:vAlign w:val="center"/>
          </w:tcPr>
          <w:p w14:paraId="484813FF">
            <w:pPr>
              <w:spacing w:before="156" w:beforeLines="50" w:after="156" w:afterLines="50"/>
              <w:rPr>
                <w:rFonts w:ascii="Times New Roman" w:hAnsi="Times New Roman"/>
                <w:sz w:val="24"/>
              </w:rPr>
            </w:pPr>
            <w:r>
              <w:rPr>
                <w:rFonts w:ascii="Times New Roman" w:hAnsi="Times New Roman"/>
                <w:sz w:val="24"/>
              </w:rPr>
              <w:t>无</w:t>
            </w:r>
          </w:p>
        </w:tc>
      </w:tr>
      <w:tr w14:paraId="072DC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12" w:space="0"/>
              <w:right w:val="single" w:color="auto" w:sz="4" w:space="0"/>
            </w:tcBorders>
            <w:vAlign w:val="center"/>
          </w:tcPr>
          <w:p w14:paraId="0BF447D9">
            <w:pPr>
              <w:spacing w:before="156" w:beforeLines="50" w:after="156" w:afterLines="50"/>
              <w:jc w:val="center"/>
              <w:rPr>
                <w:rFonts w:ascii="Times New Roman" w:hAnsi="Times New Roman"/>
                <w:b/>
                <w:bCs/>
                <w:sz w:val="24"/>
              </w:rPr>
            </w:pPr>
            <w:r>
              <w:rPr>
                <w:rFonts w:ascii="Times New Roman" w:hAnsi="Times New Roman"/>
                <w:b/>
                <w:bCs/>
                <w:sz w:val="24"/>
              </w:rPr>
              <w:t>日期</w:t>
            </w:r>
          </w:p>
        </w:tc>
        <w:tc>
          <w:tcPr>
            <w:tcW w:w="6855" w:type="dxa"/>
            <w:tcBorders>
              <w:top w:val="single" w:color="auto" w:sz="4" w:space="0"/>
              <w:left w:val="single" w:color="auto" w:sz="4" w:space="0"/>
              <w:bottom w:val="single" w:color="auto" w:sz="12" w:space="0"/>
              <w:right w:val="single" w:color="auto" w:sz="12" w:space="0"/>
            </w:tcBorders>
            <w:vAlign w:val="center"/>
          </w:tcPr>
          <w:p w14:paraId="321DC691">
            <w:pPr>
              <w:spacing w:before="156" w:beforeLines="50" w:after="156" w:afterLines="5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4</w:t>
            </w:r>
            <w:r>
              <w:rPr>
                <w:rFonts w:ascii="Times New Roman" w:hAnsi="Times New Roman"/>
                <w:sz w:val="24"/>
              </w:rPr>
              <w:t>月</w:t>
            </w:r>
            <w:r>
              <w:rPr>
                <w:rFonts w:hint="eastAsia" w:ascii="Times New Roman" w:hAnsi="Times New Roman"/>
                <w:sz w:val="24"/>
                <w:lang w:val="en-US" w:eastAsia="zh-CN"/>
              </w:rPr>
              <w:t>9</w:t>
            </w:r>
            <w:bookmarkStart w:id="1" w:name="_GoBack"/>
            <w:bookmarkEnd w:id="1"/>
            <w:r>
              <w:rPr>
                <w:rFonts w:ascii="Times New Roman" w:hAnsi="Times New Roman"/>
                <w:sz w:val="24"/>
              </w:rPr>
              <w:t>日</w:t>
            </w:r>
          </w:p>
        </w:tc>
      </w:tr>
    </w:tbl>
    <w:p w14:paraId="09B98289">
      <w:pPr>
        <w:widowControl/>
        <w:jc w:val="left"/>
        <w:rPr>
          <w:rFonts w:ascii="Times New Roman" w:hAnsi="Times New Roman"/>
        </w:rPr>
      </w:pPr>
    </w:p>
    <w:sectPr>
      <w:head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9CA5">
    <w:pPr>
      <w:pStyle w:val="5"/>
      <w:jc w:val="both"/>
      <w:rPr>
        <w:rFonts w:ascii="楷体" w:hAnsi="楷体" w:eastAsia="楷体"/>
      </w:rPr>
    </w:pPr>
    <w:r>
      <w:rPr>
        <w:rFonts w:hint="eastAsia" w:ascii="楷体" w:hAnsi="楷体" w:eastAsia="楷体"/>
      </w:rPr>
      <w:t xml:space="preserve">兴通海运股份有限公司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A3933"/>
    <w:multiLevelType w:val="singleLevel"/>
    <w:tmpl w:val="85AA3933"/>
    <w:lvl w:ilvl="0" w:tentative="0">
      <w:start w:val="1"/>
      <w:numFmt w:val="decimal"/>
      <w:suff w:val="nothing"/>
      <w:lvlText w:val="（%1）"/>
      <w:lvlJc w:val="left"/>
    </w:lvl>
  </w:abstractNum>
  <w:abstractNum w:abstractNumId="1">
    <w:nsid w:val="D4B3EC41"/>
    <w:multiLevelType w:val="singleLevel"/>
    <w:tmpl w:val="D4B3EC4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YzU5ODBhY2VhYjU0NzM0NjA4YjRjMjNjZjU0MmUifQ=="/>
  </w:docVars>
  <w:rsids>
    <w:rsidRoot w:val="00172A27"/>
    <w:rsid w:val="00000D18"/>
    <w:rsid w:val="000076A8"/>
    <w:rsid w:val="00013B2C"/>
    <w:rsid w:val="000251BC"/>
    <w:rsid w:val="00031EDC"/>
    <w:rsid w:val="00032FBF"/>
    <w:rsid w:val="0004190F"/>
    <w:rsid w:val="0006665D"/>
    <w:rsid w:val="00073D83"/>
    <w:rsid w:val="000752AD"/>
    <w:rsid w:val="000B7145"/>
    <w:rsid w:val="000C0917"/>
    <w:rsid w:val="000D1EEA"/>
    <w:rsid w:val="000E0A29"/>
    <w:rsid w:val="000E4A02"/>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90A"/>
    <w:rsid w:val="002A5DDA"/>
    <w:rsid w:val="002B1EA1"/>
    <w:rsid w:val="002B2792"/>
    <w:rsid w:val="002B5738"/>
    <w:rsid w:val="002C7C5F"/>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06B15"/>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25B9"/>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D1BB4"/>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0770"/>
    <w:rsid w:val="00C064EA"/>
    <w:rsid w:val="00C3372B"/>
    <w:rsid w:val="00C358B5"/>
    <w:rsid w:val="00C42CBD"/>
    <w:rsid w:val="00C4451C"/>
    <w:rsid w:val="00C51B18"/>
    <w:rsid w:val="00C5461F"/>
    <w:rsid w:val="00C57D81"/>
    <w:rsid w:val="00C61A3F"/>
    <w:rsid w:val="00C63FD3"/>
    <w:rsid w:val="00C70626"/>
    <w:rsid w:val="00C95434"/>
    <w:rsid w:val="00CA27D4"/>
    <w:rsid w:val="00CA2A45"/>
    <w:rsid w:val="00CA6F63"/>
    <w:rsid w:val="00CC62F4"/>
    <w:rsid w:val="00CC75B4"/>
    <w:rsid w:val="00CE3455"/>
    <w:rsid w:val="00CF011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B5181"/>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2E5A"/>
    <w:rsid w:val="00FF5BE3"/>
    <w:rsid w:val="017B5D79"/>
    <w:rsid w:val="0183426C"/>
    <w:rsid w:val="01EE19B6"/>
    <w:rsid w:val="01EE5E5A"/>
    <w:rsid w:val="049523C1"/>
    <w:rsid w:val="04F97CCA"/>
    <w:rsid w:val="065555BF"/>
    <w:rsid w:val="070E2695"/>
    <w:rsid w:val="07F02019"/>
    <w:rsid w:val="0A14667A"/>
    <w:rsid w:val="0C300E1D"/>
    <w:rsid w:val="0E247E54"/>
    <w:rsid w:val="0E7A578B"/>
    <w:rsid w:val="109D6F02"/>
    <w:rsid w:val="119E71F5"/>
    <w:rsid w:val="11CB5DFD"/>
    <w:rsid w:val="11CE2C72"/>
    <w:rsid w:val="11F56D91"/>
    <w:rsid w:val="1206249F"/>
    <w:rsid w:val="156C1118"/>
    <w:rsid w:val="15E15640"/>
    <w:rsid w:val="16AE717B"/>
    <w:rsid w:val="17677CE7"/>
    <w:rsid w:val="17A07CDA"/>
    <w:rsid w:val="181E3EC5"/>
    <w:rsid w:val="19572ABE"/>
    <w:rsid w:val="1A2E46C4"/>
    <w:rsid w:val="1B33700C"/>
    <w:rsid w:val="1C764385"/>
    <w:rsid w:val="1CE5103E"/>
    <w:rsid w:val="1ED7674D"/>
    <w:rsid w:val="1F8D7C0B"/>
    <w:rsid w:val="20AF15DB"/>
    <w:rsid w:val="21E9493A"/>
    <w:rsid w:val="22251B98"/>
    <w:rsid w:val="223034CD"/>
    <w:rsid w:val="223C40BF"/>
    <w:rsid w:val="2262572B"/>
    <w:rsid w:val="22A7686E"/>
    <w:rsid w:val="235A2249"/>
    <w:rsid w:val="23DB3F63"/>
    <w:rsid w:val="23F93CED"/>
    <w:rsid w:val="24370A13"/>
    <w:rsid w:val="24465EFD"/>
    <w:rsid w:val="264E35F1"/>
    <w:rsid w:val="27A137C5"/>
    <w:rsid w:val="27E7113F"/>
    <w:rsid w:val="28BA4CA4"/>
    <w:rsid w:val="28F17E5A"/>
    <w:rsid w:val="293746B6"/>
    <w:rsid w:val="29EA365B"/>
    <w:rsid w:val="2B3631F4"/>
    <w:rsid w:val="2C433892"/>
    <w:rsid w:val="2C946F5F"/>
    <w:rsid w:val="2D76092E"/>
    <w:rsid w:val="2D8C5D2A"/>
    <w:rsid w:val="2E2A24F3"/>
    <w:rsid w:val="2E4647A4"/>
    <w:rsid w:val="2E7712D2"/>
    <w:rsid w:val="2F2D7D98"/>
    <w:rsid w:val="2F98270C"/>
    <w:rsid w:val="2FE3015E"/>
    <w:rsid w:val="311862D7"/>
    <w:rsid w:val="328A7DFC"/>
    <w:rsid w:val="32BE4D76"/>
    <w:rsid w:val="32C81412"/>
    <w:rsid w:val="333C0424"/>
    <w:rsid w:val="33723946"/>
    <w:rsid w:val="343E41D6"/>
    <w:rsid w:val="34DB41A2"/>
    <w:rsid w:val="35A45FF2"/>
    <w:rsid w:val="35D501BC"/>
    <w:rsid w:val="35ED23EA"/>
    <w:rsid w:val="377C5B85"/>
    <w:rsid w:val="386D45D5"/>
    <w:rsid w:val="38EF7122"/>
    <w:rsid w:val="3A1054F9"/>
    <w:rsid w:val="3C990195"/>
    <w:rsid w:val="3CFC0724"/>
    <w:rsid w:val="3D725FAB"/>
    <w:rsid w:val="3F855194"/>
    <w:rsid w:val="40300E10"/>
    <w:rsid w:val="40A418D2"/>
    <w:rsid w:val="410114B3"/>
    <w:rsid w:val="41A373AE"/>
    <w:rsid w:val="41D1126B"/>
    <w:rsid w:val="41EA240C"/>
    <w:rsid w:val="41F1637D"/>
    <w:rsid w:val="434057B6"/>
    <w:rsid w:val="443E4C7C"/>
    <w:rsid w:val="448500D7"/>
    <w:rsid w:val="44C47D79"/>
    <w:rsid w:val="454300F1"/>
    <w:rsid w:val="460F5E9A"/>
    <w:rsid w:val="469836BD"/>
    <w:rsid w:val="47A81BD4"/>
    <w:rsid w:val="47E96367"/>
    <w:rsid w:val="48D53BBB"/>
    <w:rsid w:val="4A29327C"/>
    <w:rsid w:val="4B7C2CA2"/>
    <w:rsid w:val="4D61085B"/>
    <w:rsid w:val="4DC2676B"/>
    <w:rsid w:val="4DF47921"/>
    <w:rsid w:val="4ED46D2F"/>
    <w:rsid w:val="502E7353"/>
    <w:rsid w:val="529556D0"/>
    <w:rsid w:val="52F82D14"/>
    <w:rsid w:val="53B042EA"/>
    <w:rsid w:val="53B8703C"/>
    <w:rsid w:val="555F668F"/>
    <w:rsid w:val="576015AA"/>
    <w:rsid w:val="57F8248F"/>
    <w:rsid w:val="589E4491"/>
    <w:rsid w:val="595653E6"/>
    <w:rsid w:val="5A1465A0"/>
    <w:rsid w:val="5A61633E"/>
    <w:rsid w:val="5BE2009F"/>
    <w:rsid w:val="5CCB2E66"/>
    <w:rsid w:val="5D3729BA"/>
    <w:rsid w:val="5DD64418"/>
    <w:rsid w:val="5F1C2834"/>
    <w:rsid w:val="5F253E4C"/>
    <w:rsid w:val="5FCA3512"/>
    <w:rsid w:val="601A5E43"/>
    <w:rsid w:val="60367BD9"/>
    <w:rsid w:val="604444D1"/>
    <w:rsid w:val="60EF1139"/>
    <w:rsid w:val="61F46C76"/>
    <w:rsid w:val="62CE052D"/>
    <w:rsid w:val="63DA2CBD"/>
    <w:rsid w:val="64421FF9"/>
    <w:rsid w:val="65BF7904"/>
    <w:rsid w:val="67744CBA"/>
    <w:rsid w:val="679019F7"/>
    <w:rsid w:val="67E26C44"/>
    <w:rsid w:val="67E5006B"/>
    <w:rsid w:val="67E759A9"/>
    <w:rsid w:val="68631113"/>
    <w:rsid w:val="6A3749C6"/>
    <w:rsid w:val="6A4C654C"/>
    <w:rsid w:val="6D16193B"/>
    <w:rsid w:val="712138AD"/>
    <w:rsid w:val="7143510B"/>
    <w:rsid w:val="71DF6F94"/>
    <w:rsid w:val="74B93FC4"/>
    <w:rsid w:val="759230CE"/>
    <w:rsid w:val="76353AB5"/>
    <w:rsid w:val="77170F04"/>
    <w:rsid w:val="77AE203F"/>
    <w:rsid w:val="77F558E4"/>
    <w:rsid w:val="77F9523C"/>
    <w:rsid w:val="79A35C54"/>
    <w:rsid w:val="7A530D70"/>
    <w:rsid w:val="7B452B70"/>
    <w:rsid w:val="7BA3070B"/>
    <w:rsid w:val="7D0D15B6"/>
    <w:rsid w:val="7DA80D81"/>
    <w:rsid w:val="7E6D5641"/>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0"/>
    <w:pPr>
      <w:jc w:val="left"/>
    </w:pPr>
  </w:style>
  <w:style w:type="paragraph" w:styleId="3">
    <w:name w:val="Balloon Text"/>
    <w:basedOn w:val="1"/>
    <w:link w:val="20"/>
    <w:autoRedefine/>
    <w:semiHidden/>
    <w:unhideWhenUsed/>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autoRedefine/>
    <w:semiHidden/>
    <w:unhideWhenUsed/>
    <w:qFormat/>
    <w:uiPriority w:val="0"/>
    <w:rPr>
      <w:b/>
      <w:bCs/>
    </w:rPr>
  </w:style>
  <w:style w:type="table" w:styleId="8">
    <w:name w:val="Table Grid"/>
    <w:basedOn w:val="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0"/>
    <w:rPr>
      <w:sz w:val="21"/>
      <w:szCs w:val="21"/>
    </w:rPr>
  </w:style>
  <w:style w:type="paragraph" w:customStyle="1" w:styleId="11">
    <w:name w:val="Table Paragraph"/>
    <w:basedOn w:val="1"/>
    <w:autoRedefine/>
    <w:qFormat/>
    <w:uiPriority w:val="0"/>
    <w:pPr>
      <w:jc w:val="left"/>
    </w:pPr>
    <w:rPr>
      <w:kern w:val="0"/>
      <w:sz w:val="22"/>
      <w:szCs w:val="22"/>
    </w:rPr>
  </w:style>
  <w:style w:type="table" w:customStyle="1" w:styleId="12">
    <w:name w:val="Table Normal"/>
    <w:basedOn w:val="7"/>
    <w:autoRedefine/>
    <w:semiHidden/>
    <w:qFormat/>
    <w:uiPriority w:val="0"/>
    <w:tblPr>
      <w:tblCellMar>
        <w:top w:w="0" w:type="dxa"/>
        <w:left w:w="0" w:type="dxa"/>
        <w:bottom w:w="0" w:type="dxa"/>
        <w:right w:w="0" w:type="dxa"/>
      </w:tblCellMar>
    </w:tblPr>
  </w:style>
  <w:style w:type="character" w:customStyle="1" w:styleId="13">
    <w:name w:val="页眉 Char"/>
    <w:link w:val="5"/>
    <w:autoRedefine/>
    <w:qFormat/>
    <w:uiPriority w:val="0"/>
    <w:rPr>
      <w:rFonts w:cs="Times New Roman"/>
      <w:kern w:val="2"/>
      <w:sz w:val="18"/>
      <w:szCs w:val="18"/>
    </w:rPr>
  </w:style>
  <w:style w:type="character" w:customStyle="1" w:styleId="14">
    <w:name w:val="页脚 Char"/>
    <w:link w:val="4"/>
    <w:autoRedefine/>
    <w:qFormat/>
    <w:uiPriority w:val="0"/>
    <w:rPr>
      <w:rFonts w:cs="Times New Roman"/>
      <w:kern w:val="2"/>
      <w:sz w:val="18"/>
      <w:szCs w:val="18"/>
    </w:rPr>
  </w:style>
  <w:style w:type="paragraph" w:customStyle="1" w:styleId="15">
    <w:name w:val="列表段落1"/>
    <w:basedOn w:val="1"/>
    <w:autoRedefine/>
    <w:qFormat/>
    <w:uiPriority w:val="99"/>
    <w:pPr>
      <w:ind w:firstLine="420" w:firstLineChars="200"/>
    </w:pPr>
  </w:style>
  <w:style w:type="character" w:customStyle="1" w:styleId="16">
    <w:name w:val="oli-avatar-text"/>
    <w:basedOn w:val="9"/>
    <w:autoRedefine/>
    <w:qFormat/>
    <w:uiPriority w:val="0"/>
  </w:style>
  <w:style w:type="paragraph" w:styleId="17">
    <w:name w:val="List Paragraph"/>
    <w:basedOn w:val="1"/>
    <w:autoRedefine/>
    <w:qFormat/>
    <w:uiPriority w:val="99"/>
    <w:pPr>
      <w:ind w:firstLine="420" w:firstLineChars="200"/>
    </w:pPr>
  </w:style>
  <w:style w:type="character" w:customStyle="1" w:styleId="18">
    <w:name w:val="批注文字 Char"/>
    <w:basedOn w:val="9"/>
    <w:link w:val="2"/>
    <w:autoRedefine/>
    <w:semiHidden/>
    <w:qFormat/>
    <w:uiPriority w:val="0"/>
    <w:rPr>
      <w:rFonts w:cs="Times New Roman"/>
      <w:kern w:val="2"/>
      <w:sz w:val="21"/>
      <w:szCs w:val="24"/>
    </w:rPr>
  </w:style>
  <w:style w:type="character" w:customStyle="1" w:styleId="19">
    <w:name w:val="批注主题 Char"/>
    <w:basedOn w:val="18"/>
    <w:link w:val="6"/>
    <w:autoRedefine/>
    <w:semiHidden/>
    <w:qFormat/>
    <w:uiPriority w:val="0"/>
    <w:rPr>
      <w:rFonts w:cs="Times New Roman"/>
      <w:b/>
      <w:bCs/>
      <w:kern w:val="2"/>
      <w:sz w:val="21"/>
      <w:szCs w:val="24"/>
    </w:rPr>
  </w:style>
  <w:style w:type="character" w:customStyle="1" w:styleId="20">
    <w:name w:val="批注框文本 Char"/>
    <w:basedOn w:val="9"/>
    <w:link w:val="3"/>
    <w:autoRedefine/>
    <w:semiHidden/>
    <w:qFormat/>
    <w:uiPriority w:val="0"/>
    <w:rPr>
      <w:rFonts w:cs="Times New Roman"/>
      <w:kern w:val="2"/>
      <w:sz w:val="18"/>
      <w:szCs w:val="18"/>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autoRedefine/>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6</Pages>
  <Words>1366</Words>
  <Characters>1609</Characters>
  <Lines>18</Lines>
  <Paragraphs>5</Paragraphs>
  <TotalTime>0</TotalTime>
  <ScaleCrop>false</ScaleCrop>
  <LinksUpToDate>false</LinksUpToDate>
  <CharactersWithSpaces>1686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2024-11-29T10:20:00Z</dcterms:created>
  <dc:creator>86186</dc:creator>
  <cp:lastModifiedBy>麦姐姐</cp:lastModifiedBy>
  <cp:lastPrinted>2022-03-16T07:42:00Z</cp:lastPrinted>
  <dcterms:modified xsi:type="dcterms:W3CDTF">2025-04-09T11:06:33Z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F549F0DC7F2B42429F9A3A13885BB1FA_13</vt:lpwstr>
  </property>
  <property fmtid="{D5CDD505-2E9C-101B-9397-08002B2CF9AE}" pid="4" name="KSOTemplateDocerSaveRecord">
    <vt:lpwstr>eyJoZGlkIjoiM2MwYzU5ODBhY2VhYjU0NzM0NjA4YjRjMjNjZjU0MmUiLCJ1c2VySWQiOiI2MTcxNzI3ODgifQ==</vt:lpwstr>
  </property>
</Properties>
</file>