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FA5CF9" w14:textId="77777777" w:rsidR="001E0224" w:rsidRPr="00330434" w:rsidRDefault="004823B0" w:rsidP="002A3F38">
      <w:pPr>
        <w:spacing w:beforeLines="50" w:before="156" w:afterLines="50" w:after="156" w:line="360" w:lineRule="auto"/>
        <w:rPr>
          <w:rFonts w:eastAsiaTheme="minorEastAsia"/>
          <w:bCs/>
          <w:iCs/>
          <w:szCs w:val="21"/>
        </w:rPr>
      </w:pPr>
      <w:r w:rsidRPr="00330434">
        <w:rPr>
          <w:bCs/>
          <w:iCs/>
          <w:szCs w:val="21"/>
        </w:rPr>
        <w:t>证券代码：</w:t>
      </w:r>
      <w:r w:rsidRPr="00330434">
        <w:rPr>
          <w:bCs/>
          <w:iCs/>
          <w:szCs w:val="21"/>
        </w:rPr>
        <w:t>603</w:t>
      </w:r>
      <w:r w:rsidRPr="00330434">
        <w:rPr>
          <w:rFonts w:eastAsiaTheme="minorEastAsia"/>
          <w:bCs/>
          <w:iCs/>
          <w:szCs w:val="21"/>
        </w:rPr>
        <w:t xml:space="preserve">456                                             </w:t>
      </w:r>
      <w:r w:rsidRPr="00330434">
        <w:rPr>
          <w:bCs/>
          <w:iCs/>
          <w:szCs w:val="21"/>
        </w:rPr>
        <w:t>证券简称：</w:t>
      </w:r>
      <w:proofErr w:type="gramStart"/>
      <w:r w:rsidRPr="00330434">
        <w:rPr>
          <w:bCs/>
          <w:iCs/>
          <w:szCs w:val="21"/>
        </w:rPr>
        <w:t>九洲</w:t>
      </w:r>
      <w:proofErr w:type="gramEnd"/>
      <w:r w:rsidRPr="00330434">
        <w:rPr>
          <w:bCs/>
          <w:iCs/>
          <w:szCs w:val="21"/>
        </w:rPr>
        <w:t>药业</w:t>
      </w:r>
    </w:p>
    <w:p w14:paraId="45CDADF9" w14:textId="77777777" w:rsidR="001E0224" w:rsidRPr="00330434" w:rsidRDefault="004823B0">
      <w:pPr>
        <w:ind w:firstLine="880"/>
        <w:jc w:val="center"/>
        <w:rPr>
          <w:rFonts w:eastAsiaTheme="minorEastAsia"/>
          <w:b/>
          <w:sz w:val="44"/>
          <w:szCs w:val="44"/>
        </w:rPr>
      </w:pPr>
      <w:r w:rsidRPr="00330434">
        <w:rPr>
          <w:rFonts w:eastAsiaTheme="minorEastAsia"/>
          <w:b/>
          <w:sz w:val="44"/>
          <w:szCs w:val="44"/>
        </w:rPr>
        <w:t>浙江九洲药业股份有限公司</w:t>
      </w:r>
    </w:p>
    <w:p w14:paraId="7E980A69" w14:textId="77777777" w:rsidR="001E0224" w:rsidRPr="00330434" w:rsidRDefault="004823B0">
      <w:pPr>
        <w:ind w:firstLine="880"/>
        <w:jc w:val="center"/>
        <w:rPr>
          <w:rFonts w:eastAsiaTheme="minorEastAsia"/>
          <w:b/>
          <w:sz w:val="44"/>
          <w:szCs w:val="44"/>
        </w:rPr>
      </w:pPr>
      <w:r w:rsidRPr="00330434">
        <w:rPr>
          <w:rFonts w:eastAsiaTheme="minorEastAsia"/>
          <w:b/>
          <w:sz w:val="44"/>
          <w:szCs w:val="44"/>
        </w:rPr>
        <w:t>投资者关系活动记录表</w:t>
      </w:r>
    </w:p>
    <w:p w14:paraId="29D45FFF" w14:textId="1989CBD3" w:rsidR="001E0224" w:rsidRPr="00330434" w:rsidRDefault="004823B0">
      <w:pPr>
        <w:spacing w:beforeLines="50" w:before="156" w:afterLines="50" w:after="156" w:line="276" w:lineRule="auto"/>
        <w:ind w:firstLineChars="2850" w:firstLine="6840"/>
        <w:rPr>
          <w:bCs/>
          <w:iCs/>
          <w:szCs w:val="21"/>
        </w:rPr>
      </w:pPr>
      <w:r w:rsidRPr="00330434">
        <w:rPr>
          <w:bCs/>
          <w:iCs/>
          <w:sz w:val="24"/>
        </w:rPr>
        <w:t>编号</w:t>
      </w:r>
      <w:r w:rsidRPr="00330434">
        <w:rPr>
          <w:bCs/>
          <w:iCs/>
          <w:szCs w:val="21"/>
        </w:rPr>
        <w:t>：</w:t>
      </w:r>
      <w:r w:rsidRPr="00330434">
        <w:rPr>
          <w:bCs/>
          <w:iCs/>
          <w:szCs w:val="21"/>
        </w:rPr>
        <w:t>202</w:t>
      </w:r>
      <w:r w:rsidR="00BA1ECE">
        <w:rPr>
          <w:rFonts w:hint="eastAsia"/>
          <w:bCs/>
          <w:iCs/>
          <w:szCs w:val="21"/>
        </w:rPr>
        <w:t>5</w:t>
      </w:r>
      <w:r w:rsidRPr="00330434">
        <w:rPr>
          <w:bCs/>
          <w:iCs/>
          <w:szCs w:val="21"/>
        </w:rPr>
        <w:t>-001</w:t>
      </w:r>
    </w:p>
    <w:tbl>
      <w:tblPr>
        <w:tblW w:w="9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359"/>
      </w:tblGrid>
      <w:tr w:rsidR="00330434" w:rsidRPr="00330434" w14:paraId="3738E9B1" w14:textId="77777777">
        <w:trPr>
          <w:trHeight w:val="712"/>
          <w:jc w:val="center"/>
        </w:trPr>
        <w:tc>
          <w:tcPr>
            <w:tcW w:w="1980" w:type="dxa"/>
            <w:vAlign w:val="center"/>
          </w:tcPr>
          <w:p w14:paraId="53738B3C" w14:textId="77777777" w:rsidR="001E0224" w:rsidRPr="00330434" w:rsidRDefault="004823B0" w:rsidP="002A3F38">
            <w:pPr>
              <w:spacing w:beforeLines="50" w:before="156" w:afterLines="50" w:after="156" w:line="360" w:lineRule="auto"/>
              <w:jc w:val="left"/>
              <w:rPr>
                <w:b/>
                <w:bCs/>
                <w:iCs/>
                <w:sz w:val="24"/>
              </w:rPr>
            </w:pPr>
            <w:r w:rsidRPr="00330434">
              <w:rPr>
                <w:b/>
                <w:bCs/>
                <w:iCs/>
                <w:sz w:val="24"/>
              </w:rPr>
              <w:t>一、活动类别</w:t>
            </w:r>
          </w:p>
        </w:tc>
        <w:tc>
          <w:tcPr>
            <w:tcW w:w="7359" w:type="dxa"/>
            <w:vAlign w:val="center"/>
          </w:tcPr>
          <w:p w14:paraId="12B14F39" w14:textId="1AF9BB5B" w:rsidR="001E0224" w:rsidRPr="00330434" w:rsidRDefault="00571F34">
            <w:pPr>
              <w:spacing w:beforeLines="50" w:before="156" w:afterLines="50" w:after="156" w:line="360" w:lineRule="auto"/>
              <w:rPr>
                <w:bCs/>
                <w:iCs/>
                <w:sz w:val="24"/>
              </w:rPr>
            </w:pPr>
            <w:r>
              <w:rPr>
                <w:rFonts w:hint="eastAsia"/>
                <w:bCs/>
                <w:iCs/>
                <w:sz w:val="24"/>
              </w:rPr>
              <w:t>电话</w:t>
            </w:r>
            <w:r w:rsidR="004823B0" w:rsidRPr="00330434">
              <w:rPr>
                <w:bCs/>
                <w:iCs/>
                <w:sz w:val="24"/>
              </w:rPr>
              <w:t>会议</w:t>
            </w:r>
          </w:p>
        </w:tc>
      </w:tr>
      <w:tr w:rsidR="00330434" w:rsidRPr="00330434" w14:paraId="1AA4553E" w14:textId="77777777">
        <w:trPr>
          <w:trHeight w:val="942"/>
          <w:jc w:val="center"/>
        </w:trPr>
        <w:tc>
          <w:tcPr>
            <w:tcW w:w="1980" w:type="dxa"/>
            <w:vAlign w:val="center"/>
          </w:tcPr>
          <w:p w14:paraId="1D69F6AE" w14:textId="77777777" w:rsidR="001E0224" w:rsidRPr="00330434" w:rsidRDefault="004823B0" w:rsidP="002A3F38">
            <w:pPr>
              <w:spacing w:beforeLines="50" w:before="156" w:afterLines="50" w:after="156" w:line="360" w:lineRule="auto"/>
              <w:jc w:val="left"/>
              <w:rPr>
                <w:b/>
                <w:bCs/>
                <w:iCs/>
                <w:sz w:val="24"/>
              </w:rPr>
            </w:pPr>
            <w:r w:rsidRPr="00330434">
              <w:rPr>
                <w:b/>
                <w:bCs/>
                <w:iCs/>
                <w:sz w:val="24"/>
              </w:rPr>
              <w:t>二、参与方名称</w:t>
            </w:r>
          </w:p>
        </w:tc>
        <w:tc>
          <w:tcPr>
            <w:tcW w:w="7359" w:type="dxa"/>
            <w:vAlign w:val="center"/>
          </w:tcPr>
          <w:p w14:paraId="052940B7" w14:textId="5F29717E" w:rsidR="001E0224" w:rsidRPr="00330434" w:rsidRDefault="00AB5908">
            <w:pPr>
              <w:spacing w:line="360" w:lineRule="auto"/>
              <w:rPr>
                <w:sz w:val="24"/>
              </w:rPr>
            </w:pPr>
            <w:r w:rsidRPr="00AB5908">
              <w:rPr>
                <w:rFonts w:hint="eastAsia"/>
                <w:sz w:val="24"/>
              </w:rPr>
              <w:t>中信证券、</w:t>
            </w:r>
            <w:r>
              <w:rPr>
                <w:rFonts w:hint="eastAsia"/>
                <w:sz w:val="24"/>
              </w:rPr>
              <w:t>西部证券、</w:t>
            </w:r>
            <w:r w:rsidRPr="00AB5908">
              <w:rPr>
                <w:rFonts w:hint="eastAsia"/>
                <w:sz w:val="24"/>
              </w:rPr>
              <w:t>国泰海通、国盛证券、广发证券、招商证券、东方证券、平安证券、中金公司、</w:t>
            </w:r>
            <w:proofErr w:type="gramStart"/>
            <w:r w:rsidRPr="00AB5908">
              <w:rPr>
                <w:rFonts w:hint="eastAsia"/>
                <w:sz w:val="24"/>
              </w:rPr>
              <w:t>浙商证券</w:t>
            </w:r>
            <w:proofErr w:type="gramEnd"/>
            <w:r w:rsidRPr="00AB5908">
              <w:rPr>
                <w:rFonts w:hint="eastAsia"/>
                <w:sz w:val="24"/>
              </w:rPr>
              <w:t>、中信建投、贝莱德机构信托、野村证券、招银国际、招商基金、</w:t>
            </w:r>
            <w:proofErr w:type="gramStart"/>
            <w:r w:rsidRPr="00AB5908">
              <w:rPr>
                <w:rFonts w:hint="eastAsia"/>
                <w:sz w:val="24"/>
              </w:rPr>
              <w:t>浙商证</w:t>
            </w:r>
            <w:proofErr w:type="gramEnd"/>
            <w:r w:rsidRPr="00AB5908">
              <w:rPr>
                <w:rFonts w:hint="eastAsia"/>
                <w:sz w:val="24"/>
              </w:rPr>
              <w:t>券研究所、中信信托、东方证券、西南证券、兴业证券、</w:t>
            </w:r>
            <w:proofErr w:type="gramStart"/>
            <w:r w:rsidRPr="00AB5908">
              <w:rPr>
                <w:rFonts w:hint="eastAsia"/>
                <w:sz w:val="24"/>
              </w:rPr>
              <w:t>长城</w:t>
            </w:r>
            <w:proofErr w:type="gramEnd"/>
            <w:r w:rsidRPr="00AB5908">
              <w:rPr>
                <w:rFonts w:hint="eastAsia"/>
                <w:sz w:val="24"/>
              </w:rPr>
              <w:t>国瑞、华安证券、华创医药、北京金百镕投资、国联民生、财通证券、中信资管、华泰资产管理、华源证券、华西证券、东吴证券、君和资本、正奇能源科技集团、蓝墨投资管理、中</w:t>
            </w:r>
            <w:proofErr w:type="gramStart"/>
            <w:r w:rsidRPr="00AB5908">
              <w:rPr>
                <w:rFonts w:hint="eastAsia"/>
                <w:sz w:val="24"/>
              </w:rPr>
              <w:t>融</w:t>
            </w:r>
            <w:proofErr w:type="gramEnd"/>
            <w:r w:rsidRPr="00AB5908">
              <w:rPr>
                <w:rFonts w:hint="eastAsia"/>
                <w:sz w:val="24"/>
              </w:rPr>
              <w:t>汇信期货、联储证券、天风医药、阳光资产、上汽颀臻、</w:t>
            </w:r>
            <w:proofErr w:type="gramStart"/>
            <w:r w:rsidRPr="00AB5908">
              <w:rPr>
                <w:rFonts w:hint="eastAsia"/>
                <w:sz w:val="24"/>
              </w:rPr>
              <w:t>上海湘禾投</w:t>
            </w:r>
            <w:proofErr w:type="gramEnd"/>
            <w:r w:rsidRPr="00AB5908">
              <w:rPr>
                <w:rFonts w:hint="eastAsia"/>
                <w:sz w:val="24"/>
              </w:rPr>
              <w:t>资、华泰资管、国泰基金、诺安基金、平安资产、相聚资本、华安基金、</w:t>
            </w:r>
            <w:proofErr w:type="gramStart"/>
            <w:r w:rsidRPr="00AB5908">
              <w:rPr>
                <w:rFonts w:hint="eastAsia"/>
                <w:sz w:val="24"/>
              </w:rPr>
              <w:t>泉果基</w:t>
            </w:r>
            <w:proofErr w:type="gramEnd"/>
            <w:r w:rsidRPr="00AB5908">
              <w:rPr>
                <w:rFonts w:hint="eastAsia"/>
                <w:sz w:val="24"/>
              </w:rPr>
              <w:t>金、上海五地私募基金、中航基金、正圆投资、</w:t>
            </w:r>
            <w:proofErr w:type="gramStart"/>
            <w:r w:rsidRPr="00AB5908">
              <w:rPr>
                <w:rFonts w:hint="eastAsia"/>
                <w:sz w:val="24"/>
              </w:rPr>
              <w:t>天弘基</w:t>
            </w:r>
            <w:proofErr w:type="gramEnd"/>
            <w:r w:rsidRPr="00AB5908">
              <w:rPr>
                <w:rFonts w:hint="eastAsia"/>
                <w:sz w:val="24"/>
              </w:rPr>
              <w:t>金、上海世诚投资、</w:t>
            </w:r>
            <w:proofErr w:type="gramStart"/>
            <w:r w:rsidRPr="00AB5908">
              <w:rPr>
                <w:rFonts w:hint="eastAsia"/>
                <w:sz w:val="24"/>
              </w:rPr>
              <w:t>深圳尚诚资</w:t>
            </w:r>
            <w:proofErr w:type="gramEnd"/>
            <w:r w:rsidRPr="00AB5908">
              <w:rPr>
                <w:rFonts w:hint="eastAsia"/>
                <w:sz w:val="24"/>
              </w:rPr>
              <w:t>产、</w:t>
            </w:r>
            <w:r w:rsidRPr="00AB5908">
              <w:rPr>
                <w:rFonts w:hint="eastAsia"/>
                <w:sz w:val="24"/>
              </w:rPr>
              <w:t>HBM China Healthcare Master Fund</w:t>
            </w:r>
            <w:r w:rsidRPr="00AB5908">
              <w:rPr>
                <w:rFonts w:hint="eastAsia"/>
                <w:sz w:val="24"/>
              </w:rPr>
              <w:t>、东方财富证券资管、尚石投资、</w:t>
            </w:r>
            <w:proofErr w:type="gramStart"/>
            <w:r w:rsidRPr="00AB5908">
              <w:rPr>
                <w:rFonts w:hint="eastAsia"/>
                <w:sz w:val="24"/>
              </w:rPr>
              <w:t>瀚伦投</w:t>
            </w:r>
            <w:proofErr w:type="gramEnd"/>
            <w:r w:rsidRPr="00AB5908">
              <w:rPr>
                <w:rFonts w:hint="eastAsia"/>
                <w:sz w:val="24"/>
              </w:rPr>
              <w:t>资顾问（上海）、</w:t>
            </w:r>
            <w:r w:rsidRPr="00AB5908">
              <w:rPr>
                <w:rFonts w:hint="eastAsia"/>
                <w:sz w:val="24"/>
              </w:rPr>
              <w:t>Prudence Investment Management (Hong Kong) Limited</w:t>
            </w:r>
            <w:r w:rsidRPr="00AB5908">
              <w:rPr>
                <w:rFonts w:hint="eastAsia"/>
                <w:sz w:val="24"/>
              </w:rPr>
              <w:t>、方圆基金管理</w:t>
            </w:r>
            <w:r w:rsidRPr="00AB5908">
              <w:rPr>
                <w:rFonts w:hint="eastAsia"/>
                <w:sz w:val="24"/>
              </w:rPr>
              <w:t>(</w:t>
            </w:r>
            <w:r w:rsidRPr="00AB5908">
              <w:rPr>
                <w:rFonts w:hint="eastAsia"/>
                <w:sz w:val="24"/>
              </w:rPr>
              <w:t>香港</w:t>
            </w:r>
            <w:r w:rsidRPr="00AB5908">
              <w:rPr>
                <w:rFonts w:hint="eastAsia"/>
                <w:sz w:val="24"/>
              </w:rPr>
              <w:t>)</w:t>
            </w:r>
            <w:r w:rsidRPr="00AB5908">
              <w:rPr>
                <w:rFonts w:hint="eastAsia"/>
                <w:sz w:val="24"/>
              </w:rPr>
              <w:t>、</w:t>
            </w:r>
            <w:proofErr w:type="gramStart"/>
            <w:r w:rsidRPr="00AB5908">
              <w:rPr>
                <w:rFonts w:hint="eastAsia"/>
                <w:sz w:val="24"/>
              </w:rPr>
              <w:t>广州宣牛私</w:t>
            </w:r>
            <w:proofErr w:type="gramEnd"/>
            <w:r w:rsidRPr="00AB5908">
              <w:rPr>
                <w:rFonts w:hint="eastAsia"/>
                <w:sz w:val="24"/>
              </w:rPr>
              <w:t>募证券投资基金、</w:t>
            </w:r>
            <w:proofErr w:type="gramStart"/>
            <w:r w:rsidRPr="00AB5908">
              <w:rPr>
                <w:rFonts w:hint="eastAsia"/>
                <w:sz w:val="24"/>
              </w:rPr>
              <w:t>太朴</w:t>
            </w:r>
            <w:proofErr w:type="gramEnd"/>
            <w:r w:rsidRPr="00AB5908">
              <w:rPr>
                <w:rFonts w:hint="eastAsia"/>
                <w:sz w:val="24"/>
              </w:rPr>
              <w:t>持信私募基金管理（珠海）</w:t>
            </w:r>
            <w:r w:rsidR="004823B0" w:rsidRPr="00330434">
              <w:rPr>
                <w:sz w:val="24"/>
              </w:rPr>
              <w:t>等</w:t>
            </w:r>
            <w:r>
              <w:rPr>
                <w:rFonts w:hint="eastAsia"/>
                <w:sz w:val="24"/>
              </w:rPr>
              <w:t>60</w:t>
            </w:r>
            <w:r w:rsidR="004823B0" w:rsidRPr="00330434">
              <w:rPr>
                <w:sz w:val="24"/>
              </w:rPr>
              <w:t>家机构</w:t>
            </w:r>
          </w:p>
        </w:tc>
      </w:tr>
      <w:tr w:rsidR="00330434" w:rsidRPr="00330434" w14:paraId="01A8B665" w14:textId="77777777">
        <w:trPr>
          <w:trHeight w:val="557"/>
          <w:jc w:val="center"/>
        </w:trPr>
        <w:tc>
          <w:tcPr>
            <w:tcW w:w="1980" w:type="dxa"/>
            <w:vAlign w:val="center"/>
          </w:tcPr>
          <w:p w14:paraId="2D66FE2C" w14:textId="77777777" w:rsidR="001E0224" w:rsidRPr="00330434" w:rsidRDefault="004823B0" w:rsidP="002A3F38">
            <w:pPr>
              <w:spacing w:beforeLines="50" w:before="156" w:afterLines="50" w:after="156" w:line="360" w:lineRule="auto"/>
              <w:jc w:val="left"/>
              <w:rPr>
                <w:b/>
                <w:bCs/>
                <w:iCs/>
                <w:sz w:val="24"/>
              </w:rPr>
            </w:pPr>
            <w:r w:rsidRPr="00330434">
              <w:rPr>
                <w:b/>
                <w:bCs/>
                <w:iCs/>
                <w:sz w:val="24"/>
              </w:rPr>
              <w:t>三、会议时间</w:t>
            </w:r>
          </w:p>
        </w:tc>
        <w:tc>
          <w:tcPr>
            <w:tcW w:w="7359" w:type="dxa"/>
            <w:vAlign w:val="center"/>
          </w:tcPr>
          <w:p w14:paraId="63319EDF" w14:textId="5D08191C" w:rsidR="001E0224" w:rsidRPr="00330434" w:rsidRDefault="004823B0">
            <w:pPr>
              <w:spacing w:beforeLines="50" w:before="156" w:afterLines="50" w:after="156" w:line="360" w:lineRule="auto"/>
              <w:jc w:val="left"/>
              <w:rPr>
                <w:bCs/>
                <w:iCs/>
                <w:sz w:val="24"/>
              </w:rPr>
            </w:pPr>
            <w:r w:rsidRPr="00330434">
              <w:rPr>
                <w:bCs/>
                <w:iCs/>
                <w:sz w:val="24"/>
              </w:rPr>
              <w:t>202</w:t>
            </w:r>
            <w:r w:rsidR="00BA1ECE">
              <w:rPr>
                <w:rFonts w:hint="eastAsia"/>
                <w:bCs/>
                <w:iCs/>
                <w:sz w:val="24"/>
              </w:rPr>
              <w:t>5</w:t>
            </w:r>
            <w:r w:rsidRPr="00330434">
              <w:rPr>
                <w:bCs/>
                <w:iCs/>
                <w:sz w:val="24"/>
              </w:rPr>
              <w:t>年</w:t>
            </w:r>
            <w:r w:rsidRPr="00330434">
              <w:rPr>
                <w:bCs/>
                <w:iCs/>
                <w:sz w:val="24"/>
              </w:rPr>
              <w:t>4</w:t>
            </w:r>
            <w:r w:rsidRPr="00330434">
              <w:rPr>
                <w:bCs/>
                <w:iCs/>
                <w:sz w:val="24"/>
              </w:rPr>
              <w:t>月</w:t>
            </w:r>
            <w:r w:rsidR="00BA1ECE">
              <w:rPr>
                <w:rFonts w:hint="eastAsia"/>
                <w:bCs/>
                <w:iCs/>
                <w:sz w:val="24"/>
              </w:rPr>
              <w:t>11</w:t>
            </w:r>
            <w:r w:rsidRPr="00330434">
              <w:rPr>
                <w:bCs/>
                <w:iCs/>
                <w:sz w:val="24"/>
              </w:rPr>
              <w:t>日</w:t>
            </w:r>
          </w:p>
        </w:tc>
      </w:tr>
      <w:tr w:rsidR="00330434" w:rsidRPr="00330434" w14:paraId="29892C8D" w14:textId="77777777">
        <w:trPr>
          <w:trHeight w:val="478"/>
          <w:jc w:val="center"/>
        </w:trPr>
        <w:tc>
          <w:tcPr>
            <w:tcW w:w="1980" w:type="dxa"/>
            <w:vAlign w:val="center"/>
          </w:tcPr>
          <w:p w14:paraId="4069EAF4" w14:textId="77777777" w:rsidR="001E0224" w:rsidRPr="00330434" w:rsidRDefault="004823B0" w:rsidP="002A3F38">
            <w:pPr>
              <w:spacing w:beforeLines="50" w:before="156" w:afterLines="50" w:after="156" w:line="360" w:lineRule="auto"/>
              <w:jc w:val="left"/>
              <w:rPr>
                <w:b/>
                <w:bCs/>
                <w:iCs/>
                <w:sz w:val="24"/>
              </w:rPr>
            </w:pPr>
            <w:r w:rsidRPr="00330434">
              <w:rPr>
                <w:b/>
                <w:bCs/>
                <w:iCs/>
                <w:sz w:val="24"/>
              </w:rPr>
              <w:t>四、会议地点</w:t>
            </w:r>
          </w:p>
        </w:tc>
        <w:tc>
          <w:tcPr>
            <w:tcW w:w="7359" w:type="dxa"/>
            <w:vAlign w:val="center"/>
          </w:tcPr>
          <w:p w14:paraId="3A675734" w14:textId="77777777" w:rsidR="001E0224" w:rsidRPr="00330434" w:rsidRDefault="004823B0">
            <w:pPr>
              <w:spacing w:beforeLines="50" w:before="156" w:afterLines="50" w:after="156" w:line="360" w:lineRule="auto"/>
              <w:jc w:val="left"/>
              <w:rPr>
                <w:bCs/>
                <w:iCs/>
                <w:sz w:val="24"/>
              </w:rPr>
            </w:pPr>
            <w:r w:rsidRPr="00330434">
              <w:rPr>
                <w:bCs/>
                <w:iCs/>
                <w:sz w:val="24"/>
              </w:rPr>
              <w:t>公司会议室</w:t>
            </w:r>
          </w:p>
        </w:tc>
      </w:tr>
      <w:tr w:rsidR="00330434" w:rsidRPr="00330434" w14:paraId="5E765E58" w14:textId="77777777">
        <w:trPr>
          <w:trHeight w:val="869"/>
          <w:jc w:val="center"/>
        </w:trPr>
        <w:tc>
          <w:tcPr>
            <w:tcW w:w="1980" w:type="dxa"/>
            <w:vAlign w:val="center"/>
          </w:tcPr>
          <w:p w14:paraId="0E7EDBB7" w14:textId="77777777" w:rsidR="001E0224" w:rsidRPr="00330434" w:rsidRDefault="004823B0" w:rsidP="002A3F38">
            <w:pPr>
              <w:spacing w:beforeLines="50" w:before="156" w:afterLines="50" w:after="156" w:line="360" w:lineRule="auto"/>
              <w:jc w:val="left"/>
              <w:rPr>
                <w:b/>
                <w:bCs/>
                <w:iCs/>
                <w:sz w:val="24"/>
              </w:rPr>
            </w:pPr>
            <w:r w:rsidRPr="00330434">
              <w:rPr>
                <w:b/>
                <w:bCs/>
                <w:iCs/>
                <w:sz w:val="24"/>
              </w:rPr>
              <w:t>五、接待人员</w:t>
            </w:r>
          </w:p>
        </w:tc>
        <w:tc>
          <w:tcPr>
            <w:tcW w:w="7359" w:type="dxa"/>
            <w:vAlign w:val="center"/>
          </w:tcPr>
          <w:p w14:paraId="33BFC1B0" w14:textId="7BC8CA61" w:rsidR="001E0224" w:rsidRPr="00330434" w:rsidRDefault="00BA1ECE">
            <w:pPr>
              <w:spacing w:beforeLines="50" w:before="156" w:afterLines="50" w:after="156" w:line="360" w:lineRule="auto"/>
              <w:jc w:val="left"/>
              <w:rPr>
                <w:bCs/>
                <w:iCs/>
                <w:sz w:val="24"/>
              </w:rPr>
            </w:pPr>
            <w:r>
              <w:rPr>
                <w:rFonts w:hint="eastAsia"/>
                <w:bCs/>
                <w:iCs/>
                <w:sz w:val="24"/>
              </w:rPr>
              <w:t>董事、总裁梅义将；</w:t>
            </w:r>
            <w:r w:rsidR="004823B0" w:rsidRPr="00330434">
              <w:rPr>
                <w:bCs/>
                <w:iCs/>
                <w:sz w:val="24"/>
              </w:rPr>
              <w:t>董事、</w:t>
            </w:r>
            <w:r>
              <w:rPr>
                <w:rFonts w:hint="eastAsia"/>
                <w:bCs/>
                <w:iCs/>
                <w:sz w:val="24"/>
              </w:rPr>
              <w:t>执行</w:t>
            </w:r>
            <w:r w:rsidR="002A3F38">
              <w:rPr>
                <w:rFonts w:hint="eastAsia"/>
                <w:bCs/>
                <w:iCs/>
                <w:sz w:val="24"/>
              </w:rPr>
              <w:t>副总裁、</w:t>
            </w:r>
            <w:proofErr w:type="gramStart"/>
            <w:r w:rsidR="004823B0" w:rsidRPr="00330434">
              <w:rPr>
                <w:bCs/>
                <w:iCs/>
                <w:sz w:val="24"/>
              </w:rPr>
              <w:t>董秘林辉潞</w:t>
            </w:r>
            <w:proofErr w:type="gramEnd"/>
            <w:r w:rsidR="004823B0" w:rsidRPr="00330434">
              <w:rPr>
                <w:bCs/>
                <w:iCs/>
                <w:sz w:val="24"/>
              </w:rPr>
              <w:t>；</w:t>
            </w:r>
            <w:r w:rsidR="004823B0" w:rsidRPr="00330434">
              <w:rPr>
                <w:bCs/>
                <w:iCs/>
                <w:sz w:val="24"/>
              </w:rPr>
              <w:t>IR</w:t>
            </w:r>
            <w:r w:rsidR="004823B0" w:rsidRPr="00330434">
              <w:rPr>
                <w:bCs/>
                <w:iCs/>
                <w:sz w:val="24"/>
              </w:rPr>
              <w:t>总监陈剑辉</w:t>
            </w:r>
          </w:p>
        </w:tc>
      </w:tr>
      <w:tr w:rsidR="001E0224" w:rsidRPr="00330434" w14:paraId="6AF4031C" w14:textId="77777777" w:rsidTr="009057FD">
        <w:trPr>
          <w:trHeight w:val="2687"/>
          <w:jc w:val="center"/>
        </w:trPr>
        <w:tc>
          <w:tcPr>
            <w:tcW w:w="9339" w:type="dxa"/>
            <w:gridSpan w:val="2"/>
            <w:vAlign w:val="center"/>
          </w:tcPr>
          <w:p w14:paraId="7E0E34E6" w14:textId="77777777" w:rsidR="001E0224" w:rsidRPr="00330434" w:rsidRDefault="004823B0">
            <w:pPr>
              <w:spacing w:beforeLines="50" w:before="156" w:afterLines="50" w:after="156" w:line="360" w:lineRule="auto"/>
              <w:ind w:firstLineChars="200" w:firstLine="482"/>
              <w:rPr>
                <w:b/>
                <w:sz w:val="24"/>
              </w:rPr>
            </w:pPr>
            <w:r w:rsidRPr="00330434">
              <w:rPr>
                <w:b/>
                <w:sz w:val="24"/>
              </w:rPr>
              <w:lastRenderedPageBreak/>
              <w:t>一、机构提问与交流情况</w:t>
            </w:r>
          </w:p>
          <w:p w14:paraId="02106115" w14:textId="5384102D" w:rsidR="001E0224" w:rsidRPr="00330434" w:rsidRDefault="004823B0">
            <w:pPr>
              <w:spacing w:beforeLines="50" w:before="156" w:afterLines="50" w:after="156" w:line="360" w:lineRule="auto"/>
              <w:ind w:firstLineChars="200" w:firstLine="482"/>
              <w:rPr>
                <w:sz w:val="24"/>
              </w:rPr>
            </w:pPr>
            <w:r w:rsidRPr="00330434">
              <w:rPr>
                <w:b/>
                <w:sz w:val="24"/>
              </w:rPr>
              <w:t>问题一、</w:t>
            </w:r>
            <w:r w:rsidR="00BA1ECE" w:rsidRPr="00BA1ECE">
              <w:rPr>
                <w:rFonts w:hint="eastAsia"/>
                <w:b/>
                <w:sz w:val="24"/>
              </w:rPr>
              <w:t>印度暂停</w:t>
            </w:r>
            <w:r w:rsidR="00BA1ECE" w:rsidRPr="00BA1ECE">
              <w:rPr>
                <w:rFonts w:hint="eastAsia"/>
                <w:b/>
                <w:sz w:val="24"/>
              </w:rPr>
              <w:t>PLI</w:t>
            </w:r>
            <w:r w:rsidR="00BA1ECE" w:rsidRPr="00BA1ECE">
              <w:rPr>
                <w:rFonts w:hint="eastAsia"/>
                <w:b/>
                <w:sz w:val="24"/>
              </w:rPr>
              <w:t>计划，在原料药端是否有看到一些价格的变化？如何展望之后的走势？</w:t>
            </w:r>
          </w:p>
          <w:p w14:paraId="49690A1E" w14:textId="0C81A7FB" w:rsidR="001E0224" w:rsidRPr="00330434" w:rsidRDefault="004823B0">
            <w:pPr>
              <w:spacing w:beforeLines="50" w:before="156" w:afterLines="50" w:after="156" w:line="360" w:lineRule="auto"/>
              <w:ind w:firstLineChars="200" w:firstLine="480"/>
              <w:rPr>
                <w:sz w:val="24"/>
              </w:rPr>
            </w:pPr>
            <w:r w:rsidRPr="00330434">
              <w:rPr>
                <w:sz w:val="24"/>
              </w:rPr>
              <w:t>答：</w:t>
            </w:r>
            <w:r w:rsidR="00BA1ECE" w:rsidRPr="00BA1ECE">
              <w:rPr>
                <w:rFonts w:hint="eastAsia"/>
                <w:sz w:val="24"/>
              </w:rPr>
              <w:t>2020</w:t>
            </w:r>
            <w:r w:rsidR="00BA1ECE" w:rsidRPr="00BA1ECE">
              <w:rPr>
                <w:rFonts w:hint="eastAsia"/>
                <w:sz w:val="24"/>
              </w:rPr>
              <w:t>年，印度政府通过</w:t>
            </w:r>
            <w:r w:rsidR="00BA1ECE" w:rsidRPr="00BA1ECE">
              <w:rPr>
                <w:rFonts w:hint="eastAsia"/>
                <w:sz w:val="24"/>
              </w:rPr>
              <w:t>PLI</w:t>
            </w:r>
            <w:r w:rsidR="00BA1ECE" w:rsidRPr="00BA1ECE">
              <w:rPr>
                <w:rFonts w:hint="eastAsia"/>
                <w:sz w:val="24"/>
              </w:rPr>
              <w:t>计划（生产挂钩激励计划）加强其在全球中间体</w:t>
            </w:r>
            <w:r w:rsidR="00BA1ECE" w:rsidRPr="00BA1ECE">
              <w:rPr>
                <w:rFonts w:hint="eastAsia"/>
                <w:sz w:val="24"/>
              </w:rPr>
              <w:t>/</w:t>
            </w:r>
            <w:r w:rsidR="00BA1ECE" w:rsidRPr="00BA1ECE">
              <w:rPr>
                <w:rFonts w:hint="eastAsia"/>
                <w:sz w:val="24"/>
              </w:rPr>
              <w:t>原料药相关产业链的地位，近期印度政府暂停总规模</w:t>
            </w:r>
            <w:r w:rsidR="00BA1ECE" w:rsidRPr="00BA1ECE">
              <w:rPr>
                <w:rFonts w:hint="eastAsia"/>
                <w:sz w:val="24"/>
              </w:rPr>
              <w:t>230</w:t>
            </w:r>
            <w:r w:rsidR="00BA1ECE" w:rsidRPr="00BA1ECE">
              <w:rPr>
                <w:rFonts w:hint="eastAsia"/>
                <w:sz w:val="24"/>
              </w:rPr>
              <w:t>亿美元的“生产挂钩激励计划”（“</w:t>
            </w:r>
            <w:r w:rsidR="00BA1ECE" w:rsidRPr="00BA1ECE">
              <w:rPr>
                <w:rFonts w:hint="eastAsia"/>
                <w:sz w:val="24"/>
              </w:rPr>
              <w:t>PLI</w:t>
            </w:r>
            <w:r w:rsidR="00BA1ECE" w:rsidRPr="00BA1ECE">
              <w:rPr>
                <w:rFonts w:hint="eastAsia"/>
                <w:sz w:val="24"/>
              </w:rPr>
              <w:t>计划”），原因是因执行效率低下、目标完成率不足，这对其他国家的原料药生产企业来说是积极的。当然，原料药价格影响波动不只是受印度</w:t>
            </w:r>
            <w:r w:rsidR="00BA1ECE" w:rsidRPr="00BA1ECE">
              <w:rPr>
                <w:rFonts w:hint="eastAsia"/>
                <w:sz w:val="24"/>
              </w:rPr>
              <w:t>PLI</w:t>
            </w:r>
            <w:r w:rsidR="00BA1ECE" w:rsidRPr="00BA1ECE">
              <w:rPr>
                <w:rFonts w:hint="eastAsia"/>
                <w:sz w:val="24"/>
              </w:rPr>
              <w:t>影响这么简单。近年来，国内医药行业发展很快，随之带来的大量产能过剩，明显制约行业的高质量发展，尤其前两年受后疫情带来的高库存影响，对行业影响很大。从目前情况来看，高库存影响逐渐减少，加之这两年医药企业不断通过产品结构性调整和降本增效等措施提高产品竞争力，产品价格逐步企稳，特别是一些原料药制剂一体化品种丰富的同行，原料药生产从起始物料开始到</w:t>
            </w:r>
            <w:proofErr w:type="gramStart"/>
            <w:r w:rsidR="00BA1ECE" w:rsidRPr="00BA1ECE">
              <w:rPr>
                <w:rFonts w:hint="eastAsia"/>
                <w:sz w:val="24"/>
              </w:rPr>
              <w:t>原料药端全流程</w:t>
            </w:r>
            <w:proofErr w:type="gramEnd"/>
            <w:r w:rsidR="00BA1ECE" w:rsidRPr="00BA1ECE">
              <w:rPr>
                <w:rFonts w:hint="eastAsia"/>
                <w:sz w:val="24"/>
              </w:rPr>
              <w:t>生产的，成本优势非常明显，市场话语权也强，未来，我认为类似大企业强企业会越来越多，强者恒强，原料药行业还是大有可为的。讲下公司的原料药业务，</w:t>
            </w:r>
            <w:r w:rsidR="00BA1ECE" w:rsidRPr="00BA1ECE">
              <w:rPr>
                <w:rFonts w:hint="eastAsia"/>
                <w:sz w:val="24"/>
              </w:rPr>
              <w:t>2024</w:t>
            </w:r>
            <w:r w:rsidR="00BA1ECE" w:rsidRPr="00BA1ECE">
              <w:rPr>
                <w:rFonts w:hint="eastAsia"/>
                <w:sz w:val="24"/>
              </w:rPr>
              <w:t>年，我们也离不开大环境的影响，原料药业务没有达到年初预期，</w:t>
            </w:r>
            <w:proofErr w:type="gramStart"/>
            <w:r w:rsidR="00BA1ECE" w:rsidRPr="00BA1ECE">
              <w:rPr>
                <w:rFonts w:hint="eastAsia"/>
                <w:sz w:val="24"/>
              </w:rPr>
              <w:t>主要受抗感染</w:t>
            </w:r>
            <w:proofErr w:type="gramEnd"/>
            <w:r w:rsidR="00BA1ECE" w:rsidRPr="00BA1ECE">
              <w:rPr>
                <w:rFonts w:hint="eastAsia"/>
                <w:sz w:val="24"/>
              </w:rPr>
              <w:t>类业务市场价格持续低迷，中枢神经类产品市场波动影响造成</w:t>
            </w:r>
            <w:r w:rsidR="005C1B96">
              <w:rPr>
                <w:rFonts w:hint="eastAsia"/>
                <w:sz w:val="24"/>
              </w:rPr>
              <w:t>，</w:t>
            </w:r>
            <w:r w:rsidR="005C1B96" w:rsidRPr="005C1B96">
              <w:rPr>
                <w:rFonts w:hint="eastAsia"/>
                <w:sz w:val="24"/>
              </w:rPr>
              <w:t>预计价格将逐步企稳</w:t>
            </w:r>
            <w:r w:rsidR="00BA1ECE" w:rsidRPr="00BA1ECE">
              <w:rPr>
                <w:rFonts w:hint="eastAsia"/>
                <w:sz w:val="24"/>
              </w:rPr>
              <w:t>。</w:t>
            </w:r>
          </w:p>
          <w:p w14:paraId="5DB5F02C" w14:textId="488E308C" w:rsidR="001E0224" w:rsidRPr="00330434" w:rsidRDefault="004823B0">
            <w:pPr>
              <w:spacing w:beforeLines="50" w:before="156" w:afterLines="50" w:after="156" w:line="360" w:lineRule="auto"/>
              <w:ind w:firstLineChars="200" w:firstLine="482"/>
              <w:rPr>
                <w:b/>
                <w:sz w:val="24"/>
              </w:rPr>
            </w:pPr>
            <w:r w:rsidRPr="00330434">
              <w:rPr>
                <w:b/>
                <w:sz w:val="24"/>
              </w:rPr>
              <w:t>问题二、</w:t>
            </w:r>
            <w:r w:rsidR="00BA1ECE" w:rsidRPr="00BA1ECE">
              <w:rPr>
                <w:rFonts w:hint="eastAsia"/>
                <w:b/>
                <w:sz w:val="24"/>
              </w:rPr>
              <w:t>2024</w:t>
            </w:r>
            <w:r w:rsidR="00BA1ECE" w:rsidRPr="00BA1ECE">
              <w:rPr>
                <w:rFonts w:hint="eastAsia"/>
                <w:b/>
                <w:sz w:val="24"/>
              </w:rPr>
              <w:t>年</w:t>
            </w:r>
            <w:r w:rsidR="00BA1ECE" w:rsidRPr="00BA1ECE">
              <w:rPr>
                <w:rFonts w:hint="eastAsia"/>
                <w:b/>
                <w:sz w:val="24"/>
              </w:rPr>
              <w:t>CDMO</w:t>
            </w:r>
            <w:r w:rsidR="00BA1ECE" w:rsidRPr="00BA1ECE">
              <w:rPr>
                <w:rFonts w:hint="eastAsia"/>
                <w:b/>
                <w:sz w:val="24"/>
              </w:rPr>
              <w:t>板块新签订单情况以及</w:t>
            </w:r>
            <w:r w:rsidR="00BA1ECE" w:rsidRPr="00BA1ECE">
              <w:rPr>
                <w:rFonts w:hint="eastAsia"/>
                <w:b/>
                <w:sz w:val="24"/>
              </w:rPr>
              <w:t>Q1</w:t>
            </w:r>
            <w:r w:rsidR="00BA1ECE" w:rsidRPr="00BA1ECE">
              <w:rPr>
                <w:rFonts w:hint="eastAsia"/>
                <w:b/>
                <w:sz w:val="24"/>
              </w:rPr>
              <w:t>的趋势？</w:t>
            </w:r>
          </w:p>
          <w:p w14:paraId="27CBBF92" w14:textId="4EBC9967" w:rsidR="001E0224" w:rsidRPr="00330434" w:rsidRDefault="004823B0" w:rsidP="002A3F38">
            <w:pPr>
              <w:spacing w:line="360" w:lineRule="auto"/>
              <w:ind w:firstLineChars="200" w:firstLine="480"/>
              <w:rPr>
                <w:sz w:val="24"/>
              </w:rPr>
            </w:pPr>
            <w:r w:rsidRPr="00330434">
              <w:rPr>
                <w:sz w:val="24"/>
              </w:rPr>
              <w:t>答：</w:t>
            </w:r>
            <w:r w:rsidR="00BA1ECE" w:rsidRPr="00BA1ECE">
              <w:rPr>
                <w:rFonts w:hint="eastAsia"/>
                <w:sz w:val="24"/>
                <w:szCs w:val="28"/>
              </w:rPr>
              <w:t>2024</w:t>
            </w:r>
            <w:r w:rsidR="00BA1ECE" w:rsidRPr="00BA1ECE">
              <w:rPr>
                <w:rFonts w:hint="eastAsia"/>
                <w:sz w:val="24"/>
                <w:szCs w:val="28"/>
              </w:rPr>
              <w:t>年新增</w:t>
            </w:r>
            <w:r w:rsidR="00BA1ECE" w:rsidRPr="00BA1ECE">
              <w:rPr>
                <w:rFonts w:hint="eastAsia"/>
                <w:sz w:val="24"/>
                <w:szCs w:val="28"/>
              </w:rPr>
              <w:t>CDMO</w:t>
            </w:r>
            <w:r w:rsidR="00BA1ECE" w:rsidRPr="00BA1ECE">
              <w:rPr>
                <w:rFonts w:hint="eastAsia"/>
                <w:sz w:val="24"/>
                <w:szCs w:val="28"/>
              </w:rPr>
              <w:t>项目数同比增长</w:t>
            </w:r>
            <w:r w:rsidR="00BA1ECE" w:rsidRPr="00BA1ECE">
              <w:rPr>
                <w:rFonts w:hint="eastAsia"/>
                <w:sz w:val="24"/>
                <w:szCs w:val="28"/>
              </w:rPr>
              <w:t>15%</w:t>
            </w:r>
            <w:r w:rsidR="00BA1ECE" w:rsidRPr="00BA1ECE">
              <w:rPr>
                <w:rFonts w:hint="eastAsia"/>
                <w:sz w:val="24"/>
                <w:szCs w:val="28"/>
              </w:rPr>
              <w:t>，合同金额增长</w:t>
            </w:r>
            <w:r w:rsidR="00BA1ECE" w:rsidRPr="00BA1ECE">
              <w:rPr>
                <w:rFonts w:hint="eastAsia"/>
                <w:sz w:val="24"/>
                <w:szCs w:val="28"/>
              </w:rPr>
              <w:t>20%</w:t>
            </w:r>
            <w:r w:rsidR="00BA1ECE" w:rsidRPr="00BA1ECE">
              <w:rPr>
                <w:rFonts w:hint="eastAsia"/>
                <w:sz w:val="24"/>
                <w:szCs w:val="28"/>
              </w:rPr>
              <w:t>左右，海外订单占比接近</w:t>
            </w:r>
            <w:r w:rsidR="00BA1ECE" w:rsidRPr="00BA1ECE">
              <w:rPr>
                <w:rFonts w:hint="eastAsia"/>
                <w:sz w:val="24"/>
                <w:szCs w:val="28"/>
              </w:rPr>
              <w:t>80%</w:t>
            </w:r>
            <w:r w:rsidR="00BA1ECE" w:rsidRPr="00BA1ECE">
              <w:rPr>
                <w:rFonts w:hint="eastAsia"/>
                <w:sz w:val="24"/>
                <w:szCs w:val="28"/>
              </w:rPr>
              <w:t>，日</w:t>
            </w:r>
            <w:proofErr w:type="gramStart"/>
            <w:r w:rsidR="00BA1ECE" w:rsidRPr="00BA1ECE">
              <w:rPr>
                <w:rFonts w:hint="eastAsia"/>
                <w:sz w:val="24"/>
                <w:szCs w:val="28"/>
              </w:rPr>
              <w:t>韩市场</w:t>
            </w:r>
            <w:proofErr w:type="gramEnd"/>
            <w:r w:rsidR="00BA1ECE" w:rsidRPr="00BA1ECE">
              <w:rPr>
                <w:rFonts w:hint="eastAsia"/>
                <w:sz w:val="24"/>
                <w:szCs w:val="28"/>
              </w:rPr>
              <w:t>表现突出，临床后期及商业化项目占比稳步提升。一季度项目数保持稳健增长，处于</w:t>
            </w:r>
            <w:r w:rsidR="00BA1ECE" w:rsidRPr="00BA1ECE">
              <w:rPr>
                <w:rFonts w:hint="eastAsia"/>
                <w:sz w:val="24"/>
                <w:szCs w:val="28"/>
              </w:rPr>
              <w:t>NDA</w:t>
            </w:r>
            <w:r w:rsidR="00BA1ECE" w:rsidRPr="00BA1ECE">
              <w:rPr>
                <w:rFonts w:hint="eastAsia"/>
                <w:sz w:val="24"/>
                <w:szCs w:val="28"/>
              </w:rPr>
              <w:t>阶段项目增速较快，为未来商业化放量奠定基础。</w:t>
            </w:r>
          </w:p>
          <w:p w14:paraId="4E8119FB" w14:textId="1CA5CBA4" w:rsidR="001E0224" w:rsidRPr="00330434" w:rsidRDefault="004823B0">
            <w:pPr>
              <w:spacing w:beforeLines="50" w:before="156" w:afterLines="50" w:after="156" w:line="360" w:lineRule="auto"/>
              <w:ind w:firstLineChars="200" w:firstLine="482"/>
              <w:rPr>
                <w:b/>
                <w:sz w:val="24"/>
              </w:rPr>
            </w:pPr>
            <w:r w:rsidRPr="00330434">
              <w:rPr>
                <w:b/>
                <w:sz w:val="24"/>
              </w:rPr>
              <w:t>问题三、</w:t>
            </w:r>
            <w:r w:rsidR="00BA1ECE" w:rsidRPr="00BA1ECE">
              <w:rPr>
                <w:rFonts w:hint="eastAsia"/>
                <w:b/>
                <w:sz w:val="24"/>
              </w:rPr>
              <w:t>CDMO</w:t>
            </w:r>
            <w:r w:rsidR="00BA1ECE" w:rsidRPr="00BA1ECE">
              <w:rPr>
                <w:rFonts w:hint="eastAsia"/>
                <w:b/>
                <w:sz w:val="24"/>
              </w:rPr>
              <w:t>重点国内外客户收入占比，订单价格差异</w:t>
            </w:r>
            <w:r w:rsidR="00BA1ECE">
              <w:rPr>
                <w:rFonts w:hint="eastAsia"/>
                <w:b/>
                <w:sz w:val="24"/>
              </w:rPr>
              <w:t>？</w:t>
            </w:r>
            <w:r w:rsidR="00D71BBF" w:rsidRPr="00BA1ECE">
              <w:rPr>
                <w:rFonts w:hint="eastAsia"/>
                <w:b/>
                <w:sz w:val="24"/>
              </w:rPr>
              <w:t>关税对公司现有业务的影响？</w:t>
            </w:r>
          </w:p>
          <w:p w14:paraId="49CE9923" w14:textId="7F3AD164" w:rsidR="001E0224" w:rsidRPr="00330434" w:rsidRDefault="002A3F38" w:rsidP="00BA1ECE">
            <w:pPr>
              <w:spacing w:beforeLines="50" w:before="156" w:afterLines="50" w:after="156" w:line="360" w:lineRule="auto"/>
              <w:ind w:firstLineChars="200" w:firstLine="480"/>
              <w:rPr>
                <w:sz w:val="24"/>
              </w:rPr>
            </w:pPr>
            <w:r>
              <w:rPr>
                <w:rFonts w:hint="eastAsia"/>
                <w:sz w:val="24"/>
              </w:rPr>
              <w:t>答：</w:t>
            </w:r>
            <w:r w:rsidR="00BA1ECE" w:rsidRPr="00BA1ECE">
              <w:rPr>
                <w:rFonts w:hint="eastAsia"/>
                <w:sz w:val="24"/>
              </w:rPr>
              <w:t>2024</w:t>
            </w:r>
            <w:r w:rsidR="00BA1ECE" w:rsidRPr="00BA1ECE">
              <w:rPr>
                <w:rFonts w:hint="eastAsia"/>
                <w:sz w:val="24"/>
              </w:rPr>
              <w:t>年</w:t>
            </w:r>
            <w:r w:rsidR="00BA1ECE" w:rsidRPr="00BA1ECE">
              <w:rPr>
                <w:rFonts w:hint="eastAsia"/>
                <w:sz w:val="24"/>
              </w:rPr>
              <w:t>CDMO</w:t>
            </w:r>
            <w:r w:rsidR="00BA1ECE" w:rsidRPr="00BA1ECE">
              <w:rPr>
                <w:rFonts w:hint="eastAsia"/>
                <w:sz w:val="24"/>
              </w:rPr>
              <w:t>业务收入接近</w:t>
            </w:r>
            <w:r w:rsidR="00BA1ECE" w:rsidRPr="00BA1ECE">
              <w:rPr>
                <w:rFonts w:hint="eastAsia"/>
                <w:sz w:val="24"/>
              </w:rPr>
              <w:t>39</w:t>
            </w:r>
            <w:r w:rsidR="00BA1ECE" w:rsidRPr="00BA1ECE">
              <w:rPr>
                <w:rFonts w:hint="eastAsia"/>
                <w:sz w:val="24"/>
              </w:rPr>
              <w:t>亿元，其中，国外占比接近</w:t>
            </w:r>
            <w:r w:rsidR="00BA1ECE" w:rsidRPr="00BA1ECE">
              <w:rPr>
                <w:rFonts w:hint="eastAsia"/>
                <w:sz w:val="24"/>
              </w:rPr>
              <w:t>80%</w:t>
            </w:r>
            <w:r w:rsidR="00BA1ECE" w:rsidRPr="00BA1ECE">
              <w:rPr>
                <w:rFonts w:hint="eastAsia"/>
                <w:sz w:val="24"/>
              </w:rPr>
              <w:t>，主要以欧洲客户为主，美国占比</w:t>
            </w:r>
            <w:r w:rsidR="00960DF7">
              <w:rPr>
                <w:rFonts w:hint="eastAsia"/>
                <w:sz w:val="24"/>
              </w:rPr>
              <w:t>非常</w:t>
            </w:r>
            <w:r w:rsidR="00BA1ECE" w:rsidRPr="00BA1ECE">
              <w:rPr>
                <w:rFonts w:hint="eastAsia"/>
                <w:sz w:val="24"/>
              </w:rPr>
              <w:t>低，在</w:t>
            </w:r>
            <w:r w:rsidR="00BA1ECE" w:rsidRPr="00BA1ECE">
              <w:rPr>
                <w:rFonts w:hint="eastAsia"/>
                <w:sz w:val="24"/>
              </w:rPr>
              <w:t>2%</w:t>
            </w:r>
            <w:r w:rsidR="00BA1ECE" w:rsidRPr="00BA1ECE">
              <w:rPr>
                <w:rFonts w:hint="eastAsia"/>
                <w:sz w:val="24"/>
              </w:rPr>
              <w:t>左右</w:t>
            </w:r>
            <w:r w:rsidR="00D71BBF">
              <w:rPr>
                <w:rFonts w:hint="eastAsia"/>
                <w:sz w:val="24"/>
              </w:rPr>
              <w:t>，</w:t>
            </w:r>
            <w:r w:rsidR="00D71BBF" w:rsidRPr="00BA1ECE">
              <w:rPr>
                <w:rFonts w:hint="eastAsia"/>
                <w:sz w:val="24"/>
              </w:rPr>
              <w:t>现有的关税政策对我们没有什么影响。</w:t>
            </w:r>
            <w:r w:rsidR="00BA1ECE" w:rsidRPr="00BA1ECE">
              <w:rPr>
                <w:rFonts w:hint="eastAsia"/>
                <w:sz w:val="24"/>
              </w:rPr>
              <w:t>国外客户以海外</w:t>
            </w:r>
            <w:proofErr w:type="gramStart"/>
            <w:r w:rsidR="00BA1ECE" w:rsidRPr="00BA1ECE">
              <w:rPr>
                <w:rFonts w:hint="eastAsia"/>
                <w:sz w:val="24"/>
              </w:rPr>
              <w:t>大药企为主</w:t>
            </w:r>
            <w:proofErr w:type="gramEnd"/>
            <w:r w:rsidR="00BA1ECE" w:rsidRPr="00BA1ECE">
              <w:rPr>
                <w:rFonts w:hint="eastAsia"/>
                <w:sz w:val="24"/>
              </w:rPr>
              <w:t>；国内客户以头部创新药为主，商业化品种占比高。海外订单价格相对稳定。</w:t>
            </w:r>
          </w:p>
          <w:p w14:paraId="16B77B34" w14:textId="3549AD1B" w:rsidR="001E0224" w:rsidRPr="00330434" w:rsidRDefault="004823B0">
            <w:pPr>
              <w:spacing w:beforeLines="50" w:before="156" w:afterLines="50" w:after="156" w:line="360" w:lineRule="auto"/>
              <w:ind w:firstLineChars="200" w:firstLine="482"/>
              <w:rPr>
                <w:sz w:val="24"/>
              </w:rPr>
            </w:pPr>
            <w:r w:rsidRPr="00330434">
              <w:rPr>
                <w:b/>
                <w:sz w:val="24"/>
              </w:rPr>
              <w:lastRenderedPageBreak/>
              <w:t>问题</w:t>
            </w:r>
            <w:r w:rsidR="00D71BBF">
              <w:rPr>
                <w:rFonts w:hint="eastAsia"/>
                <w:b/>
                <w:sz w:val="24"/>
              </w:rPr>
              <w:t>四</w:t>
            </w:r>
            <w:r w:rsidRPr="00330434">
              <w:rPr>
                <w:b/>
                <w:sz w:val="24"/>
              </w:rPr>
              <w:t>、</w:t>
            </w:r>
            <w:r w:rsidR="00BA1ECE" w:rsidRPr="00BA1ECE">
              <w:rPr>
                <w:rFonts w:hint="eastAsia"/>
                <w:b/>
                <w:sz w:val="24"/>
              </w:rPr>
              <w:t>今年不同类型原料药的价格趋势？</w:t>
            </w:r>
          </w:p>
          <w:p w14:paraId="17FE432C" w14:textId="4854E693" w:rsidR="001E0224" w:rsidRPr="00330434" w:rsidRDefault="004823B0">
            <w:pPr>
              <w:spacing w:line="360" w:lineRule="auto"/>
              <w:ind w:firstLineChars="200" w:firstLine="480"/>
              <w:rPr>
                <w:sz w:val="24"/>
              </w:rPr>
            </w:pPr>
            <w:r w:rsidRPr="00330434">
              <w:rPr>
                <w:sz w:val="24"/>
              </w:rPr>
              <w:t>答：</w:t>
            </w:r>
            <w:r w:rsidR="00BA1ECE">
              <w:rPr>
                <w:rFonts w:hint="eastAsia"/>
                <w:sz w:val="24"/>
              </w:rPr>
              <w:t>公司</w:t>
            </w:r>
            <w:r w:rsidR="00BA1ECE" w:rsidRPr="00BA1ECE">
              <w:rPr>
                <w:rFonts w:hint="eastAsia"/>
                <w:sz w:val="24"/>
              </w:rPr>
              <w:t>原料药品种中，受影响最大的抗感染产品，近两年价格持续走低，</w:t>
            </w:r>
            <w:r w:rsidR="005C1B96" w:rsidRPr="005C1B96">
              <w:rPr>
                <w:rFonts w:hint="eastAsia"/>
                <w:sz w:val="24"/>
              </w:rPr>
              <w:t>今年</w:t>
            </w:r>
            <w:r w:rsidR="00BA1ECE" w:rsidRPr="005C1B96">
              <w:rPr>
                <w:rFonts w:hint="eastAsia"/>
                <w:sz w:val="24"/>
              </w:rPr>
              <w:t>一季度价格</w:t>
            </w:r>
            <w:r w:rsidR="005C1B96" w:rsidRPr="005C1B96">
              <w:rPr>
                <w:rFonts w:hint="eastAsia"/>
                <w:sz w:val="24"/>
              </w:rPr>
              <w:t>逐步企稳</w:t>
            </w:r>
            <w:r w:rsidR="00BA1ECE" w:rsidRPr="00BA1ECE">
              <w:rPr>
                <w:rFonts w:hint="eastAsia"/>
                <w:sz w:val="24"/>
              </w:rPr>
              <w:t>。中枢神经产品是公司策略问题，销售量可观，但价格走低。其他品种都是</w:t>
            </w:r>
            <w:r w:rsidR="005C1B96" w:rsidRPr="005C1B96">
              <w:rPr>
                <w:rFonts w:hint="eastAsia"/>
                <w:sz w:val="24"/>
              </w:rPr>
              <w:t>逐步企稳</w:t>
            </w:r>
            <w:r w:rsidR="00BA1ECE" w:rsidRPr="00BA1ECE">
              <w:rPr>
                <w:rFonts w:hint="eastAsia"/>
                <w:sz w:val="24"/>
              </w:rPr>
              <w:t>的情况。</w:t>
            </w:r>
          </w:p>
          <w:p w14:paraId="1063BB31" w14:textId="0344202F" w:rsidR="001E0224" w:rsidRPr="00330434" w:rsidRDefault="004823B0">
            <w:pPr>
              <w:spacing w:beforeLines="50" w:before="156" w:afterLines="50" w:after="156" w:line="360" w:lineRule="auto"/>
              <w:ind w:firstLineChars="200" w:firstLine="482"/>
              <w:rPr>
                <w:sz w:val="24"/>
              </w:rPr>
            </w:pPr>
            <w:r w:rsidRPr="00330434">
              <w:rPr>
                <w:b/>
                <w:sz w:val="24"/>
              </w:rPr>
              <w:t>问题</w:t>
            </w:r>
            <w:r w:rsidR="00D71BBF">
              <w:rPr>
                <w:rFonts w:hint="eastAsia"/>
                <w:b/>
                <w:sz w:val="24"/>
              </w:rPr>
              <w:t>五</w:t>
            </w:r>
            <w:r w:rsidRPr="00330434">
              <w:rPr>
                <w:b/>
                <w:sz w:val="24"/>
              </w:rPr>
              <w:t>、</w:t>
            </w:r>
            <w:r w:rsidR="00BA1ECE" w:rsidRPr="00BA1ECE">
              <w:rPr>
                <w:b/>
                <w:sz w:val="24"/>
              </w:rPr>
              <w:t>CDMO</w:t>
            </w:r>
            <w:r w:rsidR="00BA1ECE" w:rsidRPr="00BA1ECE">
              <w:rPr>
                <w:rFonts w:hint="eastAsia"/>
                <w:b/>
                <w:sz w:val="24"/>
              </w:rPr>
              <w:t>毛利率如何展望？</w:t>
            </w:r>
          </w:p>
          <w:p w14:paraId="5D10EFDC" w14:textId="169641B3" w:rsidR="001E0224" w:rsidRPr="00330434" w:rsidRDefault="004823B0">
            <w:pPr>
              <w:spacing w:line="360" w:lineRule="auto"/>
              <w:ind w:firstLineChars="200" w:firstLine="480"/>
              <w:rPr>
                <w:sz w:val="24"/>
              </w:rPr>
            </w:pPr>
            <w:r w:rsidRPr="00330434">
              <w:rPr>
                <w:sz w:val="24"/>
              </w:rPr>
              <w:t>答：</w:t>
            </w:r>
            <w:r w:rsidR="00BA1ECE" w:rsidRPr="00BA1ECE">
              <w:rPr>
                <w:rFonts w:hint="eastAsia"/>
                <w:sz w:val="24"/>
              </w:rPr>
              <w:t>CDMO</w:t>
            </w:r>
            <w:r w:rsidR="00BA1ECE" w:rsidRPr="00BA1ECE">
              <w:rPr>
                <w:rFonts w:hint="eastAsia"/>
                <w:sz w:val="24"/>
              </w:rPr>
              <w:t>业务稳健发展，主要受宠</w:t>
            </w:r>
            <w:proofErr w:type="gramStart"/>
            <w:r w:rsidR="00BA1ECE" w:rsidRPr="00BA1ECE">
              <w:rPr>
                <w:rFonts w:hint="eastAsia"/>
                <w:sz w:val="24"/>
              </w:rPr>
              <w:t>物药业务</w:t>
            </w:r>
            <w:proofErr w:type="gramEnd"/>
            <w:r w:rsidR="00BA1ECE" w:rsidRPr="00BA1ECE">
              <w:rPr>
                <w:rFonts w:hint="eastAsia"/>
                <w:sz w:val="24"/>
              </w:rPr>
              <w:t>下滑影响，对</w:t>
            </w:r>
            <w:r w:rsidR="00BA1ECE" w:rsidRPr="00BA1ECE">
              <w:rPr>
                <w:rFonts w:hint="eastAsia"/>
                <w:sz w:val="24"/>
              </w:rPr>
              <w:t>CDMO</w:t>
            </w:r>
            <w:r w:rsidR="00BA1ECE" w:rsidRPr="00BA1ECE">
              <w:rPr>
                <w:rFonts w:hint="eastAsia"/>
                <w:sz w:val="24"/>
              </w:rPr>
              <w:t>业务的毛利率有负面影响。预计</w:t>
            </w:r>
            <w:r w:rsidR="00BA1ECE" w:rsidRPr="00BA1ECE">
              <w:rPr>
                <w:rFonts w:hint="eastAsia"/>
                <w:sz w:val="24"/>
              </w:rPr>
              <w:t>2025</w:t>
            </w:r>
            <w:r w:rsidR="00BA1ECE" w:rsidRPr="00BA1ECE">
              <w:rPr>
                <w:rFonts w:hint="eastAsia"/>
                <w:sz w:val="24"/>
              </w:rPr>
              <w:t>年</w:t>
            </w:r>
            <w:r w:rsidR="00BA1ECE" w:rsidRPr="00BA1ECE">
              <w:rPr>
                <w:rFonts w:hint="eastAsia"/>
                <w:sz w:val="24"/>
              </w:rPr>
              <w:t>CDMO</w:t>
            </w:r>
            <w:r w:rsidR="00BA1ECE" w:rsidRPr="00BA1ECE">
              <w:rPr>
                <w:rFonts w:hint="eastAsia"/>
                <w:sz w:val="24"/>
              </w:rPr>
              <w:t>毛利率会恢复到</w:t>
            </w:r>
            <w:r w:rsidR="00BA1ECE" w:rsidRPr="00BA1ECE">
              <w:rPr>
                <w:rFonts w:hint="eastAsia"/>
                <w:sz w:val="24"/>
              </w:rPr>
              <w:t>40%</w:t>
            </w:r>
            <w:r w:rsidR="00BA1ECE" w:rsidRPr="00BA1ECE">
              <w:rPr>
                <w:rFonts w:hint="eastAsia"/>
                <w:sz w:val="24"/>
              </w:rPr>
              <w:t>左右合理水平。</w:t>
            </w:r>
            <w:r w:rsidR="00D71C7E" w:rsidRPr="00D71BBF">
              <w:rPr>
                <w:rFonts w:hint="eastAsia"/>
                <w:sz w:val="24"/>
              </w:rPr>
              <w:t>宠物药</w:t>
            </w:r>
            <w:r w:rsidR="00D71C7E" w:rsidRPr="00D71BBF">
              <w:rPr>
                <w:rFonts w:hint="eastAsia"/>
                <w:sz w:val="24"/>
              </w:rPr>
              <w:t>CDMO</w:t>
            </w:r>
            <w:r w:rsidR="00D71C7E" w:rsidRPr="00D71BBF">
              <w:rPr>
                <w:rFonts w:hint="eastAsia"/>
                <w:sz w:val="24"/>
              </w:rPr>
              <w:t>受终端去库存影响，</w:t>
            </w:r>
            <w:r w:rsidR="00D71C7E" w:rsidRPr="00D71BBF">
              <w:rPr>
                <w:rFonts w:hint="eastAsia"/>
                <w:sz w:val="24"/>
              </w:rPr>
              <w:t>2024</w:t>
            </w:r>
            <w:r w:rsidR="00D71C7E" w:rsidRPr="00D71BBF">
              <w:rPr>
                <w:rFonts w:hint="eastAsia"/>
                <w:sz w:val="24"/>
              </w:rPr>
              <w:t>年收入承压，预计</w:t>
            </w:r>
            <w:r w:rsidR="00D71C7E" w:rsidRPr="00D71BBF">
              <w:rPr>
                <w:rFonts w:hint="eastAsia"/>
                <w:sz w:val="24"/>
              </w:rPr>
              <w:t>2025</w:t>
            </w:r>
            <w:r w:rsidR="00D71C7E" w:rsidRPr="00D71BBF">
              <w:rPr>
                <w:rFonts w:hint="eastAsia"/>
                <w:sz w:val="24"/>
              </w:rPr>
              <w:t>年宠物</w:t>
            </w:r>
            <w:proofErr w:type="gramStart"/>
            <w:r w:rsidR="00D71C7E" w:rsidRPr="00D71BBF">
              <w:rPr>
                <w:rFonts w:hint="eastAsia"/>
                <w:sz w:val="24"/>
              </w:rPr>
              <w:t>药逐步</w:t>
            </w:r>
            <w:proofErr w:type="gramEnd"/>
            <w:r w:rsidR="00D71C7E" w:rsidRPr="00D71BBF">
              <w:rPr>
                <w:rFonts w:hint="eastAsia"/>
                <w:sz w:val="24"/>
              </w:rPr>
              <w:t>恢复，目前已有新项目进入临床阶段。</w:t>
            </w:r>
          </w:p>
          <w:p w14:paraId="6DCEB970" w14:textId="5392D4DA" w:rsidR="001E0224" w:rsidRPr="00330434" w:rsidRDefault="004823B0">
            <w:pPr>
              <w:spacing w:beforeLines="50" w:before="156" w:afterLines="50" w:after="156" w:line="360" w:lineRule="auto"/>
              <w:ind w:firstLineChars="200" w:firstLine="482"/>
              <w:rPr>
                <w:sz w:val="24"/>
              </w:rPr>
            </w:pPr>
            <w:r w:rsidRPr="00330434">
              <w:rPr>
                <w:b/>
                <w:sz w:val="24"/>
              </w:rPr>
              <w:t>问题</w:t>
            </w:r>
            <w:r w:rsidR="00D71BBF">
              <w:rPr>
                <w:rFonts w:hint="eastAsia"/>
                <w:b/>
                <w:sz w:val="24"/>
              </w:rPr>
              <w:t>六</w:t>
            </w:r>
            <w:r w:rsidRPr="00330434">
              <w:rPr>
                <w:b/>
                <w:sz w:val="24"/>
              </w:rPr>
              <w:t>、</w:t>
            </w:r>
            <w:r w:rsidR="00BA1ECE" w:rsidRPr="00BA1ECE">
              <w:rPr>
                <w:rFonts w:hint="eastAsia"/>
                <w:b/>
                <w:sz w:val="24"/>
              </w:rPr>
              <w:t>目前新签订单中，</w:t>
            </w:r>
            <w:proofErr w:type="gramStart"/>
            <w:r w:rsidR="00BA1ECE" w:rsidRPr="00BA1ECE">
              <w:rPr>
                <w:rFonts w:hint="eastAsia"/>
                <w:b/>
                <w:sz w:val="24"/>
              </w:rPr>
              <w:t>大药企和</w:t>
            </w:r>
            <w:proofErr w:type="gramEnd"/>
            <w:r w:rsidR="00BA1ECE" w:rsidRPr="00BA1ECE">
              <w:rPr>
                <w:rFonts w:hint="eastAsia"/>
                <w:b/>
                <w:sz w:val="24"/>
              </w:rPr>
              <w:t>biotech</w:t>
            </w:r>
            <w:r w:rsidR="00BA1ECE" w:rsidRPr="00BA1ECE">
              <w:rPr>
                <w:rFonts w:hint="eastAsia"/>
                <w:b/>
                <w:sz w:val="24"/>
              </w:rPr>
              <w:t>的结构如何？</w:t>
            </w:r>
          </w:p>
          <w:p w14:paraId="77D940BE" w14:textId="548A5B18" w:rsidR="001E0224" w:rsidRDefault="004823B0" w:rsidP="002A3F38">
            <w:pPr>
              <w:spacing w:line="360" w:lineRule="auto"/>
              <w:ind w:firstLineChars="200" w:firstLine="480"/>
              <w:rPr>
                <w:sz w:val="24"/>
                <w:szCs w:val="28"/>
              </w:rPr>
            </w:pPr>
            <w:r w:rsidRPr="00330434">
              <w:rPr>
                <w:sz w:val="24"/>
              </w:rPr>
              <w:t>答：</w:t>
            </w:r>
            <w:r w:rsidR="00BA1ECE" w:rsidRPr="00BA1ECE">
              <w:rPr>
                <w:rFonts w:hint="eastAsia"/>
                <w:sz w:val="24"/>
                <w:szCs w:val="28"/>
              </w:rPr>
              <w:t>新签订</w:t>
            </w:r>
            <w:proofErr w:type="gramStart"/>
            <w:r w:rsidR="00BA1ECE" w:rsidRPr="00BA1ECE">
              <w:rPr>
                <w:rFonts w:hint="eastAsia"/>
                <w:sz w:val="24"/>
                <w:szCs w:val="28"/>
              </w:rPr>
              <w:t>单海外占</w:t>
            </w:r>
            <w:proofErr w:type="gramEnd"/>
            <w:r w:rsidR="00BA1ECE" w:rsidRPr="00BA1ECE">
              <w:rPr>
                <w:rFonts w:hint="eastAsia"/>
                <w:sz w:val="24"/>
                <w:szCs w:val="28"/>
              </w:rPr>
              <w:t>比</w:t>
            </w:r>
            <w:r w:rsidR="00BA1ECE" w:rsidRPr="00BA1ECE">
              <w:rPr>
                <w:rFonts w:hint="eastAsia"/>
                <w:sz w:val="24"/>
                <w:szCs w:val="28"/>
              </w:rPr>
              <w:t>60%</w:t>
            </w:r>
            <w:r w:rsidR="00BA1ECE" w:rsidRPr="00BA1ECE">
              <w:rPr>
                <w:rFonts w:hint="eastAsia"/>
                <w:sz w:val="24"/>
                <w:szCs w:val="28"/>
              </w:rPr>
              <w:t>，还是以</w:t>
            </w:r>
            <w:proofErr w:type="gramStart"/>
            <w:r w:rsidR="00BA1ECE" w:rsidRPr="00BA1ECE">
              <w:rPr>
                <w:rFonts w:hint="eastAsia"/>
                <w:sz w:val="24"/>
                <w:szCs w:val="28"/>
              </w:rPr>
              <w:t>大药企为主</w:t>
            </w:r>
            <w:proofErr w:type="gramEnd"/>
            <w:r w:rsidR="00CD2FE0">
              <w:rPr>
                <w:rFonts w:hint="eastAsia"/>
                <w:sz w:val="24"/>
                <w:szCs w:val="28"/>
              </w:rPr>
              <w:t>。</w:t>
            </w:r>
            <w:r w:rsidR="00CD2FE0" w:rsidRPr="00BA1ECE">
              <w:rPr>
                <w:rFonts w:hint="eastAsia"/>
                <w:sz w:val="24"/>
                <w:szCs w:val="28"/>
              </w:rPr>
              <w:t>大</w:t>
            </w:r>
            <w:proofErr w:type="gramStart"/>
            <w:r w:rsidR="00CD2FE0" w:rsidRPr="00BA1ECE">
              <w:rPr>
                <w:rFonts w:hint="eastAsia"/>
                <w:sz w:val="24"/>
                <w:szCs w:val="28"/>
              </w:rPr>
              <w:t>药企</w:t>
            </w:r>
            <w:r w:rsidR="00BA1ECE" w:rsidRPr="00BA1ECE">
              <w:rPr>
                <w:rFonts w:hint="eastAsia"/>
                <w:sz w:val="24"/>
                <w:szCs w:val="28"/>
              </w:rPr>
              <w:t>占</w:t>
            </w:r>
            <w:proofErr w:type="gramEnd"/>
            <w:r w:rsidR="00BA1ECE" w:rsidRPr="00BA1ECE">
              <w:rPr>
                <w:rFonts w:hint="eastAsia"/>
                <w:sz w:val="24"/>
                <w:szCs w:val="28"/>
              </w:rPr>
              <w:t>比约</w:t>
            </w:r>
            <w:r w:rsidR="00BA1ECE" w:rsidRPr="00BA1ECE">
              <w:rPr>
                <w:rFonts w:hint="eastAsia"/>
                <w:sz w:val="24"/>
                <w:szCs w:val="28"/>
              </w:rPr>
              <w:t>50-60%</w:t>
            </w:r>
            <w:r w:rsidR="00BA1ECE" w:rsidRPr="00BA1ECE">
              <w:rPr>
                <w:rFonts w:hint="eastAsia"/>
                <w:sz w:val="24"/>
                <w:szCs w:val="28"/>
              </w:rPr>
              <w:t>，</w:t>
            </w:r>
            <w:r w:rsidR="00BA1ECE" w:rsidRPr="00BA1ECE">
              <w:rPr>
                <w:rFonts w:hint="eastAsia"/>
                <w:sz w:val="24"/>
                <w:szCs w:val="28"/>
              </w:rPr>
              <w:t>Biotech</w:t>
            </w:r>
            <w:r w:rsidR="00BA1ECE" w:rsidRPr="00BA1ECE">
              <w:rPr>
                <w:rFonts w:hint="eastAsia"/>
                <w:sz w:val="24"/>
                <w:szCs w:val="28"/>
              </w:rPr>
              <w:t>占比</w:t>
            </w:r>
            <w:r w:rsidR="00BA1ECE" w:rsidRPr="00BA1ECE">
              <w:rPr>
                <w:rFonts w:hint="eastAsia"/>
                <w:sz w:val="24"/>
                <w:szCs w:val="28"/>
              </w:rPr>
              <w:t>40-50%</w:t>
            </w:r>
            <w:r w:rsidR="00BA1ECE" w:rsidRPr="00BA1ECE">
              <w:rPr>
                <w:rFonts w:hint="eastAsia"/>
                <w:sz w:val="24"/>
                <w:szCs w:val="28"/>
              </w:rPr>
              <w:t>，相比去年来看，</w:t>
            </w:r>
            <w:r w:rsidR="00BA1ECE" w:rsidRPr="00BA1ECE">
              <w:rPr>
                <w:rFonts w:hint="eastAsia"/>
                <w:sz w:val="24"/>
                <w:szCs w:val="28"/>
              </w:rPr>
              <w:t>Biotech</w:t>
            </w:r>
            <w:r w:rsidR="00BA1ECE" w:rsidRPr="00BA1ECE">
              <w:rPr>
                <w:rFonts w:hint="eastAsia"/>
                <w:sz w:val="24"/>
                <w:szCs w:val="28"/>
              </w:rPr>
              <w:t>提升较快，主要是</w:t>
            </w:r>
            <w:r w:rsidR="00BA1ECE">
              <w:rPr>
                <w:rFonts w:hint="eastAsia"/>
                <w:sz w:val="24"/>
                <w:szCs w:val="28"/>
              </w:rPr>
              <w:t>欧洲</w:t>
            </w:r>
            <w:r w:rsidR="00BA1ECE" w:rsidRPr="00BA1ECE">
              <w:rPr>
                <w:rFonts w:hint="eastAsia"/>
                <w:sz w:val="24"/>
                <w:szCs w:val="28"/>
              </w:rPr>
              <w:t>和日</w:t>
            </w:r>
            <w:proofErr w:type="gramStart"/>
            <w:r w:rsidR="00BA1ECE" w:rsidRPr="00BA1ECE">
              <w:rPr>
                <w:rFonts w:hint="eastAsia"/>
                <w:sz w:val="24"/>
                <w:szCs w:val="28"/>
              </w:rPr>
              <w:t>韩市场</w:t>
            </w:r>
            <w:proofErr w:type="gramEnd"/>
            <w:r w:rsidR="00BA1ECE" w:rsidRPr="00BA1ECE">
              <w:rPr>
                <w:rFonts w:hint="eastAsia"/>
                <w:sz w:val="24"/>
                <w:szCs w:val="28"/>
              </w:rPr>
              <w:t>开拓效果明显，新增项目中也有不少</w:t>
            </w:r>
            <w:r w:rsidR="00BA1ECE" w:rsidRPr="00BA1ECE">
              <w:rPr>
                <w:rFonts w:hint="eastAsia"/>
                <w:sz w:val="24"/>
                <w:szCs w:val="28"/>
              </w:rPr>
              <w:t>NDA</w:t>
            </w:r>
            <w:r w:rsidR="00BA1ECE" w:rsidRPr="00BA1ECE">
              <w:rPr>
                <w:rFonts w:hint="eastAsia"/>
                <w:sz w:val="24"/>
                <w:szCs w:val="28"/>
              </w:rPr>
              <w:t>阶段项目。</w:t>
            </w:r>
          </w:p>
          <w:p w14:paraId="08A18662" w14:textId="68F5F7A9" w:rsidR="00BA1ECE" w:rsidRPr="00330434" w:rsidRDefault="00BA1ECE" w:rsidP="00BA1ECE">
            <w:pPr>
              <w:spacing w:beforeLines="50" w:before="156" w:afterLines="50" w:after="156" w:line="360" w:lineRule="auto"/>
              <w:ind w:firstLineChars="200" w:firstLine="482"/>
              <w:rPr>
                <w:sz w:val="24"/>
              </w:rPr>
            </w:pPr>
            <w:r w:rsidRPr="00330434">
              <w:rPr>
                <w:b/>
                <w:sz w:val="24"/>
              </w:rPr>
              <w:t>问题</w:t>
            </w:r>
            <w:r w:rsidR="00D71BBF">
              <w:rPr>
                <w:rFonts w:hint="eastAsia"/>
                <w:b/>
                <w:sz w:val="24"/>
              </w:rPr>
              <w:t>七</w:t>
            </w:r>
            <w:r w:rsidRPr="00330434">
              <w:rPr>
                <w:b/>
                <w:sz w:val="24"/>
              </w:rPr>
              <w:t>、</w:t>
            </w:r>
            <w:r w:rsidRPr="00BA1ECE">
              <w:rPr>
                <w:rFonts w:hint="eastAsia"/>
                <w:b/>
                <w:sz w:val="24"/>
              </w:rPr>
              <w:t>最近几年研发方面有很多布局和进展，针对研发人员的后续数量上有没有规划？</w:t>
            </w:r>
          </w:p>
          <w:p w14:paraId="37AD1F3D" w14:textId="2267670E" w:rsidR="00BA1ECE" w:rsidRDefault="00BA1ECE" w:rsidP="00BA1ECE">
            <w:pPr>
              <w:spacing w:line="360" w:lineRule="auto"/>
              <w:ind w:firstLineChars="200" w:firstLine="480"/>
              <w:rPr>
                <w:sz w:val="24"/>
                <w:szCs w:val="28"/>
              </w:rPr>
            </w:pPr>
            <w:r w:rsidRPr="00330434">
              <w:rPr>
                <w:sz w:val="24"/>
              </w:rPr>
              <w:t>答：</w:t>
            </w:r>
            <w:r w:rsidRPr="00BA1ECE">
              <w:rPr>
                <w:rFonts w:hint="eastAsia"/>
                <w:sz w:val="24"/>
                <w:szCs w:val="28"/>
              </w:rPr>
              <w:t>2024</w:t>
            </w:r>
            <w:r w:rsidRPr="00BA1ECE">
              <w:rPr>
                <w:rFonts w:hint="eastAsia"/>
                <w:sz w:val="24"/>
                <w:szCs w:val="28"/>
              </w:rPr>
              <w:t>年研发人员</w:t>
            </w:r>
            <w:r w:rsidRPr="00BA1ECE">
              <w:rPr>
                <w:rFonts w:hint="eastAsia"/>
                <w:sz w:val="24"/>
                <w:szCs w:val="28"/>
              </w:rPr>
              <w:t>1,034</w:t>
            </w:r>
            <w:r w:rsidRPr="00BA1ECE">
              <w:rPr>
                <w:rFonts w:hint="eastAsia"/>
                <w:sz w:val="24"/>
                <w:szCs w:val="28"/>
              </w:rPr>
              <w:t>人（占比</w:t>
            </w:r>
            <w:r w:rsidRPr="00BA1ECE">
              <w:rPr>
                <w:rFonts w:hint="eastAsia"/>
                <w:sz w:val="24"/>
                <w:szCs w:val="28"/>
              </w:rPr>
              <w:t>20.68%</w:t>
            </w:r>
            <w:r w:rsidRPr="00BA1ECE">
              <w:rPr>
                <w:rFonts w:hint="eastAsia"/>
                <w:sz w:val="24"/>
                <w:szCs w:val="28"/>
              </w:rPr>
              <w:t>），</w:t>
            </w:r>
            <w:r w:rsidR="00C80CFE" w:rsidRPr="00BA1ECE">
              <w:rPr>
                <w:rFonts w:hint="eastAsia"/>
                <w:sz w:val="24"/>
                <w:szCs w:val="28"/>
              </w:rPr>
              <w:t>计划</w:t>
            </w:r>
            <w:r w:rsidRPr="00BA1ECE">
              <w:rPr>
                <w:rFonts w:hint="eastAsia"/>
                <w:sz w:val="24"/>
                <w:szCs w:val="28"/>
              </w:rPr>
              <w:t>未来</w:t>
            </w:r>
            <w:r w:rsidRPr="00BA1ECE">
              <w:rPr>
                <w:rFonts w:hint="eastAsia"/>
                <w:sz w:val="24"/>
                <w:szCs w:val="28"/>
              </w:rPr>
              <w:t>3</w:t>
            </w:r>
            <w:r w:rsidRPr="00BA1ECE">
              <w:rPr>
                <w:rFonts w:hint="eastAsia"/>
                <w:sz w:val="24"/>
                <w:szCs w:val="28"/>
              </w:rPr>
              <w:t>年</w:t>
            </w:r>
            <w:r>
              <w:rPr>
                <w:rFonts w:hint="eastAsia"/>
                <w:sz w:val="24"/>
                <w:szCs w:val="28"/>
              </w:rPr>
              <w:t>继续保持增长</w:t>
            </w:r>
            <w:r w:rsidRPr="00BA1ECE">
              <w:rPr>
                <w:rFonts w:hint="eastAsia"/>
                <w:sz w:val="24"/>
                <w:szCs w:val="28"/>
              </w:rPr>
              <w:t>，重点引进多肽、</w:t>
            </w:r>
            <w:r w:rsidRPr="00BA1ECE">
              <w:rPr>
                <w:rFonts w:hint="eastAsia"/>
                <w:sz w:val="24"/>
                <w:szCs w:val="28"/>
              </w:rPr>
              <w:t>ADC</w:t>
            </w:r>
            <w:r w:rsidRPr="00BA1ECE">
              <w:rPr>
                <w:rFonts w:hint="eastAsia"/>
                <w:sz w:val="24"/>
                <w:szCs w:val="28"/>
              </w:rPr>
              <w:t>、小核酸领域领军人才，研发费用率维持</w:t>
            </w:r>
            <w:r w:rsidRPr="00BA1ECE">
              <w:rPr>
                <w:rFonts w:hint="eastAsia"/>
                <w:sz w:val="24"/>
                <w:szCs w:val="28"/>
              </w:rPr>
              <w:t>6%-7%</w:t>
            </w:r>
            <w:r w:rsidRPr="00BA1ECE">
              <w:rPr>
                <w:rFonts w:hint="eastAsia"/>
                <w:sz w:val="24"/>
                <w:szCs w:val="28"/>
              </w:rPr>
              <w:t>。</w:t>
            </w:r>
          </w:p>
          <w:p w14:paraId="1AF6D2FD" w14:textId="4D571282" w:rsidR="00BA1ECE" w:rsidRPr="00330434" w:rsidRDefault="00BA1ECE" w:rsidP="00BA1ECE">
            <w:pPr>
              <w:spacing w:beforeLines="50" w:before="156" w:afterLines="50" w:after="156" w:line="360" w:lineRule="auto"/>
              <w:ind w:firstLineChars="200" w:firstLine="482"/>
              <w:rPr>
                <w:sz w:val="24"/>
              </w:rPr>
            </w:pPr>
            <w:r w:rsidRPr="00330434">
              <w:rPr>
                <w:b/>
                <w:sz w:val="24"/>
              </w:rPr>
              <w:t>问题</w:t>
            </w:r>
            <w:r w:rsidR="00D71BBF">
              <w:rPr>
                <w:rFonts w:hint="eastAsia"/>
                <w:b/>
                <w:sz w:val="24"/>
              </w:rPr>
              <w:t>八</w:t>
            </w:r>
            <w:r w:rsidRPr="00330434">
              <w:rPr>
                <w:b/>
                <w:sz w:val="24"/>
              </w:rPr>
              <w:t>、</w:t>
            </w:r>
            <w:r w:rsidRPr="00BA1ECE">
              <w:rPr>
                <w:rFonts w:hint="eastAsia"/>
                <w:b/>
                <w:sz w:val="24"/>
              </w:rPr>
              <w:t>目前产能利用率情况以及未来资本开支规划</w:t>
            </w:r>
            <w:r>
              <w:rPr>
                <w:rFonts w:hint="eastAsia"/>
                <w:b/>
                <w:sz w:val="24"/>
              </w:rPr>
              <w:t>？</w:t>
            </w:r>
            <w:r w:rsidR="00D71BBF" w:rsidRPr="00D71BBF">
              <w:rPr>
                <w:rFonts w:hint="eastAsia"/>
                <w:b/>
                <w:sz w:val="24"/>
              </w:rPr>
              <w:t>在全球产业链及新业务布局方向，收并购计划有无进展？</w:t>
            </w:r>
          </w:p>
          <w:p w14:paraId="05F2B849" w14:textId="4E93DC3F" w:rsidR="00BA1ECE" w:rsidRPr="00BA1ECE" w:rsidRDefault="00BA1ECE" w:rsidP="00BA1ECE">
            <w:pPr>
              <w:spacing w:line="360" w:lineRule="auto"/>
              <w:ind w:firstLineChars="200" w:firstLine="480"/>
              <w:rPr>
                <w:sz w:val="24"/>
                <w:szCs w:val="28"/>
              </w:rPr>
            </w:pPr>
            <w:r w:rsidRPr="00330434">
              <w:rPr>
                <w:sz w:val="24"/>
              </w:rPr>
              <w:t>答：</w:t>
            </w:r>
            <w:r w:rsidRPr="00BA1ECE">
              <w:rPr>
                <w:rFonts w:hint="eastAsia"/>
                <w:sz w:val="24"/>
                <w:szCs w:val="28"/>
              </w:rPr>
              <w:t>产能利用率</w:t>
            </w:r>
            <w:r>
              <w:rPr>
                <w:rFonts w:hint="eastAsia"/>
                <w:sz w:val="24"/>
                <w:szCs w:val="28"/>
              </w:rPr>
              <w:t>方面，</w:t>
            </w:r>
            <w:r w:rsidRPr="00BA1ECE">
              <w:rPr>
                <w:rFonts w:hint="eastAsia"/>
                <w:sz w:val="24"/>
                <w:szCs w:val="28"/>
              </w:rPr>
              <w:t>一季度整体约</w:t>
            </w:r>
            <w:r w:rsidRPr="00BA1ECE">
              <w:rPr>
                <w:rFonts w:hint="eastAsia"/>
                <w:sz w:val="24"/>
                <w:szCs w:val="28"/>
              </w:rPr>
              <w:t>60%</w:t>
            </w:r>
            <w:r w:rsidRPr="00BA1ECE">
              <w:rPr>
                <w:rFonts w:hint="eastAsia"/>
                <w:sz w:val="24"/>
                <w:szCs w:val="28"/>
              </w:rPr>
              <w:t>，预计二季度达到</w:t>
            </w:r>
            <w:r w:rsidRPr="00BA1ECE">
              <w:rPr>
                <w:rFonts w:hint="eastAsia"/>
                <w:sz w:val="24"/>
                <w:szCs w:val="28"/>
              </w:rPr>
              <w:t>65%</w:t>
            </w:r>
            <w:r w:rsidRPr="00BA1ECE">
              <w:rPr>
                <w:rFonts w:hint="eastAsia"/>
                <w:sz w:val="24"/>
                <w:szCs w:val="28"/>
              </w:rPr>
              <w:t>，</w:t>
            </w:r>
            <w:proofErr w:type="gramStart"/>
            <w:r w:rsidRPr="00BA1ECE">
              <w:rPr>
                <w:rFonts w:hint="eastAsia"/>
                <w:sz w:val="24"/>
                <w:szCs w:val="28"/>
              </w:rPr>
              <w:t>瑞博苏州</w:t>
            </w:r>
            <w:proofErr w:type="gramEnd"/>
            <w:r w:rsidRPr="00BA1ECE">
              <w:rPr>
                <w:rFonts w:hint="eastAsia"/>
                <w:sz w:val="24"/>
                <w:szCs w:val="28"/>
              </w:rPr>
              <w:t>达</w:t>
            </w:r>
            <w:r w:rsidRPr="00BA1ECE">
              <w:rPr>
                <w:rFonts w:hint="eastAsia"/>
                <w:sz w:val="24"/>
                <w:szCs w:val="28"/>
              </w:rPr>
              <w:t>90%</w:t>
            </w:r>
            <w:r w:rsidRPr="00BA1ECE">
              <w:rPr>
                <w:rFonts w:hint="eastAsia"/>
                <w:sz w:val="24"/>
                <w:szCs w:val="28"/>
              </w:rPr>
              <w:t>（订单饱满），浙江瑞博约</w:t>
            </w:r>
            <w:r w:rsidRPr="00BA1ECE">
              <w:rPr>
                <w:rFonts w:hint="eastAsia"/>
                <w:sz w:val="24"/>
                <w:szCs w:val="28"/>
              </w:rPr>
              <w:t>60%</w:t>
            </w:r>
            <w:r w:rsidRPr="00BA1ECE">
              <w:rPr>
                <w:rFonts w:hint="eastAsia"/>
                <w:sz w:val="24"/>
                <w:szCs w:val="28"/>
              </w:rPr>
              <w:t>，</w:t>
            </w:r>
            <w:proofErr w:type="gramStart"/>
            <w:r w:rsidRPr="00BA1ECE">
              <w:rPr>
                <w:rFonts w:hint="eastAsia"/>
                <w:sz w:val="24"/>
                <w:szCs w:val="28"/>
              </w:rPr>
              <w:t>九</w:t>
            </w:r>
            <w:proofErr w:type="gramEnd"/>
            <w:r w:rsidRPr="00BA1ECE">
              <w:rPr>
                <w:rFonts w:hint="eastAsia"/>
                <w:sz w:val="24"/>
                <w:szCs w:val="28"/>
              </w:rPr>
              <w:t>洲药业台州一期预计</w:t>
            </w:r>
            <w:r w:rsidRPr="00BA1ECE">
              <w:rPr>
                <w:rFonts w:hint="eastAsia"/>
                <w:sz w:val="24"/>
                <w:szCs w:val="28"/>
              </w:rPr>
              <w:t>40%</w:t>
            </w:r>
            <w:r w:rsidRPr="00BA1ECE">
              <w:rPr>
                <w:rFonts w:hint="eastAsia"/>
                <w:sz w:val="24"/>
                <w:szCs w:val="28"/>
              </w:rPr>
              <w:t>。</w:t>
            </w:r>
            <w:r w:rsidR="00C80CFE">
              <w:rPr>
                <w:rFonts w:hint="eastAsia"/>
                <w:sz w:val="24"/>
                <w:szCs w:val="28"/>
              </w:rPr>
              <w:t>特色</w:t>
            </w:r>
            <w:r w:rsidRPr="00BA1ECE">
              <w:rPr>
                <w:rFonts w:hint="eastAsia"/>
                <w:sz w:val="24"/>
                <w:szCs w:val="28"/>
              </w:rPr>
              <w:t>原料药工厂相对产能利用率低些。</w:t>
            </w:r>
          </w:p>
          <w:p w14:paraId="0A0901C4" w14:textId="390077D3" w:rsidR="00BA1ECE" w:rsidRDefault="00BA1ECE" w:rsidP="00BA1ECE">
            <w:pPr>
              <w:spacing w:line="360" w:lineRule="auto"/>
              <w:ind w:firstLineChars="200" w:firstLine="480"/>
              <w:rPr>
                <w:sz w:val="24"/>
                <w:szCs w:val="28"/>
              </w:rPr>
            </w:pPr>
            <w:r w:rsidRPr="00BA1ECE">
              <w:rPr>
                <w:rFonts w:hint="eastAsia"/>
                <w:sz w:val="24"/>
                <w:szCs w:val="28"/>
              </w:rPr>
              <w:t>资本开支</w:t>
            </w:r>
            <w:r>
              <w:rPr>
                <w:rFonts w:hint="eastAsia"/>
                <w:sz w:val="24"/>
                <w:szCs w:val="28"/>
              </w:rPr>
              <w:t>方面，</w:t>
            </w:r>
            <w:r w:rsidRPr="00BA1ECE">
              <w:rPr>
                <w:rFonts w:hint="eastAsia"/>
                <w:sz w:val="24"/>
                <w:szCs w:val="28"/>
              </w:rPr>
              <w:t>2025</w:t>
            </w:r>
            <w:r w:rsidRPr="00BA1ECE">
              <w:rPr>
                <w:rFonts w:hint="eastAsia"/>
                <w:sz w:val="24"/>
                <w:szCs w:val="28"/>
              </w:rPr>
              <w:t>年资本性支出会根据订单</w:t>
            </w:r>
            <w:r w:rsidR="00C80CFE">
              <w:rPr>
                <w:rFonts w:hint="eastAsia"/>
                <w:sz w:val="24"/>
                <w:szCs w:val="28"/>
              </w:rPr>
              <w:t>计划</w:t>
            </w:r>
            <w:r w:rsidRPr="00BA1ECE">
              <w:rPr>
                <w:rFonts w:hint="eastAsia"/>
                <w:sz w:val="24"/>
                <w:szCs w:val="28"/>
              </w:rPr>
              <w:t>控制在</w:t>
            </w:r>
            <w:r w:rsidR="00C80CFE">
              <w:rPr>
                <w:rFonts w:hint="eastAsia"/>
                <w:sz w:val="24"/>
                <w:szCs w:val="28"/>
              </w:rPr>
              <w:t>5-6</w:t>
            </w:r>
            <w:r w:rsidR="00C80CFE">
              <w:rPr>
                <w:rFonts w:hint="eastAsia"/>
                <w:sz w:val="24"/>
                <w:szCs w:val="28"/>
              </w:rPr>
              <w:t>亿元的</w:t>
            </w:r>
            <w:r w:rsidRPr="00BA1ECE">
              <w:rPr>
                <w:rFonts w:hint="eastAsia"/>
                <w:sz w:val="24"/>
                <w:szCs w:val="28"/>
              </w:rPr>
              <w:t>合理区间</w:t>
            </w:r>
            <w:r w:rsidR="00BC6D8F">
              <w:rPr>
                <w:rFonts w:hint="eastAsia"/>
                <w:sz w:val="24"/>
                <w:szCs w:val="28"/>
              </w:rPr>
              <w:t>。</w:t>
            </w:r>
            <w:r w:rsidR="00BC6D8F" w:rsidRPr="00D71BBF">
              <w:rPr>
                <w:rFonts w:hint="eastAsia"/>
                <w:sz w:val="24"/>
                <w:szCs w:val="28"/>
              </w:rPr>
              <w:t>近期与大客户的沟通来看，客户对</w:t>
            </w:r>
            <w:r w:rsidR="008B4099" w:rsidRPr="00D71BBF">
              <w:rPr>
                <w:rFonts w:hint="eastAsia"/>
                <w:sz w:val="24"/>
                <w:szCs w:val="28"/>
              </w:rPr>
              <w:t>苏州工厂现有品种的</w:t>
            </w:r>
            <w:r w:rsidR="00BC6D8F" w:rsidRPr="00D71BBF">
              <w:rPr>
                <w:rFonts w:hint="eastAsia"/>
                <w:sz w:val="24"/>
                <w:szCs w:val="28"/>
              </w:rPr>
              <w:t>未来发展充满信心，我们准备在苏州工厂新建</w:t>
            </w:r>
            <w:r w:rsidR="008B4099" w:rsidRPr="00D71BBF">
              <w:rPr>
                <w:rFonts w:hint="eastAsia"/>
                <w:sz w:val="24"/>
                <w:szCs w:val="28"/>
              </w:rPr>
              <w:t>商业化</w:t>
            </w:r>
            <w:r w:rsidR="00BC6D8F" w:rsidRPr="00D71BBF">
              <w:rPr>
                <w:rFonts w:hint="eastAsia"/>
                <w:sz w:val="24"/>
                <w:szCs w:val="28"/>
              </w:rPr>
              <w:t>车间</w:t>
            </w:r>
            <w:r w:rsidR="008B4099" w:rsidRPr="00D71BBF">
              <w:rPr>
                <w:rFonts w:hint="eastAsia"/>
                <w:sz w:val="24"/>
                <w:szCs w:val="28"/>
              </w:rPr>
              <w:t>进行扩产</w:t>
            </w:r>
            <w:r w:rsidR="00BC6D8F" w:rsidRPr="00D71BBF">
              <w:rPr>
                <w:rFonts w:hint="eastAsia"/>
                <w:sz w:val="24"/>
                <w:szCs w:val="28"/>
              </w:rPr>
              <w:t>，</w:t>
            </w:r>
            <w:r w:rsidR="008B4099" w:rsidRPr="00D71BBF">
              <w:rPr>
                <w:rFonts w:hint="eastAsia"/>
                <w:sz w:val="24"/>
                <w:szCs w:val="28"/>
              </w:rPr>
              <w:t>以</w:t>
            </w:r>
            <w:r w:rsidR="00BC6D8F" w:rsidRPr="00D71BBF">
              <w:rPr>
                <w:rFonts w:hint="eastAsia"/>
                <w:sz w:val="24"/>
                <w:szCs w:val="28"/>
              </w:rPr>
              <w:t>满足未来市场需求。此外，</w:t>
            </w:r>
            <w:r w:rsidRPr="00BA1ECE">
              <w:rPr>
                <w:rFonts w:hint="eastAsia"/>
                <w:sz w:val="24"/>
                <w:szCs w:val="28"/>
              </w:rPr>
              <w:t>重点推进苏州工厂多肽车间</w:t>
            </w:r>
            <w:r w:rsidR="00BC6D8F">
              <w:rPr>
                <w:rFonts w:hint="eastAsia"/>
                <w:sz w:val="24"/>
                <w:szCs w:val="28"/>
              </w:rPr>
              <w:t>建设</w:t>
            </w:r>
            <w:r w:rsidRPr="00BA1ECE">
              <w:rPr>
                <w:rFonts w:hint="eastAsia"/>
                <w:sz w:val="24"/>
                <w:szCs w:val="28"/>
              </w:rPr>
              <w:t>、</w:t>
            </w:r>
            <w:r w:rsidRPr="00BA1ECE">
              <w:rPr>
                <w:rFonts w:hint="eastAsia"/>
                <w:sz w:val="24"/>
                <w:szCs w:val="28"/>
              </w:rPr>
              <w:t>ADC</w:t>
            </w:r>
            <w:r w:rsidRPr="00BA1ECE">
              <w:rPr>
                <w:rFonts w:hint="eastAsia"/>
                <w:sz w:val="24"/>
                <w:szCs w:val="28"/>
              </w:rPr>
              <w:t>高活车间扩建及小核酸</w:t>
            </w:r>
            <w:r w:rsidRPr="00BA1ECE">
              <w:rPr>
                <w:rFonts w:hint="eastAsia"/>
                <w:sz w:val="24"/>
                <w:szCs w:val="28"/>
              </w:rPr>
              <w:t>GMP</w:t>
            </w:r>
            <w:r w:rsidRPr="00BA1ECE">
              <w:rPr>
                <w:rFonts w:hint="eastAsia"/>
                <w:sz w:val="24"/>
                <w:szCs w:val="28"/>
              </w:rPr>
              <w:t>平台、车间建设。海外产能布局也是重要</w:t>
            </w:r>
            <w:r w:rsidRPr="00BA1ECE">
              <w:rPr>
                <w:rFonts w:hint="eastAsia"/>
                <w:sz w:val="24"/>
                <w:szCs w:val="28"/>
              </w:rPr>
              <w:lastRenderedPageBreak/>
              <w:t>事项。</w:t>
            </w:r>
          </w:p>
          <w:p w14:paraId="0267EFAA" w14:textId="1AE7E923" w:rsidR="00D71BBF" w:rsidRDefault="00D71BBF" w:rsidP="00BA1ECE">
            <w:pPr>
              <w:spacing w:line="360" w:lineRule="auto"/>
              <w:ind w:firstLineChars="200" w:firstLine="480"/>
              <w:rPr>
                <w:sz w:val="24"/>
                <w:szCs w:val="28"/>
              </w:rPr>
            </w:pPr>
            <w:r>
              <w:rPr>
                <w:rFonts w:hint="eastAsia"/>
                <w:sz w:val="24"/>
                <w:szCs w:val="28"/>
              </w:rPr>
              <w:t>在全球布局方面，</w:t>
            </w:r>
            <w:r w:rsidRPr="00D71BBF">
              <w:rPr>
                <w:rFonts w:hint="eastAsia"/>
                <w:sz w:val="24"/>
                <w:szCs w:val="28"/>
              </w:rPr>
              <w:t>日本、德国研发中心已经投入运营，美国中试车间扩建完成，本地化服务能力增强。公司重点关注海外商业化生产基地并购，完善本地化供应能力，并购重点是原料药生产基地，并购工作还在持续推进中。</w:t>
            </w:r>
          </w:p>
          <w:p w14:paraId="2B84537B" w14:textId="3101E4F6" w:rsidR="00F4140D" w:rsidRPr="00330434" w:rsidRDefault="00F4140D" w:rsidP="00F4140D">
            <w:pPr>
              <w:spacing w:beforeLines="50" w:before="156" w:afterLines="50" w:after="156" w:line="360" w:lineRule="auto"/>
              <w:ind w:firstLineChars="200" w:firstLine="482"/>
              <w:rPr>
                <w:sz w:val="24"/>
              </w:rPr>
            </w:pPr>
            <w:r w:rsidRPr="00330434">
              <w:rPr>
                <w:b/>
                <w:sz w:val="24"/>
              </w:rPr>
              <w:t>问题</w:t>
            </w:r>
            <w:r w:rsidR="00D71BBF">
              <w:rPr>
                <w:rFonts w:hint="eastAsia"/>
                <w:b/>
                <w:sz w:val="24"/>
              </w:rPr>
              <w:t>九</w:t>
            </w:r>
            <w:r w:rsidRPr="00330434">
              <w:rPr>
                <w:b/>
                <w:sz w:val="24"/>
              </w:rPr>
              <w:t>、</w:t>
            </w:r>
            <w:r w:rsidRPr="00F4140D">
              <w:rPr>
                <w:rFonts w:hint="eastAsia"/>
                <w:b/>
                <w:sz w:val="24"/>
              </w:rPr>
              <w:t>新分子类型中多肽和</w:t>
            </w:r>
            <w:r w:rsidRPr="00F4140D">
              <w:rPr>
                <w:rFonts w:hint="eastAsia"/>
                <w:b/>
                <w:sz w:val="24"/>
              </w:rPr>
              <w:t>ADC</w:t>
            </w:r>
            <w:proofErr w:type="gramStart"/>
            <w:r w:rsidRPr="00F4140D">
              <w:rPr>
                <w:rFonts w:hint="eastAsia"/>
                <w:b/>
                <w:sz w:val="24"/>
              </w:rPr>
              <w:t>目前能力</w:t>
            </w:r>
            <w:proofErr w:type="gramEnd"/>
            <w:r w:rsidRPr="00F4140D">
              <w:rPr>
                <w:rFonts w:hint="eastAsia"/>
                <w:b/>
                <w:sz w:val="24"/>
              </w:rPr>
              <w:t>建设进度，差异化优势及长期定位</w:t>
            </w:r>
            <w:r w:rsidRPr="00BA1ECE">
              <w:rPr>
                <w:rFonts w:hint="eastAsia"/>
                <w:b/>
                <w:sz w:val="24"/>
              </w:rPr>
              <w:t>？</w:t>
            </w:r>
          </w:p>
          <w:p w14:paraId="0E836569" w14:textId="6FA48453" w:rsidR="00F4140D" w:rsidRDefault="00F4140D" w:rsidP="00F4140D">
            <w:pPr>
              <w:spacing w:line="360" w:lineRule="auto"/>
              <w:ind w:firstLineChars="200" w:firstLine="480"/>
              <w:rPr>
                <w:sz w:val="24"/>
                <w:szCs w:val="28"/>
              </w:rPr>
            </w:pPr>
            <w:r w:rsidRPr="00330434">
              <w:rPr>
                <w:sz w:val="24"/>
              </w:rPr>
              <w:t>答：</w:t>
            </w:r>
            <w:r w:rsidRPr="00F4140D">
              <w:rPr>
                <w:rFonts w:hint="eastAsia"/>
                <w:sz w:val="24"/>
                <w:szCs w:val="28"/>
              </w:rPr>
              <w:t>多肽和偶联药物是未来药物发展的大趋势。目前</w:t>
            </w:r>
            <w:proofErr w:type="gramStart"/>
            <w:r w:rsidRPr="00F4140D">
              <w:rPr>
                <w:rFonts w:hint="eastAsia"/>
                <w:sz w:val="24"/>
                <w:szCs w:val="28"/>
              </w:rPr>
              <w:t>九洲</w:t>
            </w:r>
            <w:proofErr w:type="gramEnd"/>
            <w:r w:rsidRPr="00F4140D">
              <w:rPr>
                <w:rFonts w:hint="eastAsia"/>
                <w:sz w:val="24"/>
                <w:szCs w:val="28"/>
              </w:rPr>
              <w:t>药业多肽部门正在开展二期商业化产能建设，预计在</w:t>
            </w:r>
            <w:r w:rsidRPr="00F4140D">
              <w:rPr>
                <w:rFonts w:hint="eastAsia"/>
                <w:sz w:val="24"/>
                <w:szCs w:val="28"/>
              </w:rPr>
              <w:t>2025</w:t>
            </w:r>
            <w:r w:rsidRPr="00F4140D">
              <w:rPr>
                <w:rFonts w:hint="eastAsia"/>
                <w:sz w:val="24"/>
                <w:szCs w:val="28"/>
              </w:rPr>
              <w:t>年</w:t>
            </w:r>
            <w:r w:rsidRPr="00F4140D">
              <w:rPr>
                <w:rFonts w:hint="eastAsia"/>
                <w:sz w:val="24"/>
                <w:szCs w:val="28"/>
              </w:rPr>
              <w:t>9</w:t>
            </w:r>
            <w:r w:rsidRPr="00F4140D">
              <w:rPr>
                <w:rFonts w:hint="eastAsia"/>
                <w:sz w:val="24"/>
                <w:szCs w:val="28"/>
              </w:rPr>
              <w:t>月投入生产，总体产能将达到</w:t>
            </w:r>
            <w:r w:rsidRPr="00F4140D">
              <w:rPr>
                <w:rFonts w:hint="eastAsia"/>
                <w:sz w:val="24"/>
                <w:szCs w:val="28"/>
              </w:rPr>
              <w:t>800</w:t>
            </w:r>
            <w:r w:rsidRPr="00F4140D">
              <w:rPr>
                <w:rFonts w:hint="eastAsia"/>
                <w:sz w:val="24"/>
                <w:szCs w:val="28"/>
              </w:rPr>
              <w:t>公斤</w:t>
            </w:r>
            <w:r w:rsidRPr="00F4140D">
              <w:rPr>
                <w:rFonts w:hint="eastAsia"/>
                <w:sz w:val="24"/>
                <w:szCs w:val="28"/>
              </w:rPr>
              <w:t>/</w:t>
            </w:r>
            <w:r w:rsidRPr="00F4140D">
              <w:rPr>
                <w:rFonts w:hint="eastAsia"/>
                <w:sz w:val="24"/>
                <w:szCs w:val="28"/>
              </w:rPr>
              <w:t>年，将极大提升多肽类产品的交付能力。偶联药物平台目前已经具备独立的高活</w:t>
            </w:r>
            <w:r w:rsidRPr="00F4140D">
              <w:rPr>
                <w:rFonts w:hint="eastAsia"/>
                <w:sz w:val="24"/>
                <w:szCs w:val="28"/>
              </w:rPr>
              <w:t>linker payload</w:t>
            </w:r>
            <w:r w:rsidRPr="00F4140D">
              <w:rPr>
                <w:rFonts w:hint="eastAsia"/>
                <w:sz w:val="24"/>
                <w:szCs w:val="28"/>
              </w:rPr>
              <w:t>临床</w:t>
            </w:r>
            <w:r w:rsidRPr="00F4140D">
              <w:rPr>
                <w:rFonts w:hint="eastAsia"/>
                <w:sz w:val="24"/>
                <w:szCs w:val="28"/>
              </w:rPr>
              <w:t>GMP</w:t>
            </w:r>
            <w:r w:rsidRPr="00F4140D">
              <w:rPr>
                <w:rFonts w:hint="eastAsia"/>
                <w:sz w:val="24"/>
                <w:szCs w:val="28"/>
              </w:rPr>
              <w:t>生产线和独立的商业化</w:t>
            </w:r>
            <w:r w:rsidRPr="00F4140D">
              <w:rPr>
                <w:rFonts w:hint="eastAsia"/>
                <w:sz w:val="24"/>
                <w:szCs w:val="28"/>
              </w:rPr>
              <w:t>GMP</w:t>
            </w:r>
            <w:r w:rsidRPr="00F4140D">
              <w:rPr>
                <w:rFonts w:hint="eastAsia"/>
                <w:sz w:val="24"/>
                <w:szCs w:val="28"/>
              </w:rPr>
              <w:t>车间。未来将按客户需求扩大</w:t>
            </w:r>
            <w:r w:rsidRPr="00F4140D">
              <w:rPr>
                <w:rFonts w:hint="eastAsia"/>
                <w:sz w:val="24"/>
                <w:szCs w:val="28"/>
              </w:rPr>
              <w:t>GMP</w:t>
            </w:r>
            <w:r w:rsidRPr="00F4140D">
              <w:rPr>
                <w:rFonts w:hint="eastAsia"/>
                <w:sz w:val="24"/>
                <w:szCs w:val="28"/>
              </w:rPr>
              <w:t>项目交付能力，产能达到</w:t>
            </w:r>
            <w:proofErr w:type="gramStart"/>
            <w:r w:rsidRPr="00F4140D">
              <w:rPr>
                <w:rFonts w:hint="eastAsia"/>
                <w:sz w:val="24"/>
                <w:szCs w:val="28"/>
              </w:rPr>
              <w:t>百公斤</w:t>
            </w:r>
            <w:proofErr w:type="gramEnd"/>
            <w:r w:rsidRPr="00F4140D">
              <w:rPr>
                <w:rFonts w:hint="eastAsia"/>
                <w:sz w:val="24"/>
                <w:szCs w:val="28"/>
              </w:rPr>
              <w:t>/</w:t>
            </w:r>
            <w:r w:rsidRPr="00F4140D">
              <w:rPr>
                <w:rFonts w:hint="eastAsia"/>
                <w:sz w:val="24"/>
                <w:szCs w:val="28"/>
              </w:rPr>
              <w:t>年以上。多肽业务差异化优势主要在于自主研发</w:t>
            </w:r>
            <w:r w:rsidR="00CD2FE0">
              <w:rPr>
                <w:rFonts w:hint="eastAsia"/>
                <w:sz w:val="24"/>
                <w:szCs w:val="28"/>
              </w:rPr>
              <w:t>的</w:t>
            </w:r>
            <w:r w:rsidRPr="00F4140D">
              <w:rPr>
                <w:rFonts w:hint="eastAsia"/>
                <w:sz w:val="24"/>
                <w:szCs w:val="28"/>
              </w:rPr>
              <w:t>非经典固相技术等专利在多肽业务领域的应用，将使商业化多肽生产成本具备较大优势；为客户提供自主研发的非天然氨基酸库，帮助客户提高新药研发成功率和时效性。偶联药物优势在于集合小分子液相合成优势、固相合成技术优势和多维度提纯技术，形成特有的、高效的、低成本的合成及生产技术，满足各类客户技术需求，保障项目及时交付。长期定位是为客户提供创新</w:t>
            </w:r>
            <w:proofErr w:type="gramStart"/>
            <w:r w:rsidRPr="00F4140D">
              <w:rPr>
                <w:rFonts w:hint="eastAsia"/>
                <w:sz w:val="24"/>
                <w:szCs w:val="28"/>
              </w:rPr>
              <w:t>药原料</w:t>
            </w:r>
            <w:proofErr w:type="gramEnd"/>
            <w:r w:rsidRPr="00F4140D">
              <w:rPr>
                <w:rFonts w:hint="eastAsia"/>
                <w:sz w:val="24"/>
                <w:szCs w:val="28"/>
              </w:rPr>
              <w:t>和制剂从研发到商业化生产的一站式服务。</w:t>
            </w:r>
          </w:p>
          <w:p w14:paraId="23D1D81F" w14:textId="30B989B5" w:rsidR="00F4140D" w:rsidRPr="00330434" w:rsidRDefault="00F4140D" w:rsidP="00F4140D">
            <w:pPr>
              <w:spacing w:beforeLines="50" w:before="156" w:afterLines="50" w:after="156" w:line="360" w:lineRule="auto"/>
              <w:ind w:firstLineChars="200" w:firstLine="482"/>
              <w:rPr>
                <w:sz w:val="24"/>
              </w:rPr>
            </w:pPr>
            <w:r w:rsidRPr="00330434">
              <w:rPr>
                <w:b/>
                <w:sz w:val="24"/>
              </w:rPr>
              <w:t>问题</w:t>
            </w:r>
            <w:r>
              <w:rPr>
                <w:rFonts w:hint="eastAsia"/>
                <w:b/>
                <w:sz w:val="24"/>
              </w:rPr>
              <w:t>十</w:t>
            </w:r>
            <w:r w:rsidRPr="00330434">
              <w:rPr>
                <w:b/>
                <w:sz w:val="24"/>
              </w:rPr>
              <w:t>、</w:t>
            </w:r>
            <w:r w:rsidRPr="00F4140D">
              <w:rPr>
                <w:rFonts w:hint="eastAsia"/>
                <w:b/>
                <w:sz w:val="24"/>
              </w:rPr>
              <w:t>制剂业务进展及展望</w:t>
            </w:r>
            <w:r w:rsidRPr="00BA1ECE">
              <w:rPr>
                <w:rFonts w:hint="eastAsia"/>
                <w:b/>
                <w:sz w:val="24"/>
              </w:rPr>
              <w:t>？</w:t>
            </w:r>
          </w:p>
          <w:p w14:paraId="25F7E84B" w14:textId="4B634864" w:rsidR="00F4140D" w:rsidRPr="00F4140D" w:rsidRDefault="00F4140D" w:rsidP="00F4140D">
            <w:pPr>
              <w:spacing w:line="360" w:lineRule="auto"/>
              <w:ind w:firstLineChars="200" w:firstLine="480"/>
              <w:rPr>
                <w:sz w:val="24"/>
                <w:szCs w:val="28"/>
              </w:rPr>
            </w:pPr>
            <w:r w:rsidRPr="00330434">
              <w:rPr>
                <w:sz w:val="24"/>
              </w:rPr>
              <w:t>答：</w:t>
            </w:r>
            <w:r w:rsidRPr="00F4140D">
              <w:rPr>
                <w:rFonts w:hint="eastAsia"/>
                <w:sz w:val="24"/>
                <w:szCs w:val="28"/>
              </w:rPr>
              <w:t>2024</w:t>
            </w:r>
            <w:r w:rsidRPr="00F4140D">
              <w:rPr>
                <w:rFonts w:hint="eastAsia"/>
                <w:sz w:val="24"/>
                <w:szCs w:val="28"/>
              </w:rPr>
              <w:t>年公司制剂团队为</w:t>
            </w:r>
            <w:r w:rsidRPr="00F4140D">
              <w:rPr>
                <w:rFonts w:hint="eastAsia"/>
                <w:sz w:val="24"/>
                <w:szCs w:val="28"/>
              </w:rPr>
              <w:t>70</w:t>
            </w:r>
            <w:r w:rsidRPr="00F4140D">
              <w:rPr>
                <w:rFonts w:hint="eastAsia"/>
                <w:sz w:val="24"/>
                <w:szCs w:val="28"/>
              </w:rPr>
              <w:t>余家客户的百余个制剂项目提供服务，引入新客户近</w:t>
            </w:r>
            <w:r w:rsidRPr="00F4140D">
              <w:rPr>
                <w:rFonts w:hint="eastAsia"/>
                <w:sz w:val="24"/>
                <w:szCs w:val="28"/>
              </w:rPr>
              <w:t>30</w:t>
            </w:r>
            <w:r w:rsidRPr="00F4140D">
              <w:rPr>
                <w:rFonts w:hint="eastAsia"/>
                <w:sz w:val="24"/>
                <w:szCs w:val="28"/>
              </w:rPr>
              <w:t>家，服务项目数量新增近</w:t>
            </w:r>
            <w:r w:rsidRPr="00F4140D">
              <w:rPr>
                <w:rFonts w:hint="eastAsia"/>
                <w:sz w:val="24"/>
                <w:szCs w:val="28"/>
              </w:rPr>
              <w:t>60</w:t>
            </w:r>
            <w:r w:rsidRPr="00F4140D">
              <w:rPr>
                <w:rFonts w:hint="eastAsia"/>
                <w:sz w:val="24"/>
                <w:szCs w:val="28"/>
              </w:rPr>
              <w:t>个，公司通过制剂平台技术助力客户完成多个产品工艺验证、获得多项生产批件，其中</w:t>
            </w:r>
            <w:r w:rsidRPr="00F4140D">
              <w:rPr>
                <w:rFonts w:hint="eastAsia"/>
                <w:sz w:val="24"/>
                <w:szCs w:val="28"/>
              </w:rPr>
              <w:t>2</w:t>
            </w:r>
            <w:r w:rsidRPr="00F4140D">
              <w:rPr>
                <w:rFonts w:hint="eastAsia"/>
                <w:sz w:val="24"/>
                <w:szCs w:val="28"/>
              </w:rPr>
              <w:t>个品种为全国首家。展望</w:t>
            </w:r>
            <w:r>
              <w:rPr>
                <w:rFonts w:hint="eastAsia"/>
                <w:sz w:val="24"/>
                <w:szCs w:val="28"/>
              </w:rPr>
              <w:t>未来，</w:t>
            </w:r>
            <w:r w:rsidRPr="00F4140D">
              <w:rPr>
                <w:rFonts w:hint="eastAsia"/>
                <w:sz w:val="24"/>
                <w:szCs w:val="28"/>
              </w:rPr>
              <w:t>公司</w:t>
            </w:r>
            <w:r>
              <w:rPr>
                <w:rFonts w:hint="eastAsia"/>
                <w:sz w:val="24"/>
                <w:szCs w:val="28"/>
              </w:rPr>
              <w:t>CDMO</w:t>
            </w:r>
            <w:r w:rsidRPr="00F4140D">
              <w:rPr>
                <w:rFonts w:hint="eastAsia"/>
                <w:sz w:val="24"/>
                <w:szCs w:val="28"/>
              </w:rPr>
              <w:t>制剂业务将重点推进吸入制剂、脂质体等技术平台，规划高活制剂车间，强化原料药</w:t>
            </w:r>
            <w:r w:rsidRPr="00F4140D">
              <w:rPr>
                <w:rFonts w:hint="eastAsia"/>
                <w:sz w:val="24"/>
                <w:szCs w:val="28"/>
              </w:rPr>
              <w:t>-</w:t>
            </w:r>
            <w:r w:rsidRPr="00F4140D">
              <w:rPr>
                <w:rFonts w:hint="eastAsia"/>
                <w:sz w:val="24"/>
                <w:szCs w:val="28"/>
              </w:rPr>
              <w:t>制剂一体化服务。</w:t>
            </w:r>
          </w:p>
          <w:p w14:paraId="3D1F0AF4" w14:textId="157554BC" w:rsidR="00BA1ECE" w:rsidRPr="00CD2FE0" w:rsidRDefault="00F4140D" w:rsidP="00CD2FE0">
            <w:pPr>
              <w:spacing w:line="360" w:lineRule="auto"/>
              <w:ind w:firstLineChars="200" w:firstLine="480"/>
              <w:rPr>
                <w:rFonts w:hint="eastAsia"/>
                <w:sz w:val="24"/>
                <w:szCs w:val="28"/>
              </w:rPr>
            </w:pPr>
            <w:r>
              <w:rPr>
                <w:rFonts w:hint="eastAsia"/>
                <w:sz w:val="24"/>
                <w:szCs w:val="28"/>
              </w:rPr>
              <w:t>此外</w:t>
            </w:r>
            <w:r w:rsidRPr="00F4140D">
              <w:rPr>
                <w:rFonts w:hint="eastAsia"/>
                <w:sz w:val="24"/>
                <w:szCs w:val="28"/>
              </w:rPr>
              <w:t>在仿制</w:t>
            </w:r>
            <w:proofErr w:type="gramStart"/>
            <w:r w:rsidRPr="00F4140D">
              <w:rPr>
                <w:rFonts w:hint="eastAsia"/>
                <w:sz w:val="24"/>
                <w:szCs w:val="28"/>
              </w:rPr>
              <w:t>药业务</w:t>
            </w:r>
            <w:proofErr w:type="gramEnd"/>
            <w:r w:rsidRPr="00F4140D">
              <w:rPr>
                <w:rFonts w:hint="eastAsia"/>
                <w:sz w:val="24"/>
                <w:szCs w:val="28"/>
              </w:rPr>
              <w:t>方面，公司制剂管线共有</w:t>
            </w:r>
            <w:r w:rsidRPr="00F4140D">
              <w:rPr>
                <w:rFonts w:hint="eastAsia"/>
                <w:sz w:val="24"/>
                <w:szCs w:val="28"/>
              </w:rPr>
              <w:t>22</w:t>
            </w:r>
            <w:r w:rsidRPr="00F4140D">
              <w:rPr>
                <w:rFonts w:hint="eastAsia"/>
                <w:sz w:val="24"/>
                <w:szCs w:val="28"/>
              </w:rPr>
              <w:t>个项目，其中</w:t>
            </w:r>
            <w:r w:rsidRPr="00F4140D">
              <w:rPr>
                <w:rFonts w:hint="eastAsia"/>
                <w:sz w:val="24"/>
                <w:szCs w:val="28"/>
              </w:rPr>
              <w:t>6</w:t>
            </w:r>
            <w:r w:rsidRPr="00F4140D">
              <w:rPr>
                <w:rFonts w:hint="eastAsia"/>
                <w:sz w:val="24"/>
                <w:szCs w:val="28"/>
              </w:rPr>
              <w:t>个项目已经获批，</w:t>
            </w:r>
            <w:r w:rsidRPr="00F4140D">
              <w:rPr>
                <w:rFonts w:hint="eastAsia"/>
                <w:sz w:val="24"/>
                <w:szCs w:val="28"/>
              </w:rPr>
              <w:t>7</w:t>
            </w:r>
            <w:r w:rsidRPr="00F4140D">
              <w:rPr>
                <w:rFonts w:hint="eastAsia"/>
                <w:sz w:val="24"/>
                <w:szCs w:val="28"/>
              </w:rPr>
              <w:t>个项目递交了上市申请并处于</w:t>
            </w:r>
            <w:proofErr w:type="gramStart"/>
            <w:r w:rsidRPr="00F4140D">
              <w:rPr>
                <w:rFonts w:hint="eastAsia"/>
                <w:sz w:val="24"/>
                <w:szCs w:val="28"/>
              </w:rPr>
              <w:t>审评审批</w:t>
            </w:r>
            <w:proofErr w:type="gramEnd"/>
            <w:r w:rsidRPr="00F4140D">
              <w:rPr>
                <w:rFonts w:hint="eastAsia"/>
                <w:sz w:val="24"/>
                <w:szCs w:val="28"/>
              </w:rPr>
              <w:t>不同阶段，其中西格列</w:t>
            </w:r>
            <w:proofErr w:type="gramStart"/>
            <w:r w:rsidRPr="00F4140D">
              <w:rPr>
                <w:rFonts w:hint="eastAsia"/>
                <w:sz w:val="24"/>
                <w:szCs w:val="28"/>
              </w:rPr>
              <w:t>汀</w:t>
            </w:r>
            <w:proofErr w:type="gramEnd"/>
            <w:r w:rsidRPr="00F4140D">
              <w:rPr>
                <w:rFonts w:hint="eastAsia"/>
                <w:sz w:val="24"/>
                <w:szCs w:val="28"/>
              </w:rPr>
              <w:t>二甲双</w:t>
            </w:r>
            <w:proofErr w:type="gramStart"/>
            <w:r w:rsidRPr="00F4140D">
              <w:rPr>
                <w:rFonts w:hint="eastAsia"/>
                <w:sz w:val="24"/>
                <w:szCs w:val="28"/>
              </w:rPr>
              <w:t>胍</w:t>
            </w:r>
            <w:proofErr w:type="gramEnd"/>
            <w:r w:rsidRPr="00F4140D">
              <w:rPr>
                <w:rFonts w:hint="eastAsia"/>
                <w:sz w:val="24"/>
                <w:szCs w:val="28"/>
              </w:rPr>
              <w:t>片Ⅱ中选国家第十批集采。</w:t>
            </w:r>
            <w:bookmarkStart w:id="0" w:name="_GoBack"/>
            <w:bookmarkEnd w:id="0"/>
          </w:p>
        </w:tc>
      </w:tr>
    </w:tbl>
    <w:p w14:paraId="2E284C86" w14:textId="77777777" w:rsidR="001E0224" w:rsidRPr="004C3F15" w:rsidRDefault="001E0224" w:rsidP="004C3F15"/>
    <w:sectPr w:rsidR="001E0224" w:rsidRPr="004C3F15">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A2DAA7" w14:textId="77777777" w:rsidR="00BA604A" w:rsidRDefault="00BA604A">
      <w:pPr>
        <w:ind w:firstLine="420"/>
      </w:pPr>
      <w:r>
        <w:separator/>
      </w:r>
    </w:p>
  </w:endnote>
  <w:endnote w:type="continuationSeparator" w:id="0">
    <w:p w14:paraId="131AC322" w14:textId="77777777" w:rsidR="00BA604A" w:rsidRDefault="00BA604A">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F9EBD8" w14:textId="77777777" w:rsidR="00BA604A" w:rsidRDefault="00BA604A">
      <w:pPr>
        <w:ind w:firstLine="420"/>
      </w:pPr>
      <w:r>
        <w:separator/>
      </w:r>
    </w:p>
  </w:footnote>
  <w:footnote w:type="continuationSeparator" w:id="0">
    <w:p w14:paraId="20B3E1B1" w14:textId="77777777" w:rsidR="00BA604A" w:rsidRDefault="00BA604A">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B399C" w14:textId="77777777" w:rsidR="001E0224" w:rsidRDefault="004823B0">
    <w:pPr>
      <w:pStyle w:val="a7"/>
      <w:pBdr>
        <w:bottom w:val="single" w:sz="6" w:space="0" w:color="auto"/>
      </w:pBdr>
      <w:ind w:firstLine="360"/>
      <w:jc w:val="left"/>
    </w:pPr>
    <w:r>
      <w:rPr>
        <w:noProof/>
      </w:rPr>
      <w:drawing>
        <wp:inline distT="0" distB="0" distL="0" distR="0" wp14:anchorId="3E65BCBD" wp14:editId="6006682A">
          <wp:extent cx="990600" cy="493395"/>
          <wp:effectExtent l="0" t="0" r="0" b="0"/>
          <wp:docPr id="1" name="图片 1" descr="G:\19-年报设计\公司2016年年度报告编制资料\2016年年报设计图片资料\jiuzhou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G:\19-年报设计\公司2016年年度报告编制资料\2016年年报设计图片资料\jiuzhou LOGO.png"/>
                  <pic:cNvPicPr>
                    <a:picLocks noChangeAspect="1" noChangeArrowheads="1"/>
                  </pic:cNvPicPr>
                </pic:nvPicPr>
                <pic:blipFill>
                  <a:blip r:embed="rId1"/>
                  <a:srcRect/>
                  <a:stretch>
                    <a:fillRect/>
                  </a:stretch>
                </pic:blipFill>
                <pic:spPr>
                  <a:xfrm>
                    <a:off x="0" y="0"/>
                    <a:ext cx="1003263" cy="499988"/>
                  </a:xfrm>
                  <a:prstGeom prst="rect">
                    <a:avLst/>
                  </a:prstGeom>
                  <a:noFill/>
                  <a:ln w="9525">
                    <a:noFill/>
                    <a:miter lim="800000"/>
                    <a:headEnd/>
                    <a:tailEnd/>
                  </a:ln>
                </pic:spPr>
              </pic:pic>
            </a:graphicData>
          </a:graphic>
        </wp:inline>
      </w:drawing>
    </w:r>
    <w:r>
      <w:rPr>
        <w:rFonts w:hint="eastAsia"/>
        <w:sz w:val="21"/>
        <w:szCs w:val="21"/>
      </w:rPr>
      <w:t>浙江九洲药业股份有限公司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JhM2I4NGRhODExODliMTg0NjEyYWI4MTRlZTcwMTkifQ=="/>
  </w:docVars>
  <w:rsids>
    <w:rsidRoot w:val="00D81F21"/>
    <w:rsid w:val="000029C2"/>
    <w:rsid w:val="00017BAC"/>
    <w:rsid w:val="00026338"/>
    <w:rsid w:val="00041412"/>
    <w:rsid w:val="00043731"/>
    <w:rsid w:val="00050148"/>
    <w:rsid w:val="0005758A"/>
    <w:rsid w:val="000579C1"/>
    <w:rsid w:val="00063CD5"/>
    <w:rsid w:val="00070A7D"/>
    <w:rsid w:val="00081714"/>
    <w:rsid w:val="0008225D"/>
    <w:rsid w:val="000829C0"/>
    <w:rsid w:val="00084F77"/>
    <w:rsid w:val="000A1B6F"/>
    <w:rsid w:val="000A4035"/>
    <w:rsid w:val="000A4322"/>
    <w:rsid w:val="000A4C53"/>
    <w:rsid w:val="000B3D7A"/>
    <w:rsid w:val="000C5C99"/>
    <w:rsid w:val="000C7977"/>
    <w:rsid w:val="000D31D5"/>
    <w:rsid w:val="000E33B0"/>
    <w:rsid w:val="000F2A2E"/>
    <w:rsid w:val="000F3880"/>
    <w:rsid w:val="000F6FCC"/>
    <w:rsid w:val="00103992"/>
    <w:rsid w:val="00103DF9"/>
    <w:rsid w:val="0010490F"/>
    <w:rsid w:val="00110B62"/>
    <w:rsid w:val="0011568A"/>
    <w:rsid w:val="001409AF"/>
    <w:rsid w:val="00142E66"/>
    <w:rsid w:val="001548E3"/>
    <w:rsid w:val="00160AA5"/>
    <w:rsid w:val="0016574D"/>
    <w:rsid w:val="00167574"/>
    <w:rsid w:val="00167F43"/>
    <w:rsid w:val="00174B44"/>
    <w:rsid w:val="00180DD6"/>
    <w:rsid w:val="001879B2"/>
    <w:rsid w:val="001A3685"/>
    <w:rsid w:val="001D05D8"/>
    <w:rsid w:val="001D321F"/>
    <w:rsid w:val="001D6712"/>
    <w:rsid w:val="001D73D2"/>
    <w:rsid w:val="001E0224"/>
    <w:rsid w:val="001E0F0B"/>
    <w:rsid w:val="001E3B38"/>
    <w:rsid w:val="001F2497"/>
    <w:rsid w:val="001F6C06"/>
    <w:rsid w:val="00204385"/>
    <w:rsid w:val="00221AB4"/>
    <w:rsid w:val="00221DE8"/>
    <w:rsid w:val="0022228C"/>
    <w:rsid w:val="00224713"/>
    <w:rsid w:val="0022482C"/>
    <w:rsid w:val="00242084"/>
    <w:rsid w:val="00242FC5"/>
    <w:rsid w:val="00252CD2"/>
    <w:rsid w:val="002540C3"/>
    <w:rsid w:val="0026591A"/>
    <w:rsid w:val="00267797"/>
    <w:rsid w:val="00280422"/>
    <w:rsid w:val="002879C1"/>
    <w:rsid w:val="00295E5A"/>
    <w:rsid w:val="002A3F38"/>
    <w:rsid w:val="002A42B7"/>
    <w:rsid w:val="002B0ADA"/>
    <w:rsid w:val="002B4278"/>
    <w:rsid w:val="002D34BC"/>
    <w:rsid w:val="002D6B6D"/>
    <w:rsid w:val="002F3798"/>
    <w:rsid w:val="002F40C8"/>
    <w:rsid w:val="00306AD2"/>
    <w:rsid w:val="0031044D"/>
    <w:rsid w:val="00314D58"/>
    <w:rsid w:val="00315A15"/>
    <w:rsid w:val="003214A4"/>
    <w:rsid w:val="00330434"/>
    <w:rsid w:val="00332E72"/>
    <w:rsid w:val="00337A1F"/>
    <w:rsid w:val="003533C5"/>
    <w:rsid w:val="0035501A"/>
    <w:rsid w:val="0035782A"/>
    <w:rsid w:val="003601DD"/>
    <w:rsid w:val="003608E1"/>
    <w:rsid w:val="00367B52"/>
    <w:rsid w:val="003702FE"/>
    <w:rsid w:val="00385EFF"/>
    <w:rsid w:val="0039221F"/>
    <w:rsid w:val="00393BC9"/>
    <w:rsid w:val="003A4ADD"/>
    <w:rsid w:val="003A620D"/>
    <w:rsid w:val="003C3E5B"/>
    <w:rsid w:val="003F1890"/>
    <w:rsid w:val="00414B4F"/>
    <w:rsid w:val="00420B79"/>
    <w:rsid w:val="00423308"/>
    <w:rsid w:val="00445E28"/>
    <w:rsid w:val="00452943"/>
    <w:rsid w:val="0046069F"/>
    <w:rsid w:val="00460A86"/>
    <w:rsid w:val="0046790B"/>
    <w:rsid w:val="00471B19"/>
    <w:rsid w:val="004765AB"/>
    <w:rsid w:val="004823B0"/>
    <w:rsid w:val="00485C3B"/>
    <w:rsid w:val="00495F98"/>
    <w:rsid w:val="004A66B3"/>
    <w:rsid w:val="004B1899"/>
    <w:rsid w:val="004B523D"/>
    <w:rsid w:val="004C3F15"/>
    <w:rsid w:val="004C7E61"/>
    <w:rsid w:val="004D5620"/>
    <w:rsid w:val="004E6F7B"/>
    <w:rsid w:val="004F4537"/>
    <w:rsid w:val="004F4D19"/>
    <w:rsid w:val="004F53D4"/>
    <w:rsid w:val="00501E72"/>
    <w:rsid w:val="005027D9"/>
    <w:rsid w:val="00506763"/>
    <w:rsid w:val="00513B38"/>
    <w:rsid w:val="005336ED"/>
    <w:rsid w:val="005438EC"/>
    <w:rsid w:val="00544C6F"/>
    <w:rsid w:val="0055071F"/>
    <w:rsid w:val="00553324"/>
    <w:rsid w:val="00560A03"/>
    <w:rsid w:val="00560B90"/>
    <w:rsid w:val="00560BE2"/>
    <w:rsid w:val="005644D1"/>
    <w:rsid w:val="00564602"/>
    <w:rsid w:val="00565506"/>
    <w:rsid w:val="005719F7"/>
    <w:rsid w:val="00571F34"/>
    <w:rsid w:val="00575247"/>
    <w:rsid w:val="005754D0"/>
    <w:rsid w:val="00580D9B"/>
    <w:rsid w:val="00581AD9"/>
    <w:rsid w:val="00585D6B"/>
    <w:rsid w:val="00595349"/>
    <w:rsid w:val="005B36BD"/>
    <w:rsid w:val="005C1B96"/>
    <w:rsid w:val="005C738A"/>
    <w:rsid w:val="005D199D"/>
    <w:rsid w:val="005D2506"/>
    <w:rsid w:val="005D4B6F"/>
    <w:rsid w:val="005E4564"/>
    <w:rsid w:val="005E46F6"/>
    <w:rsid w:val="005E617D"/>
    <w:rsid w:val="00605C19"/>
    <w:rsid w:val="0063747B"/>
    <w:rsid w:val="006402E5"/>
    <w:rsid w:val="00644A5A"/>
    <w:rsid w:val="00653486"/>
    <w:rsid w:val="006542CA"/>
    <w:rsid w:val="00656B0A"/>
    <w:rsid w:val="00661DC1"/>
    <w:rsid w:val="0067476F"/>
    <w:rsid w:val="00680905"/>
    <w:rsid w:val="00682339"/>
    <w:rsid w:val="00685ECE"/>
    <w:rsid w:val="006866FD"/>
    <w:rsid w:val="006908AA"/>
    <w:rsid w:val="00692109"/>
    <w:rsid w:val="006A1CB8"/>
    <w:rsid w:val="006A465A"/>
    <w:rsid w:val="006A634F"/>
    <w:rsid w:val="006B0135"/>
    <w:rsid w:val="006B357A"/>
    <w:rsid w:val="006B4F7B"/>
    <w:rsid w:val="006D5699"/>
    <w:rsid w:val="006D770D"/>
    <w:rsid w:val="006E04D5"/>
    <w:rsid w:val="006F5314"/>
    <w:rsid w:val="00703704"/>
    <w:rsid w:val="00713280"/>
    <w:rsid w:val="00717B1E"/>
    <w:rsid w:val="00727AF7"/>
    <w:rsid w:val="00735DDD"/>
    <w:rsid w:val="00760F17"/>
    <w:rsid w:val="0076643F"/>
    <w:rsid w:val="0076655D"/>
    <w:rsid w:val="007A14B9"/>
    <w:rsid w:val="007A272C"/>
    <w:rsid w:val="007A7D4D"/>
    <w:rsid w:val="007B432A"/>
    <w:rsid w:val="007B47EB"/>
    <w:rsid w:val="007C7478"/>
    <w:rsid w:val="007E061E"/>
    <w:rsid w:val="007E0E2B"/>
    <w:rsid w:val="007F4525"/>
    <w:rsid w:val="00800B05"/>
    <w:rsid w:val="00804E92"/>
    <w:rsid w:val="00805A30"/>
    <w:rsid w:val="008064DA"/>
    <w:rsid w:val="00812D0F"/>
    <w:rsid w:val="00814CAD"/>
    <w:rsid w:val="008170C7"/>
    <w:rsid w:val="00825463"/>
    <w:rsid w:val="00854438"/>
    <w:rsid w:val="008546BF"/>
    <w:rsid w:val="00857A2B"/>
    <w:rsid w:val="00863DAE"/>
    <w:rsid w:val="008837C3"/>
    <w:rsid w:val="00883945"/>
    <w:rsid w:val="008A0C06"/>
    <w:rsid w:val="008A0D7B"/>
    <w:rsid w:val="008A3BA0"/>
    <w:rsid w:val="008A4097"/>
    <w:rsid w:val="008B08A2"/>
    <w:rsid w:val="008B4099"/>
    <w:rsid w:val="008D130C"/>
    <w:rsid w:val="008D199B"/>
    <w:rsid w:val="008F0066"/>
    <w:rsid w:val="009029C8"/>
    <w:rsid w:val="009039E5"/>
    <w:rsid w:val="009057FD"/>
    <w:rsid w:val="009067AB"/>
    <w:rsid w:val="009077EB"/>
    <w:rsid w:val="009153A4"/>
    <w:rsid w:val="00925FCF"/>
    <w:rsid w:val="00927792"/>
    <w:rsid w:val="00933582"/>
    <w:rsid w:val="00940D0B"/>
    <w:rsid w:val="00941BD4"/>
    <w:rsid w:val="00942626"/>
    <w:rsid w:val="009429F7"/>
    <w:rsid w:val="00955BAE"/>
    <w:rsid w:val="00960DF7"/>
    <w:rsid w:val="00961099"/>
    <w:rsid w:val="00966C78"/>
    <w:rsid w:val="00985A73"/>
    <w:rsid w:val="00990F49"/>
    <w:rsid w:val="009914BA"/>
    <w:rsid w:val="009969C8"/>
    <w:rsid w:val="009A218B"/>
    <w:rsid w:val="009C1150"/>
    <w:rsid w:val="009C494E"/>
    <w:rsid w:val="009D112F"/>
    <w:rsid w:val="009E2C5A"/>
    <w:rsid w:val="009E4894"/>
    <w:rsid w:val="009F0712"/>
    <w:rsid w:val="009F6B68"/>
    <w:rsid w:val="00A010FD"/>
    <w:rsid w:val="00A02C08"/>
    <w:rsid w:val="00A03303"/>
    <w:rsid w:val="00A05DC0"/>
    <w:rsid w:val="00A0718B"/>
    <w:rsid w:val="00A07D22"/>
    <w:rsid w:val="00A10038"/>
    <w:rsid w:val="00A43D91"/>
    <w:rsid w:val="00A43DD3"/>
    <w:rsid w:val="00A44FB4"/>
    <w:rsid w:val="00A5781B"/>
    <w:rsid w:val="00A66150"/>
    <w:rsid w:val="00A677EA"/>
    <w:rsid w:val="00A70A98"/>
    <w:rsid w:val="00A72220"/>
    <w:rsid w:val="00A8160D"/>
    <w:rsid w:val="00A83E98"/>
    <w:rsid w:val="00A90AEC"/>
    <w:rsid w:val="00AB5908"/>
    <w:rsid w:val="00AD4425"/>
    <w:rsid w:val="00AF00FB"/>
    <w:rsid w:val="00AF2F34"/>
    <w:rsid w:val="00B01B84"/>
    <w:rsid w:val="00B07C00"/>
    <w:rsid w:val="00B17B4E"/>
    <w:rsid w:val="00B26469"/>
    <w:rsid w:val="00B26CD4"/>
    <w:rsid w:val="00B3081D"/>
    <w:rsid w:val="00B448D0"/>
    <w:rsid w:val="00B45441"/>
    <w:rsid w:val="00B465BA"/>
    <w:rsid w:val="00B52FCD"/>
    <w:rsid w:val="00B60D39"/>
    <w:rsid w:val="00B9078B"/>
    <w:rsid w:val="00B917E0"/>
    <w:rsid w:val="00B9210D"/>
    <w:rsid w:val="00B959F1"/>
    <w:rsid w:val="00BA1ECE"/>
    <w:rsid w:val="00BA52A3"/>
    <w:rsid w:val="00BA5CBF"/>
    <w:rsid w:val="00BA604A"/>
    <w:rsid w:val="00BB1535"/>
    <w:rsid w:val="00BB25C5"/>
    <w:rsid w:val="00BB277A"/>
    <w:rsid w:val="00BB59B9"/>
    <w:rsid w:val="00BC0973"/>
    <w:rsid w:val="00BC3D77"/>
    <w:rsid w:val="00BC51B8"/>
    <w:rsid w:val="00BC5EC4"/>
    <w:rsid w:val="00BC6D8F"/>
    <w:rsid w:val="00BD5D0B"/>
    <w:rsid w:val="00BE0060"/>
    <w:rsid w:val="00BE1F05"/>
    <w:rsid w:val="00BE7BBB"/>
    <w:rsid w:val="00BF086F"/>
    <w:rsid w:val="00C03E66"/>
    <w:rsid w:val="00C04E36"/>
    <w:rsid w:val="00C11C4C"/>
    <w:rsid w:val="00C13286"/>
    <w:rsid w:val="00C2089B"/>
    <w:rsid w:val="00C22254"/>
    <w:rsid w:val="00C23B9D"/>
    <w:rsid w:val="00C2576D"/>
    <w:rsid w:val="00C3131B"/>
    <w:rsid w:val="00C34E46"/>
    <w:rsid w:val="00C41B77"/>
    <w:rsid w:val="00C42346"/>
    <w:rsid w:val="00C510BF"/>
    <w:rsid w:val="00C540B3"/>
    <w:rsid w:val="00C60736"/>
    <w:rsid w:val="00C66203"/>
    <w:rsid w:val="00C67671"/>
    <w:rsid w:val="00C702F0"/>
    <w:rsid w:val="00C76B30"/>
    <w:rsid w:val="00C777A5"/>
    <w:rsid w:val="00C80CFE"/>
    <w:rsid w:val="00C86D4D"/>
    <w:rsid w:val="00C97736"/>
    <w:rsid w:val="00CA20B5"/>
    <w:rsid w:val="00CA3237"/>
    <w:rsid w:val="00CA7356"/>
    <w:rsid w:val="00CB079D"/>
    <w:rsid w:val="00CB0CF4"/>
    <w:rsid w:val="00CB2C31"/>
    <w:rsid w:val="00CC4DDF"/>
    <w:rsid w:val="00CD2FE0"/>
    <w:rsid w:val="00CD328F"/>
    <w:rsid w:val="00CD5BFA"/>
    <w:rsid w:val="00CE184F"/>
    <w:rsid w:val="00CE32B3"/>
    <w:rsid w:val="00CE5098"/>
    <w:rsid w:val="00D0077D"/>
    <w:rsid w:val="00D06980"/>
    <w:rsid w:val="00D075AB"/>
    <w:rsid w:val="00D075E1"/>
    <w:rsid w:val="00D14D61"/>
    <w:rsid w:val="00D20062"/>
    <w:rsid w:val="00D30569"/>
    <w:rsid w:val="00D31B35"/>
    <w:rsid w:val="00D36C18"/>
    <w:rsid w:val="00D4784A"/>
    <w:rsid w:val="00D47A6A"/>
    <w:rsid w:val="00D5385D"/>
    <w:rsid w:val="00D71066"/>
    <w:rsid w:val="00D71BBF"/>
    <w:rsid w:val="00D71C7E"/>
    <w:rsid w:val="00D72AE4"/>
    <w:rsid w:val="00D73779"/>
    <w:rsid w:val="00D81F21"/>
    <w:rsid w:val="00D86A7A"/>
    <w:rsid w:val="00D920B6"/>
    <w:rsid w:val="00D97760"/>
    <w:rsid w:val="00DB23EE"/>
    <w:rsid w:val="00DB3E1F"/>
    <w:rsid w:val="00DD68B3"/>
    <w:rsid w:val="00DD7B12"/>
    <w:rsid w:val="00DF2A43"/>
    <w:rsid w:val="00DF6F2C"/>
    <w:rsid w:val="00E028FE"/>
    <w:rsid w:val="00E03CAC"/>
    <w:rsid w:val="00E04B32"/>
    <w:rsid w:val="00E16A59"/>
    <w:rsid w:val="00E31E58"/>
    <w:rsid w:val="00E341A5"/>
    <w:rsid w:val="00E45429"/>
    <w:rsid w:val="00E45DF7"/>
    <w:rsid w:val="00E51B25"/>
    <w:rsid w:val="00E6711E"/>
    <w:rsid w:val="00E76349"/>
    <w:rsid w:val="00E83828"/>
    <w:rsid w:val="00E86146"/>
    <w:rsid w:val="00E86B24"/>
    <w:rsid w:val="00EB3335"/>
    <w:rsid w:val="00EB5E40"/>
    <w:rsid w:val="00EC615B"/>
    <w:rsid w:val="00ED090C"/>
    <w:rsid w:val="00ED0D1E"/>
    <w:rsid w:val="00ED7990"/>
    <w:rsid w:val="00EE2126"/>
    <w:rsid w:val="00EE2A90"/>
    <w:rsid w:val="00EE45D9"/>
    <w:rsid w:val="00EE60B8"/>
    <w:rsid w:val="00EE7197"/>
    <w:rsid w:val="00F03306"/>
    <w:rsid w:val="00F0432F"/>
    <w:rsid w:val="00F059AE"/>
    <w:rsid w:val="00F07A8E"/>
    <w:rsid w:val="00F1171D"/>
    <w:rsid w:val="00F178C6"/>
    <w:rsid w:val="00F4140D"/>
    <w:rsid w:val="00F42842"/>
    <w:rsid w:val="00F578CB"/>
    <w:rsid w:val="00F67289"/>
    <w:rsid w:val="00F73935"/>
    <w:rsid w:val="00F753BA"/>
    <w:rsid w:val="00F82D41"/>
    <w:rsid w:val="00F836DE"/>
    <w:rsid w:val="00F841B1"/>
    <w:rsid w:val="00F85A6E"/>
    <w:rsid w:val="00F967A9"/>
    <w:rsid w:val="00FB7459"/>
    <w:rsid w:val="00FE378C"/>
    <w:rsid w:val="00FF66AE"/>
    <w:rsid w:val="142567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697D37"/>
  <w15:docId w15:val="{7E2226E7-84CA-4F18-8B06-A1245D558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autoRedefine/>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autoRedefine/>
    <w:uiPriority w:val="99"/>
    <w:semiHidden/>
    <w:unhideWhenUsed/>
    <w:qFormat/>
    <w:rPr>
      <w:sz w:val="18"/>
      <w:szCs w:val="18"/>
    </w:rPr>
  </w:style>
  <w:style w:type="paragraph" w:styleId="a5">
    <w:name w:val="footer"/>
    <w:basedOn w:val="a"/>
    <w:link w:val="a6"/>
    <w:autoRedefine/>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a8"/>
    <w:autoRedefin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8">
    <w:name w:val="页眉 字符"/>
    <w:basedOn w:val="a0"/>
    <w:link w:val="a7"/>
    <w:autoRedefine/>
    <w:uiPriority w:val="99"/>
    <w:qFormat/>
    <w:rPr>
      <w:sz w:val="18"/>
      <w:szCs w:val="18"/>
    </w:rPr>
  </w:style>
  <w:style w:type="character" w:customStyle="1" w:styleId="a6">
    <w:name w:val="页脚 字符"/>
    <w:basedOn w:val="a0"/>
    <w:link w:val="a5"/>
    <w:autoRedefine/>
    <w:uiPriority w:val="99"/>
    <w:qFormat/>
    <w:rPr>
      <w:sz w:val="18"/>
      <w:szCs w:val="18"/>
    </w:rPr>
  </w:style>
  <w:style w:type="character" w:customStyle="1" w:styleId="a4">
    <w:name w:val="批注框文本 字符"/>
    <w:basedOn w:val="a0"/>
    <w:link w:val="a3"/>
    <w:autoRedefine/>
    <w:uiPriority w:val="99"/>
    <w:semiHidden/>
    <w:qFormat/>
    <w:rPr>
      <w:rFonts w:ascii="Times New Roman" w:eastAsia="宋体" w:hAnsi="Times New Roman" w:cs="Times New Roman"/>
      <w:sz w:val="18"/>
      <w:szCs w:val="18"/>
    </w:rPr>
  </w:style>
  <w:style w:type="character" w:styleId="a9">
    <w:name w:val="annotation reference"/>
    <w:basedOn w:val="a0"/>
    <w:uiPriority w:val="99"/>
    <w:semiHidden/>
    <w:unhideWhenUsed/>
    <w:rsid w:val="00580D9B"/>
    <w:rPr>
      <w:sz w:val="21"/>
      <w:szCs w:val="21"/>
    </w:rPr>
  </w:style>
  <w:style w:type="paragraph" w:styleId="aa">
    <w:name w:val="annotation text"/>
    <w:basedOn w:val="a"/>
    <w:link w:val="ab"/>
    <w:uiPriority w:val="99"/>
    <w:unhideWhenUsed/>
    <w:rsid w:val="00580D9B"/>
    <w:pPr>
      <w:jc w:val="left"/>
    </w:pPr>
  </w:style>
  <w:style w:type="character" w:customStyle="1" w:styleId="ab">
    <w:name w:val="批注文字 字符"/>
    <w:basedOn w:val="a0"/>
    <w:link w:val="aa"/>
    <w:uiPriority w:val="99"/>
    <w:rsid w:val="00580D9B"/>
    <w:rPr>
      <w:rFonts w:ascii="Times New Roman" w:eastAsia="宋体" w:hAnsi="Times New Roman" w:cs="Times New Roman"/>
      <w:kern w:val="2"/>
      <w:sz w:val="21"/>
      <w:szCs w:val="24"/>
    </w:rPr>
  </w:style>
  <w:style w:type="paragraph" w:styleId="ac">
    <w:name w:val="annotation subject"/>
    <w:basedOn w:val="aa"/>
    <w:next w:val="aa"/>
    <w:link w:val="ad"/>
    <w:uiPriority w:val="99"/>
    <w:semiHidden/>
    <w:unhideWhenUsed/>
    <w:rsid w:val="00580D9B"/>
    <w:rPr>
      <w:b/>
      <w:bCs/>
    </w:rPr>
  </w:style>
  <w:style w:type="character" w:customStyle="1" w:styleId="ad">
    <w:name w:val="批注主题 字符"/>
    <w:basedOn w:val="ab"/>
    <w:link w:val="ac"/>
    <w:uiPriority w:val="99"/>
    <w:semiHidden/>
    <w:rsid w:val="00580D9B"/>
    <w:rPr>
      <w:rFonts w:ascii="Times New Roman" w:eastAsia="宋体" w:hAnsi="Times New Roman" w:cs="Times New Roman"/>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211</TotalTime>
  <Pages>4</Pages>
  <Words>456</Words>
  <Characters>2602</Characters>
  <Application>Microsoft Office Word</Application>
  <DocSecurity>0</DocSecurity>
  <Lines>21</Lines>
  <Paragraphs>6</Paragraphs>
  <ScaleCrop>false</ScaleCrop>
  <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zq</dc:creator>
  <cp:lastModifiedBy>Rebecca Wang</cp:lastModifiedBy>
  <cp:revision>61</cp:revision>
  <cp:lastPrinted>2023-05-04T07:13:00Z</cp:lastPrinted>
  <dcterms:created xsi:type="dcterms:W3CDTF">2023-02-17T07:59:00Z</dcterms:created>
  <dcterms:modified xsi:type="dcterms:W3CDTF">2025-04-14T08:53:00Z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2023-02-16T12:52:15Z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cd016b8c-14f5-4791-a9c9-9efe46a90ccf</vt:lpwstr>
  </property>
  <property fmtid="{D5CDD505-2E9C-101B-9397-08002B2CF9AE}" pid="7" name="MSIP_Label_defa4170-0d19-0005-0004-bc88714345d2_ActionId">
    <vt:lpwstr>e0b1ad46-61a9-4902-b30e-c9b0e4ae7b77</vt:lpwstr>
  </property>
  <property fmtid="{D5CDD505-2E9C-101B-9397-08002B2CF9AE}" pid="8" name="MSIP_Label_defa4170-0d19-0005-0004-bc88714345d2_ContentBits">
    <vt:lpwstr>0</vt:lpwstr>
  </property>
  <property fmtid="{D5CDD505-2E9C-101B-9397-08002B2CF9AE}" pid="9" name="KSOProductBuildVer">
    <vt:lpwstr>2052-12.1.0.16250</vt:lpwstr>
  </property>
  <property fmtid="{D5CDD505-2E9C-101B-9397-08002B2CF9AE}" pid="10" name="ICV">
    <vt:lpwstr>E64F0F83F58240A2B78449C87C44C492_13</vt:lpwstr>
  </property>
</Properties>
</file>