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33302" w14:textId="77777777" w:rsidR="004E32B4" w:rsidRDefault="00A8228D">
      <w:pPr>
        <w:snapToGrid w:val="0"/>
        <w:spacing w:line="360" w:lineRule="auto"/>
        <w:rPr>
          <w:rFonts w:eastAsiaTheme="minorEastAsia"/>
          <w:b/>
          <w:iCs/>
          <w:color w:val="000000"/>
          <w:sz w:val="24"/>
          <w:szCs w:val="24"/>
        </w:rPr>
      </w:pPr>
      <w:r>
        <w:rPr>
          <w:rFonts w:eastAsiaTheme="minorEastAsia"/>
          <w:b/>
          <w:iCs/>
          <w:color w:val="000000"/>
          <w:sz w:val="24"/>
          <w:szCs w:val="24"/>
        </w:rPr>
        <w:t>证券代码：</w:t>
      </w:r>
      <w:r>
        <w:rPr>
          <w:rFonts w:eastAsiaTheme="minorEastAsia"/>
          <w:b/>
          <w:iCs/>
          <w:color w:val="000000"/>
          <w:sz w:val="24"/>
          <w:szCs w:val="24"/>
        </w:rPr>
        <w:t xml:space="preserve">605086                                  </w:t>
      </w:r>
      <w:r>
        <w:rPr>
          <w:rFonts w:eastAsiaTheme="minorEastAsia"/>
          <w:b/>
          <w:iCs/>
          <w:color w:val="000000"/>
          <w:sz w:val="24"/>
          <w:szCs w:val="24"/>
        </w:rPr>
        <w:t>证券简称：龙高股份</w:t>
      </w:r>
    </w:p>
    <w:p w14:paraId="07AC5C36" w14:textId="77777777" w:rsidR="004E32B4" w:rsidRDefault="00A8228D">
      <w:pPr>
        <w:snapToGrid w:val="0"/>
        <w:spacing w:beforeLines="50" w:before="156" w:afterLines="50" w:after="156"/>
        <w:jc w:val="center"/>
        <w:rPr>
          <w:rFonts w:eastAsia="黑体"/>
          <w:b/>
          <w:bCs/>
          <w:iCs/>
          <w:color w:val="000000"/>
          <w:sz w:val="32"/>
          <w:szCs w:val="32"/>
        </w:rPr>
      </w:pPr>
      <w:r>
        <w:rPr>
          <w:rFonts w:eastAsia="黑体"/>
          <w:b/>
          <w:bCs/>
          <w:iCs/>
          <w:color w:val="000000"/>
          <w:sz w:val="32"/>
          <w:szCs w:val="32"/>
        </w:rPr>
        <w:t>龙岩高岭土股份有限公司投资者关系活动记录表</w:t>
      </w:r>
    </w:p>
    <w:p w14:paraId="2BD8022E" w14:textId="77777777" w:rsidR="004E32B4" w:rsidRDefault="00A8228D">
      <w:pPr>
        <w:spacing w:line="460" w:lineRule="exact"/>
        <w:rPr>
          <w:rFonts w:eastAsia="仿宋"/>
          <w:bCs/>
          <w:iCs/>
          <w:color w:val="000000"/>
          <w:sz w:val="24"/>
          <w:szCs w:val="24"/>
        </w:rPr>
      </w:pPr>
      <w:r>
        <w:rPr>
          <w:rFonts w:eastAsia="仿宋"/>
          <w:bCs/>
          <w:iCs/>
          <w:color w:val="000000"/>
          <w:sz w:val="28"/>
          <w:szCs w:val="28"/>
        </w:rPr>
        <w:t xml:space="preserve">                                                </w:t>
      </w:r>
      <w:r>
        <w:rPr>
          <w:rFonts w:asciiTheme="minorEastAsia" w:eastAsiaTheme="minorEastAsia" w:hAnsiTheme="minorEastAsia"/>
          <w:bCs/>
          <w:iCs/>
          <w:color w:val="000000"/>
          <w:sz w:val="24"/>
          <w:szCs w:val="24"/>
        </w:rPr>
        <w:t>编号：</w:t>
      </w:r>
      <w:r>
        <w:rPr>
          <w:rFonts w:eastAsia="仿宋"/>
          <w:bCs/>
          <w:iCs/>
          <w:color w:val="000000"/>
          <w:sz w:val="24"/>
          <w:szCs w:val="24"/>
        </w:rPr>
        <w:t>202</w:t>
      </w:r>
      <w:r>
        <w:rPr>
          <w:rFonts w:eastAsia="仿宋" w:hint="eastAsia"/>
          <w:bCs/>
          <w:iCs/>
          <w:color w:val="000000"/>
          <w:sz w:val="24"/>
          <w:szCs w:val="24"/>
        </w:rPr>
        <w:t>5</w:t>
      </w:r>
      <w:r>
        <w:rPr>
          <w:rFonts w:eastAsia="仿宋"/>
          <w:bCs/>
          <w:iCs/>
          <w:color w:val="000000"/>
          <w:sz w:val="24"/>
          <w:szCs w:val="24"/>
        </w:rPr>
        <w:t>-0</w:t>
      </w:r>
      <w:r>
        <w:rPr>
          <w:rFonts w:eastAsia="仿宋" w:hint="eastAsia"/>
          <w:bCs/>
          <w:iCs/>
          <w:color w:val="000000"/>
          <w:sz w:val="24"/>
          <w:szCs w:val="24"/>
        </w:rPr>
        <w:t>5</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379"/>
      </w:tblGrid>
      <w:tr w:rsidR="004E32B4" w14:paraId="0268AB9E" w14:textId="77777777">
        <w:trPr>
          <w:trHeight w:val="1249"/>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2F84D89" w14:textId="77777777" w:rsidR="004E32B4" w:rsidRDefault="00A8228D">
            <w:pPr>
              <w:spacing w:line="460" w:lineRule="exact"/>
              <w:textAlignment w:val="center"/>
              <w:rPr>
                <w:bCs/>
                <w:iCs/>
                <w:color w:val="000000"/>
                <w:sz w:val="24"/>
                <w:szCs w:val="24"/>
              </w:rPr>
            </w:pPr>
            <w:r>
              <w:rPr>
                <w:bCs/>
                <w:iCs/>
                <w:color w:val="000000"/>
                <w:sz w:val="24"/>
                <w:szCs w:val="24"/>
              </w:rPr>
              <w:t>投资者关系活动类别</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74FCC94A" w14:textId="77777777" w:rsidR="004E32B4" w:rsidRDefault="00A8228D">
            <w:pPr>
              <w:spacing w:line="460" w:lineRule="exact"/>
              <w:textAlignment w:val="center"/>
              <w:rPr>
                <w:rFonts w:ascii="宋体" w:hAnsi="宋体"/>
                <w:bCs/>
                <w:iCs/>
                <w:color w:val="000000"/>
                <w:sz w:val="24"/>
                <w:szCs w:val="24"/>
              </w:rPr>
            </w:pPr>
            <w:r>
              <w:rPr>
                <w:rFonts w:ascii="宋体" w:hAnsi="宋体"/>
                <w:bCs/>
                <w:iCs/>
                <w:color w:val="000000"/>
                <w:sz w:val="24"/>
                <w:szCs w:val="24"/>
              </w:rPr>
              <w:t>□</w:t>
            </w:r>
            <w:r>
              <w:rPr>
                <w:rFonts w:ascii="宋体" w:hAnsi="宋体"/>
                <w:color w:val="000000"/>
                <w:sz w:val="24"/>
                <w:szCs w:val="24"/>
              </w:rPr>
              <w:t>特定对象调研</w:t>
            </w:r>
            <w:r>
              <w:rPr>
                <w:rFonts w:ascii="宋体" w:hAnsi="宋体"/>
                <w:color w:val="000000"/>
                <w:sz w:val="24"/>
                <w:szCs w:val="24"/>
              </w:rPr>
              <w:t xml:space="preserve">      </w:t>
            </w:r>
            <w:r>
              <w:rPr>
                <w:rFonts w:ascii="宋体" w:hAnsi="宋体"/>
                <w:bCs/>
                <w:iCs/>
                <w:color w:val="000000"/>
                <w:sz w:val="24"/>
                <w:szCs w:val="24"/>
              </w:rPr>
              <w:t>□</w:t>
            </w:r>
            <w:r>
              <w:rPr>
                <w:rFonts w:ascii="宋体" w:hAnsi="宋体"/>
                <w:color w:val="000000"/>
                <w:sz w:val="24"/>
                <w:szCs w:val="24"/>
              </w:rPr>
              <w:t>分析师会议</w:t>
            </w:r>
            <w:r>
              <w:rPr>
                <w:rFonts w:ascii="宋体" w:hAnsi="宋体" w:hint="eastAsia"/>
                <w:color w:val="000000"/>
                <w:sz w:val="24"/>
                <w:szCs w:val="24"/>
              </w:rPr>
              <w:t xml:space="preserve"> </w:t>
            </w:r>
            <w:r>
              <w:rPr>
                <w:rFonts w:ascii="宋体" w:hAnsi="宋体"/>
                <w:color w:val="000000"/>
                <w:sz w:val="24"/>
                <w:szCs w:val="24"/>
              </w:rPr>
              <w:t xml:space="preserve">      </w:t>
            </w:r>
            <w:r>
              <w:rPr>
                <w:rFonts w:ascii="宋体" w:hAnsi="宋体"/>
                <w:bCs/>
                <w:iCs/>
                <w:color w:val="000000"/>
                <w:sz w:val="24"/>
                <w:szCs w:val="24"/>
              </w:rPr>
              <w:t>□</w:t>
            </w:r>
            <w:r>
              <w:rPr>
                <w:rFonts w:ascii="宋体" w:hAnsi="宋体"/>
                <w:color w:val="000000"/>
                <w:sz w:val="24"/>
                <w:szCs w:val="24"/>
              </w:rPr>
              <w:t>媒体采访</w:t>
            </w:r>
            <w:r>
              <w:rPr>
                <w:rFonts w:ascii="宋体" w:hAnsi="宋体"/>
                <w:color w:val="000000"/>
                <w:sz w:val="24"/>
                <w:szCs w:val="24"/>
              </w:rPr>
              <w:t xml:space="preserve">          </w:t>
            </w:r>
            <w:r>
              <w:rPr>
                <w:rFonts w:ascii="宋体" w:hAnsi="宋体"/>
                <w:bCs/>
                <w:iCs/>
                <w:color w:val="000000"/>
                <w:sz w:val="24"/>
                <w:szCs w:val="24"/>
              </w:rPr>
              <w:t>□</w:t>
            </w:r>
            <w:r>
              <w:rPr>
                <w:rFonts w:ascii="宋体" w:hAnsi="宋体"/>
                <w:color w:val="000000"/>
                <w:sz w:val="24"/>
                <w:szCs w:val="24"/>
              </w:rPr>
              <w:t>业绩说明会</w:t>
            </w:r>
            <w:r>
              <w:rPr>
                <w:rFonts w:ascii="宋体" w:hAnsi="宋体"/>
                <w:color w:val="000000"/>
                <w:sz w:val="24"/>
                <w:szCs w:val="24"/>
              </w:rPr>
              <w:t xml:space="preserve">         </w:t>
            </w:r>
            <w:r>
              <w:rPr>
                <w:rFonts w:ascii="宋体" w:hAnsi="宋体"/>
                <w:bCs/>
                <w:iCs/>
                <w:color w:val="000000"/>
                <w:sz w:val="24"/>
                <w:szCs w:val="24"/>
              </w:rPr>
              <w:t>□</w:t>
            </w:r>
            <w:r>
              <w:rPr>
                <w:rFonts w:ascii="宋体" w:hAnsi="宋体"/>
                <w:color w:val="000000"/>
                <w:sz w:val="24"/>
                <w:szCs w:val="24"/>
              </w:rPr>
              <w:t>新闻发布会</w:t>
            </w:r>
            <w:r>
              <w:rPr>
                <w:rFonts w:ascii="宋体" w:hAnsi="宋体"/>
                <w:color w:val="000000"/>
                <w:sz w:val="24"/>
                <w:szCs w:val="24"/>
              </w:rPr>
              <w:t xml:space="preserve">        </w:t>
            </w:r>
            <w:r>
              <w:rPr>
                <w:rFonts w:ascii="宋体" w:hAnsi="宋体"/>
                <w:bCs/>
                <w:iCs/>
                <w:color w:val="000000"/>
                <w:sz w:val="24"/>
                <w:szCs w:val="24"/>
              </w:rPr>
              <w:t>□</w:t>
            </w:r>
            <w:r>
              <w:rPr>
                <w:rFonts w:ascii="宋体" w:hAnsi="宋体"/>
                <w:color w:val="000000"/>
                <w:sz w:val="24"/>
                <w:szCs w:val="24"/>
              </w:rPr>
              <w:t>路演活动</w:t>
            </w:r>
          </w:p>
          <w:p w14:paraId="598F5274" w14:textId="77777777" w:rsidR="004E32B4" w:rsidRDefault="00A8228D">
            <w:pPr>
              <w:tabs>
                <w:tab w:val="left" w:pos="3045"/>
                <w:tab w:val="center" w:pos="3199"/>
              </w:tabs>
              <w:spacing w:line="460" w:lineRule="exact"/>
              <w:textAlignment w:val="center"/>
              <w:rPr>
                <w:bCs/>
                <w:iCs/>
                <w:color w:val="000000"/>
                <w:sz w:val="24"/>
                <w:szCs w:val="24"/>
              </w:rPr>
            </w:pPr>
            <w:r>
              <w:rPr>
                <w:rFonts w:ascii="宋体" w:hAnsi="宋体"/>
                <w:bCs/>
                <w:iCs/>
                <w:color w:val="000000"/>
                <w:sz w:val="24"/>
                <w:szCs w:val="24"/>
              </w:rPr>
              <w:t>□</w:t>
            </w:r>
            <w:r>
              <w:rPr>
                <w:rFonts w:ascii="宋体" w:hAnsi="宋体"/>
                <w:color w:val="000000"/>
                <w:sz w:val="24"/>
                <w:szCs w:val="24"/>
              </w:rPr>
              <w:t>现场</w:t>
            </w:r>
            <w:r>
              <w:rPr>
                <w:rFonts w:ascii="宋体" w:hAnsi="宋体" w:hint="eastAsia"/>
                <w:color w:val="000000"/>
                <w:sz w:val="24"/>
                <w:szCs w:val="24"/>
              </w:rPr>
              <w:t>交流</w:t>
            </w:r>
            <w:r>
              <w:rPr>
                <w:rFonts w:ascii="宋体" w:hAnsi="宋体" w:hint="eastAsia"/>
                <w:color w:val="000000"/>
                <w:sz w:val="24"/>
                <w:szCs w:val="24"/>
              </w:rPr>
              <w:t xml:space="preserve"> </w:t>
            </w:r>
            <w:r>
              <w:rPr>
                <w:rFonts w:ascii="宋体" w:hAnsi="宋体"/>
                <w:color w:val="000000"/>
                <w:sz w:val="24"/>
                <w:szCs w:val="24"/>
              </w:rPr>
              <w:t xml:space="preserve">          </w:t>
            </w:r>
            <w:r>
              <w:rPr>
                <w:rFonts w:ascii="宋体" w:hAnsi="宋体" w:hint="eastAsia"/>
                <w:bCs/>
                <w:iCs/>
                <w:color w:val="000000"/>
                <w:sz w:val="24"/>
                <w:szCs w:val="24"/>
              </w:rPr>
              <w:t>√</w:t>
            </w:r>
            <w:r>
              <w:rPr>
                <w:rFonts w:ascii="宋体" w:hAnsi="宋体"/>
                <w:color w:val="000000"/>
                <w:sz w:val="24"/>
                <w:szCs w:val="24"/>
              </w:rPr>
              <w:t>其他</w:t>
            </w:r>
            <w:r>
              <w:rPr>
                <w:rFonts w:ascii="宋体" w:hAnsi="宋体" w:hint="eastAsia"/>
                <w:color w:val="000000"/>
                <w:sz w:val="24"/>
                <w:szCs w:val="24"/>
              </w:rPr>
              <w:t>：线上会议</w:t>
            </w:r>
          </w:p>
        </w:tc>
      </w:tr>
      <w:tr w:rsidR="004E32B4" w14:paraId="08E3B640" w14:textId="77777777">
        <w:trPr>
          <w:trHeight w:val="846"/>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B0CD57" w14:textId="77777777" w:rsidR="004E32B4" w:rsidRDefault="00A8228D">
            <w:pPr>
              <w:spacing w:line="460" w:lineRule="exact"/>
              <w:textAlignment w:val="center"/>
              <w:rPr>
                <w:bCs/>
                <w:iCs/>
                <w:sz w:val="24"/>
                <w:szCs w:val="24"/>
              </w:rPr>
            </w:pPr>
            <w:r>
              <w:rPr>
                <w:bCs/>
                <w:iCs/>
                <w:sz w:val="24"/>
                <w:szCs w:val="24"/>
              </w:rPr>
              <w:t>参与单位名称及人员姓名</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95BDA41" w14:textId="77777777" w:rsidR="004E32B4" w:rsidRDefault="00A8228D">
            <w:pPr>
              <w:spacing w:line="460" w:lineRule="exact"/>
              <w:textAlignment w:val="center"/>
              <w:rPr>
                <w:bCs/>
                <w:iCs/>
                <w:sz w:val="24"/>
                <w:szCs w:val="24"/>
              </w:rPr>
            </w:pPr>
            <w:r>
              <w:rPr>
                <w:rFonts w:hint="eastAsia"/>
                <w:bCs/>
                <w:iCs/>
                <w:sz w:val="24"/>
                <w:szCs w:val="24"/>
              </w:rPr>
              <w:t>民生证券邱祖学、袁浩</w:t>
            </w:r>
          </w:p>
          <w:p w14:paraId="707EF3ED" w14:textId="77777777" w:rsidR="004E32B4" w:rsidRDefault="00A8228D">
            <w:pPr>
              <w:spacing w:line="460" w:lineRule="exact"/>
              <w:textAlignment w:val="center"/>
              <w:rPr>
                <w:bCs/>
                <w:iCs/>
                <w:sz w:val="24"/>
                <w:szCs w:val="24"/>
              </w:rPr>
            </w:pPr>
            <w:r>
              <w:rPr>
                <w:rFonts w:hint="eastAsia"/>
                <w:bCs/>
                <w:iCs/>
                <w:sz w:val="24"/>
                <w:szCs w:val="24"/>
              </w:rPr>
              <w:t>信达澳亚基金管理有限公司昌思瑶</w:t>
            </w:r>
            <w:r>
              <w:rPr>
                <w:rFonts w:hint="eastAsia"/>
                <w:bCs/>
                <w:iCs/>
                <w:sz w:val="24"/>
                <w:szCs w:val="24"/>
              </w:rPr>
              <w:tab/>
            </w:r>
          </w:p>
          <w:p w14:paraId="0FF60A2C" w14:textId="77777777" w:rsidR="004E32B4" w:rsidRDefault="00A8228D">
            <w:pPr>
              <w:spacing w:line="460" w:lineRule="exact"/>
              <w:textAlignment w:val="center"/>
              <w:rPr>
                <w:bCs/>
                <w:iCs/>
                <w:sz w:val="24"/>
                <w:szCs w:val="24"/>
              </w:rPr>
            </w:pPr>
            <w:r>
              <w:rPr>
                <w:rFonts w:hint="eastAsia"/>
                <w:bCs/>
                <w:iCs/>
                <w:sz w:val="24"/>
                <w:szCs w:val="24"/>
              </w:rPr>
              <w:t>天弘基金管理有限公司田继龙</w:t>
            </w:r>
            <w:r>
              <w:rPr>
                <w:rFonts w:hint="eastAsia"/>
                <w:bCs/>
                <w:iCs/>
                <w:sz w:val="24"/>
                <w:szCs w:val="24"/>
              </w:rPr>
              <w:tab/>
            </w:r>
          </w:p>
          <w:p w14:paraId="26E74299" w14:textId="77777777" w:rsidR="004E32B4" w:rsidRDefault="00A8228D">
            <w:pPr>
              <w:spacing w:line="460" w:lineRule="exact"/>
              <w:textAlignment w:val="center"/>
              <w:rPr>
                <w:bCs/>
                <w:iCs/>
                <w:sz w:val="24"/>
                <w:szCs w:val="24"/>
              </w:rPr>
            </w:pPr>
            <w:r>
              <w:rPr>
                <w:rFonts w:hint="eastAsia"/>
                <w:bCs/>
                <w:iCs/>
                <w:sz w:val="24"/>
                <w:szCs w:val="24"/>
              </w:rPr>
              <w:t>深圳创富兆业金融管理有限公司吴赟宇</w:t>
            </w:r>
            <w:r>
              <w:rPr>
                <w:rFonts w:hint="eastAsia"/>
                <w:bCs/>
                <w:iCs/>
                <w:sz w:val="24"/>
                <w:szCs w:val="24"/>
              </w:rPr>
              <w:tab/>
            </w:r>
          </w:p>
          <w:p w14:paraId="2D494E6C" w14:textId="77777777" w:rsidR="004E32B4" w:rsidRDefault="00A8228D">
            <w:pPr>
              <w:spacing w:line="460" w:lineRule="exact"/>
              <w:textAlignment w:val="center"/>
              <w:rPr>
                <w:bCs/>
                <w:iCs/>
                <w:sz w:val="24"/>
                <w:szCs w:val="24"/>
              </w:rPr>
            </w:pPr>
            <w:r>
              <w:rPr>
                <w:rFonts w:hint="eastAsia"/>
                <w:bCs/>
                <w:iCs/>
                <w:sz w:val="24"/>
                <w:szCs w:val="24"/>
              </w:rPr>
              <w:t>万家基金管理有限公司王晨曦</w:t>
            </w:r>
            <w:r>
              <w:rPr>
                <w:rFonts w:hint="eastAsia"/>
                <w:bCs/>
                <w:iCs/>
                <w:sz w:val="24"/>
                <w:szCs w:val="24"/>
              </w:rPr>
              <w:tab/>
            </w:r>
          </w:p>
          <w:p w14:paraId="074BD39D" w14:textId="77777777" w:rsidR="004E32B4" w:rsidRDefault="00A8228D">
            <w:pPr>
              <w:spacing w:line="460" w:lineRule="exact"/>
              <w:textAlignment w:val="center"/>
              <w:rPr>
                <w:bCs/>
                <w:iCs/>
                <w:sz w:val="24"/>
                <w:szCs w:val="24"/>
              </w:rPr>
            </w:pPr>
            <w:r>
              <w:rPr>
                <w:rFonts w:hint="eastAsia"/>
                <w:bCs/>
                <w:iCs/>
                <w:sz w:val="24"/>
                <w:szCs w:val="24"/>
              </w:rPr>
              <w:t>上海盘京投资管理中心蔡建军</w:t>
            </w:r>
            <w:r>
              <w:rPr>
                <w:rFonts w:hint="eastAsia"/>
                <w:bCs/>
                <w:iCs/>
                <w:sz w:val="24"/>
                <w:szCs w:val="24"/>
              </w:rPr>
              <w:tab/>
            </w:r>
          </w:p>
          <w:p w14:paraId="2125A56C" w14:textId="77777777" w:rsidR="004E32B4" w:rsidRDefault="00A8228D">
            <w:pPr>
              <w:spacing w:line="460" w:lineRule="exact"/>
              <w:textAlignment w:val="center"/>
              <w:rPr>
                <w:bCs/>
                <w:iCs/>
                <w:sz w:val="24"/>
                <w:szCs w:val="24"/>
              </w:rPr>
            </w:pPr>
            <w:r>
              <w:rPr>
                <w:rFonts w:hint="eastAsia"/>
                <w:bCs/>
                <w:iCs/>
                <w:sz w:val="24"/>
                <w:szCs w:val="24"/>
              </w:rPr>
              <w:t>贝莱德公募投资欧学明</w:t>
            </w:r>
            <w:r>
              <w:rPr>
                <w:rFonts w:hint="eastAsia"/>
                <w:bCs/>
                <w:iCs/>
                <w:sz w:val="24"/>
                <w:szCs w:val="24"/>
              </w:rPr>
              <w:tab/>
            </w:r>
          </w:p>
        </w:tc>
      </w:tr>
      <w:tr w:rsidR="004E32B4" w14:paraId="68E974CB" w14:textId="77777777">
        <w:trPr>
          <w:trHeight w:val="346"/>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F65338B" w14:textId="77777777" w:rsidR="004E32B4" w:rsidRDefault="00A8228D">
            <w:pPr>
              <w:spacing w:line="460" w:lineRule="exact"/>
              <w:textAlignment w:val="center"/>
              <w:rPr>
                <w:bCs/>
                <w:iCs/>
                <w:color w:val="000000"/>
                <w:sz w:val="24"/>
                <w:szCs w:val="24"/>
              </w:rPr>
            </w:pPr>
            <w:r>
              <w:rPr>
                <w:bCs/>
                <w:iCs/>
                <w:color w:val="000000"/>
                <w:sz w:val="24"/>
                <w:szCs w:val="24"/>
              </w:rPr>
              <w:t>时间</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398AEC8F" w14:textId="77777777" w:rsidR="004E32B4" w:rsidRDefault="00A8228D">
            <w:pPr>
              <w:spacing w:line="460" w:lineRule="exact"/>
              <w:textAlignment w:val="center"/>
              <w:rPr>
                <w:bCs/>
                <w:iCs/>
                <w:color w:val="000000"/>
                <w:sz w:val="24"/>
                <w:szCs w:val="24"/>
              </w:rPr>
            </w:pPr>
            <w:r>
              <w:rPr>
                <w:bCs/>
                <w:iCs/>
                <w:color w:val="000000"/>
                <w:sz w:val="24"/>
                <w:szCs w:val="24"/>
              </w:rPr>
              <w:t>202</w:t>
            </w:r>
            <w:r>
              <w:rPr>
                <w:rFonts w:hint="eastAsia"/>
                <w:bCs/>
                <w:iCs/>
                <w:color w:val="000000"/>
                <w:sz w:val="24"/>
                <w:szCs w:val="24"/>
              </w:rPr>
              <w:t>5</w:t>
            </w:r>
            <w:r>
              <w:rPr>
                <w:bCs/>
                <w:iCs/>
                <w:color w:val="000000"/>
                <w:sz w:val="24"/>
                <w:szCs w:val="24"/>
              </w:rPr>
              <w:t>年</w:t>
            </w:r>
            <w:r>
              <w:rPr>
                <w:rFonts w:hint="eastAsia"/>
                <w:bCs/>
                <w:iCs/>
                <w:color w:val="000000"/>
                <w:sz w:val="24"/>
                <w:szCs w:val="24"/>
              </w:rPr>
              <w:t>4</w:t>
            </w:r>
            <w:r>
              <w:rPr>
                <w:bCs/>
                <w:iCs/>
                <w:color w:val="000000"/>
                <w:sz w:val="24"/>
                <w:szCs w:val="24"/>
              </w:rPr>
              <w:t>月</w:t>
            </w:r>
            <w:r>
              <w:rPr>
                <w:rFonts w:hint="eastAsia"/>
                <w:bCs/>
                <w:iCs/>
                <w:color w:val="000000"/>
                <w:sz w:val="24"/>
                <w:szCs w:val="24"/>
              </w:rPr>
              <w:t>11</w:t>
            </w:r>
            <w:r>
              <w:rPr>
                <w:bCs/>
                <w:iCs/>
                <w:color w:val="000000"/>
                <w:sz w:val="24"/>
                <w:szCs w:val="24"/>
              </w:rPr>
              <w:t>日</w:t>
            </w:r>
            <w:r>
              <w:rPr>
                <w:bCs/>
                <w:iCs/>
                <w:color w:val="000000"/>
                <w:sz w:val="24"/>
                <w:szCs w:val="24"/>
              </w:rPr>
              <w:t>1</w:t>
            </w:r>
            <w:r>
              <w:rPr>
                <w:rFonts w:hint="eastAsia"/>
                <w:bCs/>
                <w:iCs/>
                <w:color w:val="000000"/>
                <w:sz w:val="24"/>
                <w:szCs w:val="24"/>
              </w:rPr>
              <w:t>5</w:t>
            </w:r>
            <w:r>
              <w:rPr>
                <w:bCs/>
                <w:iCs/>
                <w:color w:val="000000"/>
                <w:sz w:val="24"/>
                <w:szCs w:val="24"/>
              </w:rPr>
              <w:t>:00-1</w:t>
            </w:r>
            <w:r>
              <w:rPr>
                <w:rFonts w:hint="eastAsia"/>
                <w:bCs/>
                <w:iCs/>
                <w:color w:val="000000"/>
                <w:sz w:val="24"/>
                <w:szCs w:val="24"/>
              </w:rPr>
              <w:t>6</w:t>
            </w:r>
            <w:r>
              <w:rPr>
                <w:bCs/>
                <w:iCs/>
                <w:color w:val="000000"/>
                <w:sz w:val="24"/>
                <w:szCs w:val="24"/>
              </w:rPr>
              <w:t>:00</w:t>
            </w:r>
          </w:p>
        </w:tc>
      </w:tr>
      <w:tr w:rsidR="004E32B4" w14:paraId="6D270D75" w14:textId="77777777">
        <w:trPr>
          <w:trHeight w:val="311"/>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19803A" w14:textId="77777777" w:rsidR="004E32B4" w:rsidRDefault="00A8228D">
            <w:pPr>
              <w:spacing w:line="460" w:lineRule="exact"/>
              <w:textAlignment w:val="center"/>
              <w:rPr>
                <w:bCs/>
                <w:iCs/>
                <w:color w:val="000000"/>
                <w:sz w:val="24"/>
                <w:szCs w:val="24"/>
              </w:rPr>
            </w:pPr>
            <w:r>
              <w:rPr>
                <w:bCs/>
                <w:iCs/>
                <w:color w:val="000000"/>
                <w:sz w:val="24"/>
                <w:szCs w:val="24"/>
              </w:rPr>
              <w:t>地点</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1807FB5E" w14:textId="77777777" w:rsidR="004E32B4" w:rsidRDefault="00A8228D">
            <w:pPr>
              <w:spacing w:line="460" w:lineRule="exact"/>
              <w:textAlignment w:val="center"/>
              <w:rPr>
                <w:bCs/>
                <w:iCs/>
                <w:color w:val="000000"/>
                <w:sz w:val="24"/>
                <w:szCs w:val="24"/>
              </w:rPr>
            </w:pPr>
            <w:r>
              <w:rPr>
                <w:rFonts w:hint="eastAsia"/>
                <w:bCs/>
                <w:iCs/>
                <w:color w:val="000000"/>
                <w:sz w:val="24"/>
                <w:szCs w:val="24"/>
              </w:rPr>
              <w:t>龙岩高岭土股份有限公司</w:t>
            </w:r>
          </w:p>
        </w:tc>
      </w:tr>
      <w:tr w:rsidR="004E32B4" w14:paraId="2A16896C" w14:textId="77777777">
        <w:trPr>
          <w:trHeight w:val="726"/>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A5C1E5E" w14:textId="77777777" w:rsidR="004E32B4" w:rsidRDefault="00A8228D">
            <w:pPr>
              <w:spacing w:line="460" w:lineRule="exact"/>
              <w:textAlignment w:val="center"/>
              <w:rPr>
                <w:bCs/>
                <w:iCs/>
                <w:color w:val="000000"/>
                <w:sz w:val="24"/>
                <w:szCs w:val="24"/>
              </w:rPr>
            </w:pPr>
            <w:r>
              <w:rPr>
                <w:bCs/>
                <w:iCs/>
                <w:color w:val="000000"/>
                <w:sz w:val="24"/>
                <w:szCs w:val="24"/>
              </w:rPr>
              <w:t>上市公司接待人员姓名</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016330C7" w14:textId="77777777" w:rsidR="004E32B4" w:rsidRDefault="00A8228D">
            <w:pPr>
              <w:spacing w:line="460" w:lineRule="exact"/>
              <w:textAlignment w:val="center"/>
              <w:rPr>
                <w:bCs/>
                <w:iCs/>
                <w:color w:val="000000"/>
                <w:sz w:val="24"/>
                <w:szCs w:val="24"/>
              </w:rPr>
            </w:pPr>
            <w:r>
              <w:rPr>
                <w:rFonts w:hint="eastAsia"/>
                <w:bCs/>
                <w:iCs/>
                <w:color w:val="000000"/>
                <w:sz w:val="24"/>
                <w:szCs w:val="24"/>
              </w:rPr>
              <w:t>董事会秘书熊斌、财务总监钟俊福</w:t>
            </w:r>
          </w:p>
        </w:tc>
      </w:tr>
      <w:tr w:rsidR="004E32B4" w14:paraId="0E86704A" w14:textId="77777777">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39F078A" w14:textId="77777777" w:rsidR="004E32B4" w:rsidRDefault="00A8228D">
            <w:pPr>
              <w:spacing w:line="460" w:lineRule="exact"/>
              <w:rPr>
                <w:bCs/>
                <w:iCs/>
                <w:color w:val="000000"/>
                <w:sz w:val="24"/>
                <w:szCs w:val="24"/>
              </w:rPr>
            </w:pPr>
            <w:r>
              <w:rPr>
                <w:bCs/>
                <w:iCs/>
                <w:color w:val="000000"/>
                <w:sz w:val="24"/>
                <w:szCs w:val="24"/>
              </w:rPr>
              <w:t>投资者关系活动主要内容介绍</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07856AC7" w14:textId="77777777" w:rsidR="004E32B4" w:rsidRDefault="00A8228D">
            <w:pPr>
              <w:adjustRightInd w:val="0"/>
              <w:snapToGrid w:val="0"/>
              <w:spacing w:line="460" w:lineRule="exact"/>
              <w:ind w:firstLineChars="200" w:firstLine="482"/>
              <w:textAlignment w:val="center"/>
              <w:rPr>
                <w:b/>
                <w:bCs/>
                <w:color w:val="000000"/>
                <w:sz w:val="24"/>
                <w:szCs w:val="24"/>
              </w:rPr>
            </w:pPr>
            <w:r>
              <w:rPr>
                <w:rFonts w:hint="eastAsia"/>
                <w:b/>
                <w:bCs/>
                <w:color w:val="000000"/>
                <w:sz w:val="24"/>
                <w:szCs w:val="24"/>
              </w:rPr>
              <w:t>交流</w:t>
            </w:r>
            <w:r>
              <w:rPr>
                <w:b/>
                <w:bCs/>
                <w:color w:val="000000"/>
                <w:sz w:val="24"/>
                <w:szCs w:val="24"/>
              </w:rPr>
              <w:t>情况</w:t>
            </w:r>
            <w:r>
              <w:rPr>
                <w:rFonts w:hint="eastAsia"/>
                <w:b/>
                <w:bCs/>
                <w:color w:val="000000"/>
                <w:sz w:val="24"/>
                <w:szCs w:val="24"/>
              </w:rPr>
              <w:t>：</w:t>
            </w:r>
          </w:p>
          <w:p w14:paraId="5CA39527" w14:textId="77777777" w:rsidR="004E32B4" w:rsidRDefault="00A8228D">
            <w:pPr>
              <w:adjustRightInd w:val="0"/>
              <w:snapToGrid w:val="0"/>
              <w:spacing w:line="460" w:lineRule="exact"/>
              <w:ind w:firstLineChars="200" w:firstLine="482"/>
              <w:textAlignment w:val="center"/>
              <w:rPr>
                <w:b/>
                <w:bCs/>
                <w:color w:val="000000"/>
                <w:sz w:val="24"/>
                <w:szCs w:val="24"/>
              </w:rPr>
            </w:pPr>
            <w:r>
              <w:rPr>
                <w:rFonts w:hint="eastAsia"/>
                <w:b/>
                <w:bCs/>
                <w:color w:val="000000"/>
                <w:sz w:val="24"/>
                <w:szCs w:val="24"/>
              </w:rPr>
              <w:t>1</w:t>
            </w:r>
            <w:r>
              <w:rPr>
                <w:rFonts w:hint="eastAsia"/>
                <w:b/>
                <w:bCs/>
                <w:color w:val="000000"/>
                <w:sz w:val="24"/>
                <w:szCs w:val="24"/>
              </w:rPr>
              <w:t>、请介绍</w:t>
            </w:r>
            <w:r>
              <w:rPr>
                <w:b/>
                <w:bCs/>
                <w:color w:val="000000"/>
                <w:sz w:val="24"/>
                <w:szCs w:val="24"/>
              </w:rPr>
              <w:t>公司</w:t>
            </w:r>
            <w:r>
              <w:rPr>
                <w:rFonts w:hint="eastAsia"/>
                <w:b/>
                <w:bCs/>
                <w:color w:val="000000"/>
                <w:sz w:val="24"/>
                <w:szCs w:val="24"/>
              </w:rPr>
              <w:t>2024</w:t>
            </w:r>
            <w:r>
              <w:rPr>
                <w:rFonts w:hint="eastAsia"/>
                <w:b/>
                <w:bCs/>
                <w:color w:val="000000"/>
                <w:sz w:val="24"/>
                <w:szCs w:val="24"/>
              </w:rPr>
              <w:t>年度业绩</w:t>
            </w:r>
          </w:p>
          <w:p w14:paraId="0A684AA7" w14:textId="77777777" w:rsidR="004E32B4" w:rsidRDefault="00A8228D">
            <w:pPr>
              <w:spacing w:line="360" w:lineRule="auto"/>
              <w:ind w:firstLineChars="200" w:firstLine="480"/>
              <w:rPr>
                <w:sz w:val="24"/>
              </w:rPr>
            </w:pPr>
            <w:r>
              <w:rPr>
                <w:sz w:val="24"/>
                <w:lang w:bidi="ar"/>
              </w:rPr>
              <w:t>2024</w:t>
            </w:r>
            <w:r>
              <w:rPr>
                <w:rFonts w:hint="eastAsia"/>
                <w:sz w:val="24"/>
                <w:lang w:bidi="ar"/>
              </w:rPr>
              <w:t>年度，公司实现营业收入</w:t>
            </w:r>
            <w:r>
              <w:rPr>
                <w:color w:val="000000"/>
                <w:kern w:val="0"/>
                <w:sz w:val="24"/>
                <w:lang w:bidi="ar"/>
              </w:rPr>
              <w:t>32,139.11</w:t>
            </w:r>
            <w:r>
              <w:rPr>
                <w:rFonts w:hint="eastAsia"/>
                <w:color w:val="000000"/>
                <w:kern w:val="0"/>
                <w:sz w:val="24"/>
                <w:lang w:bidi="ar"/>
              </w:rPr>
              <w:t>万</w:t>
            </w:r>
            <w:r>
              <w:rPr>
                <w:rFonts w:hint="eastAsia"/>
                <w:sz w:val="24"/>
                <w:lang w:bidi="ar"/>
              </w:rPr>
              <w:t>元，同比增长</w:t>
            </w:r>
            <w:r>
              <w:rPr>
                <w:sz w:val="24"/>
                <w:lang w:bidi="ar"/>
              </w:rPr>
              <w:t>2.05%</w:t>
            </w:r>
            <w:r>
              <w:rPr>
                <w:rFonts w:hint="eastAsia"/>
                <w:sz w:val="24"/>
                <w:lang w:bidi="ar"/>
              </w:rPr>
              <w:t>；净利润</w:t>
            </w:r>
            <w:r>
              <w:rPr>
                <w:color w:val="000000"/>
                <w:kern w:val="0"/>
                <w:sz w:val="24"/>
                <w:lang w:bidi="ar"/>
              </w:rPr>
              <w:t>12,796.15</w:t>
            </w:r>
            <w:r>
              <w:rPr>
                <w:rFonts w:hint="eastAsia"/>
                <w:color w:val="000000"/>
                <w:kern w:val="0"/>
                <w:sz w:val="24"/>
                <w:lang w:bidi="ar"/>
              </w:rPr>
              <w:t>万</w:t>
            </w:r>
            <w:r>
              <w:rPr>
                <w:rFonts w:hint="eastAsia"/>
                <w:sz w:val="24"/>
                <w:lang w:bidi="ar"/>
              </w:rPr>
              <w:t>元，同比增长</w:t>
            </w:r>
            <w:r>
              <w:rPr>
                <w:sz w:val="24"/>
                <w:lang w:bidi="ar"/>
              </w:rPr>
              <w:t>10.54%</w:t>
            </w:r>
            <w:r>
              <w:rPr>
                <w:rFonts w:hint="eastAsia"/>
                <w:sz w:val="24"/>
                <w:lang w:bidi="ar"/>
              </w:rPr>
              <w:t>；归属于上市公司股东的净利润</w:t>
            </w:r>
            <w:r>
              <w:rPr>
                <w:color w:val="000000"/>
                <w:kern w:val="0"/>
                <w:sz w:val="24"/>
                <w:lang w:bidi="ar"/>
              </w:rPr>
              <w:t>12,796.15</w:t>
            </w:r>
            <w:r>
              <w:rPr>
                <w:rFonts w:hint="eastAsia"/>
                <w:color w:val="000000"/>
                <w:kern w:val="0"/>
                <w:sz w:val="24"/>
                <w:lang w:bidi="ar"/>
              </w:rPr>
              <w:t>万</w:t>
            </w:r>
            <w:r>
              <w:rPr>
                <w:rFonts w:hint="eastAsia"/>
                <w:sz w:val="24"/>
                <w:lang w:bidi="ar"/>
              </w:rPr>
              <w:t>元，同比增长</w:t>
            </w:r>
            <w:r>
              <w:rPr>
                <w:sz w:val="24"/>
                <w:lang w:bidi="ar"/>
              </w:rPr>
              <w:t>10.54%</w:t>
            </w:r>
            <w:r>
              <w:rPr>
                <w:rFonts w:hint="eastAsia"/>
                <w:sz w:val="24"/>
                <w:lang w:bidi="ar"/>
              </w:rPr>
              <w:t>。</w:t>
            </w:r>
          </w:p>
          <w:p w14:paraId="5AA7FCC6" w14:textId="77777777" w:rsidR="004E32B4" w:rsidRDefault="00A8228D">
            <w:pPr>
              <w:spacing w:line="360" w:lineRule="auto"/>
              <w:ind w:firstLineChars="200" w:firstLine="480"/>
              <w:rPr>
                <w:sz w:val="24"/>
                <w:lang w:bidi="ar"/>
              </w:rPr>
            </w:pPr>
            <w:r>
              <w:rPr>
                <w:rFonts w:hint="eastAsia"/>
                <w:sz w:val="24"/>
                <w:lang w:bidi="ar"/>
              </w:rPr>
              <w:t>截至</w:t>
            </w:r>
            <w:r>
              <w:rPr>
                <w:sz w:val="24"/>
                <w:lang w:bidi="ar"/>
              </w:rPr>
              <w:t>2024</w:t>
            </w:r>
            <w:r>
              <w:rPr>
                <w:rFonts w:hint="eastAsia"/>
                <w:sz w:val="24"/>
                <w:lang w:bidi="ar"/>
              </w:rPr>
              <w:t>年</w:t>
            </w:r>
            <w:r>
              <w:rPr>
                <w:sz w:val="24"/>
                <w:lang w:bidi="ar"/>
              </w:rPr>
              <w:t>12</w:t>
            </w:r>
            <w:r>
              <w:rPr>
                <w:rFonts w:hint="eastAsia"/>
                <w:sz w:val="24"/>
                <w:lang w:bidi="ar"/>
              </w:rPr>
              <w:t>月</w:t>
            </w:r>
            <w:r>
              <w:rPr>
                <w:sz w:val="24"/>
                <w:lang w:bidi="ar"/>
              </w:rPr>
              <w:t>31</w:t>
            </w:r>
            <w:r>
              <w:rPr>
                <w:rFonts w:hint="eastAsia"/>
                <w:sz w:val="24"/>
                <w:lang w:bidi="ar"/>
              </w:rPr>
              <w:t>日，公司资产总额为</w:t>
            </w:r>
            <w:r>
              <w:rPr>
                <w:color w:val="000000"/>
                <w:kern w:val="0"/>
                <w:sz w:val="24"/>
                <w:lang w:bidi="ar"/>
              </w:rPr>
              <w:t>131,417.99</w:t>
            </w:r>
            <w:r>
              <w:rPr>
                <w:rFonts w:hint="eastAsia"/>
                <w:color w:val="000000"/>
                <w:kern w:val="0"/>
                <w:sz w:val="24"/>
                <w:lang w:bidi="ar"/>
              </w:rPr>
              <w:t>万</w:t>
            </w:r>
            <w:r>
              <w:rPr>
                <w:rFonts w:hint="eastAsia"/>
                <w:sz w:val="24"/>
                <w:lang w:bidi="ar"/>
              </w:rPr>
              <w:t>元，比上年末增长</w:t>
            </w:r>
            <w:r>
              <w:rPr>
                <w:sz w:val="24"/>
                <w:lang w:bidi="ar"/>
              </w:rPr>
              <w:t>2.44%</w:t>
            </w:r>
            <w:r>
              <w:rPr>
                <w:rFonts w:hint="eastAsia"/>
                <w:sz w:val="24"/>
                <w:lang w:bidi="ar"/>
              </w:rPr>
              <w:t>；负债总额为</w:t>
            </w:r>
            <w:r>
              <w:rPr>
                <w:color w:val="000000"/>
                <w:kern w:val="0"/>
                <w:sz w:val="24"/>
                <w:lang w:bidi="ar"/>
              </w:rPr>
              <w:t>8,366.76</w:t>
            </w:r>
            <w:r>
              <w:rPr>
                <w:rFonts w:hint="eastAsia"/>
                <w:color w:val="000000"/>
                <w:kern w:val="0"/>
                <w:sz w:val="24"/>
                <w:lang w:bidi="ar"/>
              </w:rPr>
              <w:t>万</w:t>
            </w:r>
            <w:r>
              <w:rPr>
                <w:rFonts w:hint="eastAsia"/>
                <w:sz w:val="24"/>
                <w:lang w:bidi="ar"/>
              </w:rPr>
              <w:t>元，比上年末减少</w:t>
            </w:r>
            <w:r>
              <w:rPr>
                <w:sz w:val="24"/>
                <w:lang w:bidi="ar"/>
              </w:rPr>
              <w:t>16.46%</w:t>
            </w:r>
            <w:r>
              <w:rPr>
                <w:rFonts w:hint="eastAsia"/>
                <w:sz w:val="24"/>
                <w:lang w:bidi="ar"/>
              </w:rPr>
              <w:t>；所有者权益总额为</w:t>
            </w:r>
            <w:r>
              <w:rPr>
                <w:color w:val="000000"/>
                <w:kern w:val="0"/>
                <w:sz w:val="24"/>
                <w:lang w:bidi="ar"/>
              </w:rPr>
              <w:t>123,051.23</w:t>
            </w:r>
            <w:r>
              <w:rPr>
                <w:rFonts w:hint="eastAsia"/>
                <w:color w:val="000000"/>
                <w:kern w:val="0"/>
                <w:sz w:val="24"/>
                <w:lang w:bidi="ar"/>
              </w:rPr>
              <w:t>万</w:t>
            </w:r>
            <w:r>
              <w:rPr>
                <w:rFonts w:hint="eastAsia"/>
                <w:sz w:val="24"/>
                <w:lang w:bidi="ar"/>
              </w:rPr>
              <w:t>元，比上年末增长</w:t>
            </w:r>
            <w:r>
              <w:rPr>
                <w:sz w:val="24"/>
                <w:lang w:bidi="ar"/>
              </w:rPr>
              <w:t>4.04%</w:t>
            </w:r>
            <w:r>
              <w:rPr>
                <w:rFonts w:hint="eastAsia"/>
                <w:sz w:val="24"/>
                <w:lang w:bidi="ar"/>
              </w:rPr>
              <w:t>；公司资产负债率为</w:t>
            </w:r>
            <w:r>
              <w:rPr>
                <w:sz w:val="24"/>
                <w:lang w:bidi="ar"/>
              </w:rPr>
              <w:t>6.37%</w:t>
            </w:r>
            <w:r>
              <w:rPr>
                <w:rFonts w:hint="eastAsia"/>
                <w:sz w:val="24"/>
                <w:lang w:bidi="ar"/>
              </w:rPr>
              <w:t>，比上年末下降</w:t>
            </w:r>
            <w:r>
              <w:rPr>
                <w:sz w:val="24"/>
                <w:lang w:bidi="ar"/>
              </w:rPr>
              <w:t>1.44</w:t>
            </w:r>
            <w:r>
              <w:rPr>
                <w:rFonts w:hint="eastAsia"/>
                <w:sz w:val="24"/>
                <w:lang w:bidi="ar"/>
              </w:rPr>
              <w:t>个百分点。</w:t>
            </w:r>
          </w:p>
          <w:p w14:paraId="4E2F6E01" w14:textId="77777777" w:rsidR="004E32B4" w:rsidRDefault="00A8228D">
            <w:pPr>
              <w:adjustRightInd w:val="0"/>
              <w:snapToGrid w:val="0"/>
              <w:spacing w:line="460" w:lineRule="exact"/>
              <w:ind w:firstLineChars="200" w:firstLine="482"/>
              <w:textAlignment w:val="center"/>
              <w:rPr>
                <w:b/>
                <w:bCs/>
                <w:color w:val="000000"/>
                <w:sz w:val="24"/>
                <w:szCs w:val="24"/>
              </w:rPr>
            </w:pPr>
            <w:r>
              <w:rPr>
                <w:rFonts w:hint="eastAsia"/>
                <w:b/>
                <w:bCs/>
                <w:color w:val="000000"/>
                <w:sz w:val="24"/>
                <w:szCs w:val="24"/>
              </w:rPr>
              <w:t>2</w:t>
            </w:r>
            <w:r>
              <w:rPr>
                <w:rFonts w:hint="eastAsia"/>
                <w:b/>
                <w:bCs/>
                <w:color w:val="000000"/>
                <w:sz w:val="24"/>
                <w:szCs w:val="24"/>
              </w:rPr>
              <w:t>、请介绍公司的主要产品</w:t>
            </w:r>
          </w:p>
          <w:p w14:paraId="10CAFFE0" w14:textId="77777777" w:rsidR="004E32B4" w:rsidRDefault="00A8228D">
            <w:pPr>
              <w:spacing w:line="460" w:lineRule="exact"/>
              <w:ind w:firstLineChars="200" w:firstLine="480"/>
              <w:textAlignment w:val="center"/>
              <w:rPr>
                <w:color w:val="000000"/>
                <w:sz w:val="24"/>
                <w:szCs w:val="24"/>
              </w:rPr>
            </w:pPr>
            <w:r>
              <w:rPr>
                <w:rFonts w:hint="eastAsia"/>
                <w:color w:val="000000"/>
                <w:sz w:val="24"/>
                <w:szCs w:val="24"/>
              </w:rPr>
              <w:t>回复：公司产品主要分为高岭土原矿、</w:t>
            </w:r>
            <w:r>
              <w:rPr>
                <w:rFonts w:hint="eastAsia"/>
                <w:color w:val="000000"/>
                <w:sz w:val="24"/>
                <w:szCs w:val="24"/>
              </w:rPr>
              <w:t>325</w:t>
            </w:r>
            <w:r>
              <w:rPr>
                <w:rFonts w:hint="eastAsia"/>
                <w:color w:val="000000"/>
                <w:sz w:val="24"/>
                <w:szCs w:val="24"/>
              </w:rPr>
              <w:t>目高岭土精</w:t>
            </w:r>
            <w:r>
              <w:rPr>
                <w:rFonts w:hint="eastAsia"/>
                <w:color w:val="000000"/>
                <w:sz w:val="24"/>
                <w:szCs w:val="24"/>
              </w:rPr>
              <w:lastRenderedPageBreak/>
              <w:t>矿、超级龙岩高岭土、改性高岭土、综合利用产品五大类</w:t>
            </w:r>
            <w:r>
              <w:rPr>
                <w:rFonts w:hint="eastAsia"/>
                <w:color w:val="000000"/>
                <w:sz w:val="24"/>
                <w:szCs w:val="24"/>
              </w:rPr>
              <w:t>。</w:t>
            </w:r>
            <w:r>
              <w:rPr>
                <w:rFonts w:hint="eastAsia"/>
                <w:color w:val="000000"/>
                <w:sz w:val="24"/>
                <w:szCs w:val="24"/>
              </w:rPr>
              <w:t>其中，高岭土原矿是从矿山直接产出的产品，高岭土精矿是从采场开采出的高岭土原矿经过制浆、分选、除铁、磨矿、压滤脱水等一系列选矿工艺后，将高岭土原矿加工成品质更好、纯度更高、更具有附加值的一种产品。</w:t>
            </w:r>
          </w:p>
          <w:p w14:paraId="5989975E" w14:textId="77777777" w:rsidR="004E32B4" w:rsidRDefault="00A8228D">
            <w:pPr>
              <w:spacing w:line="460" w:lineRule="exact"/>
              <w:ind w:firstLineChars="200" w:firstLine="480"/>
              <w:textAlignment w:val="center"/>
              <w:rPr>
                <w:color w:val="000000"/>
                <w:sz w:val="24"/>
                <w:szCs w:val="24"/>
              </w:rPr>
            </w:pPr>
            <w:r>
              <w:rPr>
                <w:rFonts w:hint="eastAsia"/>
                <w:color w:val="000000"/>
                <w:sz w:val="24"/>
                <w:szCs w:val="24"/>
              </w:rPr>
              <w:t>公司开发了高岭土尾矿综合利用技术和东宫下瓷石</w:t>
            </w:r>
            <w:r>
              <w:rPr>
                <w:rFonts w:hint="eastAsia"/>
                <w:color w:val="000000"/>
                <w:sz w:val="24"/>
                <w:szCs w:val="24"/>
              </w:rPr>
              <w:t>/</w:t>
            </w:r>
            <w:r>
              <w:rPr>
                <w:rFonts w:hint="eastAsia"/>
                <w:color w:val="000000"/>
                <w:sz w:val="24"/>
                <w:szCs w:val="24"/>
              </w:rPr>
              <w:t>高硅石的开发利用技术，综合利用高岭土的尾矿及瓷石</w:t>
            </w:r>
            <w:r>
              <w:rPr>
                <w:rFonts w:hint="eastAsia"/>
                <w:color w:val="000000"/>
                <w:sz w:val="24"/>
                <w:szCs w:val="24"/>
              </w:rPr>
              <w:t>/</w:t>
            </w:r>
            <w:r>
              <w:rPr>
                <w:rFonts w:hint="eastAsia"/>
                <w:color w:val="000000"/>
                <w:sz w:val="24"/>
                <w:szCs w:val="24"/>
              </w:rPr>
              <w:t>高硅石，利用破碎机将块状瓷石</w:t>
            </w:r>
            <w:r>
              <w:rPr>
                <w:rFonts w:hint="eastAsia"/>
                <w:color w:val="000000"/>
                <w:sz w:val="24"/>
                <w:szCs w:val="24"/>
              </w:rPr>
              <w:t>/</w:t>
            </w:r>
            <w:r>
              <w:rPr>
                <w:rFonts w:hint="eastAsia"/>
                <w:color w:val="000000"/>
                <w:sz w:val="24"/>
                <w:szCs w:val="24"/>
              </w:rPr>
              <w:t>高硅石经过粗碎和细碎两道工序破碎后，经筛分后得到小颗粒产品包装为成品，较粗颗粒的瓷石</w:t>
            </w:r>
            <w:r>
              <w:rPr>
                <w:rFonts w:hint="eastAsia"/>
                <w:color w:val="000000"/>
                <w:sz w:val="24"/>
                <w:szCs w:val="24"/>
              </w:rPr>
              <w:t>/</w:t>
            </w:r>
            <w:r>
              <w:rPr>
                <w:rFonts w:hint="eastAsia"/>
                <w:color w:val="000000"/>
                <w:sz w:val="24"/>
                <w:szCs w:val="24"/>
              </w:rPr>
              <w:t>高</w:t>
            </w:r>
            <w:r>
              <w:rPr>
                <w:rFonts w:hint="eastAsia"/>
                <w:color w:val="000000"/>
                <w:sz w:val="24"/>
                <w:szCs w:val="24"/>
              </w:rPr>
              <w:t>硅石返回细碎工序，再经破碎成为小颗粒产品，以提高产品的附加值，推动产品结构优化升级。</w:t>
            </w:r>
          </w:p>
          <w:p w14:paraId="7A111F39" w14:textId="77777777" w:rsidR="004E32B4" w:rsidRDefault="00A8228D">
            <w:pPr>
              <w:adjustRightInd w:val="0"/>
              <w:snapToGrid w:val="0"/>
              <w:spacing w:line="460" w:lineRule="exact"/>
              <w:ind w:firstLineChars="200" w:firstLine="482"/>
              <w:textAlignment w:val="center"/>
              <w:rPr>
                <w:b/>
                <w:bCs/>
                <w:color w:val="000000"/>
                <w:sz w:val="24"/>
                <w:szCs w:val="24"/>
              </w:rPr>
            </w:pPr>
            <w:r>
              <w:rPr>
                <w:rFonts w:hint="eastAsia"/>
                <w:b/>
                <w:bCs/>
                <w:color w:val="000000"/>
                <w:sz w:val="24"/>
                <w:szCs w:val="24"/>
              </w:rPr>
              <w:t>3</w:t>
            </w:r>
            <w:r>
              <w:rPr>
                <w:rFonts w:hint="eastAsia"/>
                <w:b/>
                <w:bCs/>
                <w:color w:val="000000"/>
                <w:sz w:val="24"/>
                <w:szCs w:val="24"/>
              </w:rPr>
              <w:t>、请说明公司主营业务成本构成</w:t>
            </w:r>
          </w:p>
          <w:p w14:paraId="3A1524BF" w14:textId="77777777" w:rsidR="004E32B4" w:rsidRDefault="00A8228D">
            <w:pPr>
              <w:adjustRightInd w:val="0"/>
              <w:snapToGrid w:val="0"/>
              <w:spacing w:line="460" w:lineRule="exact"/>
              <w:ind w:firstLineChars="200" w:firstLine="480"/>
              <w:textAlignment w:val="center"/>
              <w:rPr>
                <w:color w:val="000000"/>
                <w:sz w:val="24"/>
                <w:szCs w:val="24"/>
              </w:rPr>
            </w:pPr>
            <w:r>
              <w:rPr>
                <w:rFonts w:hint="eastAsia"/>
                <w:color w:val="000000"/>
                <w:sz w:val="24"/>
                <w:szCs w:val="24"/>
              </w:rPr>
              <w:t>回复：公司矿山采用露天开采方式，开采成本较低，主营业务成本主要包括采剥机械费用、人工费用、设备折旧摊销费用、安全管理费用等。</w:t>
            </w:r>
          </w:p>
          <w:p w14:paraId="1C6970F3" w14:textId="77777777" w:rsidR="004E32B4" w:rsidRDefault="00A8228D">
            <w:pPr>
              <w:spacing w:line="460" w:lineRule="exact"/>
              <w:ind w:firstLineChars="200" w:firstLine="482"/>
              <w:textAlignment w:val="center"/>
              <w:rPr>
                <w:b/>
                <w:bCs/>
                <w:color w:val="000000"/>
                <w:sz w:val="24"/>
                <w:szCs w:val="24"/>
              </w:rPr>
            </w:pPr>
            <w:r>
              <w:rPr>
                <w:rFonts w:hint="eastAsia"/>
                <w:b/>
                <w:bCs/>
                <w:color w:val="000000"/>
                <w:sz w:val="24"/>
                <w:szCs w:val="24"/>
              </w:rPr>
              <w:t>4</w:t>
            </w:r>
            <w:r>
              <w:rPr>
                <w:rFonts w:hint="eastAsia"/>
                <w:b/>
                <w:bCs/>
                <w:color w:val="000000"/>
                <w:sz w:val="24"/>
                <w:szCs w:val="24"/>
              </w:rPr>
              <w:t>、请说明公司主要客户群体</w:t>
            </w:r>
          </w:p>
          <w:p w14:paraId="415A56C2" w14:textId="77777777" w:rsidR="004E32B4" w:rsidRDefault="00A8228D">
            <w:pPr>
              <w:widowControl/>
              <w:spacing w:line="460" w:lineRule="exact"/>
              <w:ind w:firstLineChars="200" w:firstLine="480"/>
              <w:textAlignment w:val="center"/>
              <w:rPr>
                <w:color w:val="000000"/>
                <w:sz w:val="24"/>
                <w:szCs w:val="24"/>
              </w:rPr>
            </w:pPr>
            <w:r>
              <w:rPr>
                <w:rFonts w:hint="eastAsia"/>
                <w:color w:val="000000"/>
                <w:sz w:val="24"/>
                <w:szCs w:val="24"/>
              </w:rPr>
              <w:t>回复：公司客户为中、高档日用陶瓷、工艺美术瓷和高档建筑陶瓷等产业客户，工艺美术瓷与日用陶瓷品质要求高，主要采购精矿产品和原矿产品；建筑陶瓷与卫生洁具产量大，质量要求较低，主要采购综合利用产品。</w:t>
            </w:r>
          </w:p>
          <w:p w14:paraId="1008EF43" w14:textId="77777777" w:rsidR="004E32B4" w:rsidRDefault="00A8228D">
            <w:pPr>
              <w:spacing w:line="460" w:lineRule="exact"/>
              <w:ind w:firstLineChars="200" w:firstLine="482"/>
              <w:textAlignment w:val="center"/>
              <w:rPr>
                <w:b/>
                <w:bCs/>
                <w:color w:val="000000"/>
                <w:sz w:val="24"/>
                <w:szCs w:val="24"/>
              </w:rPr>
            </w:pPr>
            <w:r>
              <w:rPr>
                <w:rFonts w:hint="eastAsia"/>
                <w:b/>
                <w:bCs/>
                <w:color w:val="000000"/>
                <w:sz w:val="24"/>
                <w:szCs w:val="24"/>
              </w:rPr>
              <w:t>5</w:t>
            </w:r>
            <w:r>
              <w:rPr>
                <w:rFonts w:hint="eastAsia"/>
                <w:b/>
                <w:bCs/>
                <w:color w:val="000000"/>
                <w:sz w:val="24"/>
                <w:szCs w:val="24"/>
              </w:rPr>
              <w:t>、请公司分地区介绍营收情况</w:t>
            </w:r>
          </w:p>
          <w:p w14:paraId="029CB6C2" w14:textId="77777777" w:rsidR="004E32B4" w:rsidRDefault="00A8228D">
            <w:pPr>
              <w:widowControl/>
              <w:spacing w:line="460" w:lineRule="exact"/>
              <w:ind w:firstLineChars="200" w:firstLine="480"/>
              <w:textAlignment w:val="center"/>
              <w:rPr>
                <w:color w:val="000000"/>
                <w:sz w:val="24"/>
                <w:szCs w:val="24"/>
              </w:rPr>
            </w:pPr>
            <w:r>
              <w:rPr>
                <w:rFonts w:hint="eastAsia"/>
                <w:color w:val="000000"/>
                <w:sz w:val="24"/>
                <w:szCs w:val="24"/>
              </w:rPr>
              <w:t>公司主营业务收入来源于高岭土开采加工行业，公司产品主要客户群体分布在国内重要陶瓷产区。</w:t>
            </w:r>
          </w:p>
          <w:p w14:paraId="0AD1D0F1" w14:textId="77777777" w:rsidR="004E32B4" w:rsidRDefault="00A8228D">
            <w:pPr>
              <w:widowControl/>
              <w:spacing w:line="460" w:lineRule="exact"/>
              <w:ind w:firstLineChars="200" w:firstLine="480"/>
              <w:textAlignment w:val="center"/>
              <w:rPr>
                <w:color w:val="000000"/>
                <w:sz w:val="24"/>
                <w:szCs w:val="24"/>
              </w:rPr>
            </w:pPr>
            <w:r>
              <w:rPr>
                <w:rFonts w:hint="eastAsia"/>
                <w:color w:val="000000"/>
                <w:sz w:val="24"/>
                <w:szCs w:val="24"/>
              </w:rPr>
              <w:t>2024</w:t>
            </w:r>
            <w:r>
              <w:rPr>
                <w:rFonts w:hint="eastAsia"/>
                <w:color w:val="000000"/>
                <w:sz w:val="24"/>
                <w:szCs w:val="24"/>
              </w:rPr>
              <w:t>年度，</w:t>
            </w:r>
            <w:r>
              <w:rPr>
                <w:rFonts w:hint="eastAsia"/>
                <w:color w:val="000000"/>
                <w:sz w:val="24"/>
                <w:szCs w:val="24"/>
              </w:rPr>
              <w:t>公司华东地区客户主要分布在福建省、江西省、浙江省、安徽省、山东省、江苏省等，营业收入</w:t>
            </w:r>
            <w:r>
              <w:rPr>
                <w:rFonts w:hint="eastAsia"/>
                <w:color w:val="000000"/>
                <w:sz w:val="24"/>
                <w:szCs w:val="24"/>
              </w:rPr>
              <w:t>254,380,421.27</w:t>
            </w:r>
            <w:r>
              <w:rPr>
                <w:rFonts w:hint="eastAsia"/>
                <w:color w:val="000000"/>
                <w:sz w:val="24"/>
                <w:szCs w:val="24"/>
              </w:rPr>
              <w:t>元；华南地区客户主要分布在广东省等，营业收入</w:t>
            </w:r>
            <w:r>
              <w:rPr>
                <w:rFonts w:hint="eastAsia"/>
                <w:color w:val="000000"/>
                <w:sz w:val="24"/>
                <w:szCs w:val="24"/>
              </w:rPr>
              <w:t>48,638,763.21</w:t>
            </w:r>
            <w:r>
              <w:rPr>
                <w:rFonts w:hint="eastAsia"/>
                <w:color w:val="000000"/>
                <w:sz w:val="24"/>
                <w:szCs w:val="24"/>
              </w:rPr>
              <w:t>元；华北地区客户主要分布在山西省、河北省等，营业收入</w:t>
            </w:r>
            <w:r>
              <w:rPr>
                <w:rFonts w:hint="eastAsia"/>
                <w:color w:val="000000"/>
                <w:sz w:val="24"/>
                <w:szCs w:val="24"/>
              </w:rPr>
              <w:t>9,294,695.23</w:t>
            </w:r>
            <w:r>
              <w:rPr>
                <w:rFonts w:hint="eastAsia"/>
                <w:color w:val="000000"/>
                <w:sz w:val="24"/>
                <w:szCs w:val="24"/>
              </w:rPr>
              <w:t>元；华中地区客户主要分布在湖南省、河南省等，营业收入</w:t>
            </w:r>
            <w:r>
              <w:rPr>
                <w:rFonts w:hint="eastAsia"/>
                <w:color w:val="000000"/>
                <w:sz w:val="24"/>
                <w:szCs w:val="24"/>
              </w:rPr>
              <w:t>4,989,785.81</w:t>
            </w:r>
            <w:r>
              <w:rPr>
                <w:rFonts w:hint="eastAsia"/>
                <w:color w:val="000000"/>
                <w:sz w:val="24"/>
                <w:szCs w:val="24"/>
              </w:rPr>
              <w:t>元；西南地</w:t>
            </w:r>
            <w:r>
              <w:rPr>
                <w:rFonts w:hint="eastAsia"/>
                <w:color w:val="000000"/>
                <w:sz w:val="24"/>
                <w:szCs w:val="24"/>
              </w:rPr>
              <w:lastRenderedPageBreak/>
              <w:t>区客户主要分布在重庆市、广西省、四川省等，营业收入</w:t>
            </w:r>
            <w:r>
              <w:rPr>
                <w:rFonts w:hint="eastAsia"/>
                <w:color w:val="000000"/>
                <w:sz w:val="24"/>
                <w:szCs w:val="24"/>
              </w:rPr>
              <w:t>763,815.</w:t>
            </w:r>
            <w:r>
              <w:rPr>
                <w:rFonts w:hint="eastAsia"/>
                <w:color w:val="000000"/>
                <w:sz w:val="24"/>
                <w:szCs w:val="24"/>
              </w:rPr>
              <w:t>90</w:t>
            </w:r>
            <w:r>
              <w:rPr>
                <w:rFonts w:hint="eastAsia"/>
                <w:color w:val="000000"/>
                <w:sz w:val="24"/>
                <w:szCs w:val="24"/>
              </w:rPr>
              <w:t>元。</w:t>
            </w:r>
          </w:p>
          <w:p w14:paraId="4F0CA0B6" w14:textId="77777777" w:rsidR="004E32B4" w:rsidRDefault="00A8228D">
            <w:pPr>
              <w:adjustRightInd w:val="0"/>
              <w:snapToGrid w:val="0"/>
              <w:spacing w:line="460" w:lineRule="exact"/>
              <w:ind w:firstLineChars="200" w:firstLine="482"/>
              <w:textAlignment w:val="center"/>
              <w:rPr>
                <w:b/>
                <w:bCs/>
                <w:color w:val="000000"/>
                <w:sz w:val="24"/>
                <w:szCs w:val="24"/>
              </w:rPr>
            </w:pPr>
            <w:r>
              <w:rPr>
                <w:rFonts w:hint="eastAsia"/>
                <w:b/>
                <w:bCs/>
                <w:color w:val="000000"/>
                <w:sz w:val="24"/>
                <w:szCs w:val="24"/>
              </w:rPr>
              <w:t>6</w:t>
            </w:r>
            <w:r>
              <w:rPr>
                <w:rFonts w:hint="eastAsia"/>
                <w:b/>
                <w:bCs/>
                <w:color w:val="000000"/>
                <w:sz w:val="24"/>
                <w:szCs w:val="24"/>
              </w:rPr>
              <w:t>、请介绍公司的发展战略</w:t>
            </w:r>
          </w:p>
          <w:p w14:paraId="4099BD45" w14:textId="77777777" w:rsidR="004E32B4" w:rsidRDefault="00A8228D">
            <w:pPr>
              <w:spacing w:line="460" w:lineRule="exact"/>
              <w:ind w:firstLineChars="200" w:firstLine="480"/>
              <w:textAlignment w:val="center"/>
              <w:rPr>
                <w:color w:val="000000"/>
                <w:sz w:val="24"/>
                <w:szCs w:val="24"/>
              </w:rPr>
            </w:pPr>
            <w:r>
              <w:rPr>
                <w:rFonts w:hint="eastAsia"/>
                <w:color w:val="000000"/>
                <w:sz w:val="24"/>
                <w:szCs w:val="24"/>
              </w:rPr>
              <w:t>回复：公司以打造全国高岭土行业领军企业和非金属矿行业龙头企业为战略目标，积极谋划企业长远发展，坚持“深度开发，综合利用，做大产业群，延伸非金属矿产业链”的发展方向，制定了“产业延伸走下去，资源布局走出去”并举、“实业经营</w:t>
            </w:r>
            <w:r>
              <w:rPr>
                <w:rFonts w:hint="eastAsia"/>
                <w:color w:val="000000"/>
                <w:sz w:val="24"/>
                <w:szCs w:val="24"/>
              </w:rPr>
              <w:t>+</w:t>
            </w:r>
            <w:r>
              <w:rPr>
                <w:rFonts w:hint="eastAsia"/>
                <w:color w:val="000000"/>
                <w:sz w:val="24"/>
                <w:szCs w:val="24"/>
              </w:rPr>
              <w:t>资本运营”并重的发展策略，确立了立足龙岩，面向全国，着眼全球，根植于非金属矿产资源行业，纵向打通产业链上下游，横向丰富其他矿产品品类，持续快速提升公司资产规模和产品竞争力，提升品牌影响力的发展思路。</w:t>
            </w:r>
          </w:p>
          <w:p w14:paraId="70A8FDA0" w14:textId="33DC15F8" w:rsidR="004E32B4" w:rsidRDefault="004E32B4">
            <w:pPr>
              <w:spacing w:line="460" w:lineRule="exact"/>
              <w:ind w:firstLineChars="200" w:firstLine="480"/>
              <w:textAlignment w:val="center"/>
              <w:rPr>
                <w:color w:val="000000"/>
                <w:sz w:val="24"/>
                <w:szCs w:val="24"/>
              </w:rPr>
            </w:pPr>
          </w:p>
          <w:p w14:paraId="1D43A024" w14:textId="5FCF8612" w:rsidR="00B95FF4" w:rsidRDefault="00B95FF4">
            <w:pPr>
              <w:spacing w:line="460" w:lineRule="exact"/>
              <w:ind w:firstLineChars="200" w:firstLine="480"/>
              <w:textAlignment w:val="center"/>
              <w:rPr>
                <w:color w:val="000000"/>
                <w:sz w:val="24"/>
                <w:szCs w:val="24"/>
              </w:rPr>
            </w:pPr>
          </w:p>
          <w:p w14:paraId="375739C8" w14:textId="33EB0E23" w:rsidR="00B95FF4" w:rsidRDefault="00B95FF4">
            <w:pPr>
              <w:spacing w:line="460" w:lineRule="exact"/>
              <w:ind w:firstLineChars="200" w:firstLine="480"/>
              <w:textAlignment w:val="center"/>
              <w:rPr>
                <w:color w:val="000000"/>
                <w:sz w:val="24"/>
                <w:szCs w:val="24"/>
              </w:rPr>
            </w:pPr>
          </w:p>
          <w:p w14:paraId="5B8A3512" w14:textId="504DEA5B" w:rsidR="00B95FF4" w:rsidRDefault="00B95FF4">
            <w:pPr>
              <w:spacing w:line="460" w:lineRule="exact"/>
              <w:ind w:firstLineChars="200" w:firstLine="480"/>
              <w:textAlignment w:val="center"/>
              <w:rPr>
                <w:color w:val="000000"/>
                <w:sz w:val="24"/>
                <w:szCs w:val="24"/>
              </w:rPr>
            </w:pPr>
          </w:p>
          <w:p w14:paraId="58249453" w14:textId="11BCDB1D" w:rsidR="00B95FF4" w:rsidRDefault="00B95FF4">
            <w:pPr>
              <w:spacing w:line="460" w:lineRule="exact"/>
              <w:ind w:firstLineChars="200" w:firstLine="480"/>
              <w:textAlignment w:val="center"/>
              <w:rPr>
                <w:color w:val="000000"/>
                <w:sz w:val="24"/>
                <w:szCs w:val="24"/>
              </w:rPr>
            </w:pPr>
          </w:p>
          <w:p w14:paraId="152EACEC" w14:textId="7F7423A2" w:rsidR="00B95FF4" w:rsidRDefault="00B95FF4">
            <w:pPr>
              <w:spacing w:line="460" w:lineRule="exact"/>
              <w:ind w:firstLineChars="200" w:firstLine="480"/>
              <w:textAlignment w:val="center"/>
              <w:rPr>
                <w:color w:val="000000"/>
                <w:sz w:val="24"/>
                <w:szCs w:val="24"/>
              </w:rPr>
            </w:pPr>
          </w:p>
          <w:p w14:paraId="25880BB1" w14:textId="491EC168" w:rsidR="00B95FF4" w:rsidRDefault="00B95FF4">
            <w:pPr>
              <w:spacing w:line="460" w:lineRule="exact"/>
              <w:ind w:firstLineChars="200" w:firstLine="480"/>
              <w:textAlignment w:val="center"/>
              <w:rPr>
                <w:color w:val="000000"/>
                <w:sz w:val="24"/>
                <w:szCs w:val="24"/>
              </w:rPr>
            </w:pPr>
          </w:p>
          <w:p w14:paraId="3BEE8CEC" w14:textId="77777777" w:rsidR="00B95FF4" w:rsidRDefault="00B95FF4">
            <w:pPr>
              <w:spacing w:line="460" w:lineRule="exact"/>
              <w:ind w:firstLineChars="200" w:firstLine="480"/>
              <w:textAlignment w:val="center"/>
              <w:rPr>
                <w:rFonts w:hint="eastAsia"/>
                <w:color w:val="000000"/>
                <w:sz w:val="24"/>
                <w:szCs w:val="24"/>
              </w:rPr>
            </w:pPr>
          </w:p>
          <w:p w14:paraId="3AE7FFDF" w14:textId="77777777" w:rsidR="004E32B4" w:rsidRDefault="004E32B4">
            <w:pPr>
              <w:spacing w:line="460" w:lineRule="exact"/>
              <w:ind w:firstLineChars="200" w:firstLine="480"/>
              <w:textAlignment w:val="center"/>
              <w:rPr>
                <w:color w:val="000000"/>
                <w:sz w:val="24"/>
                <w:szCs w:val="24"/>
              </w:rPr>
            </w:pPr>
          </w:p>
          <w:p w14:paraId="3609B610" w14:textId="77777777" w:rsidR="004E32B4" w:rsidRDefault="004E32B4">
            <w:pPr>
              <w:spacing w:line="460" w:lineRule="exact"/>
              <w:ind w:firstLineChars="200" w:firstLine="480"/>
              <w:textAlignment w:val="center"/>
              <w:rPr>
                <w:color w:val="000000"/>
                <w:sz w:val="24"/>
                <w:szCs w:val="24"/>
              </w:rPr>
            </w:pPr>
          </w:p>
          <w:p w14:paraId="65FE501C" w14:textId="77777777" w:rsidR="004E32B4" w:rsidRDefault="004E32B4">
            <w:pPr>
              <w:spacing w:line="460" w:lineRule="exact"/>
              <w:ind w:firstLineChars="200" w:firstLine="480"/>
              <w:textAlignment w:val="center"/>
              <w:rPr>
                <w:color w:val="000000"/>
                <w:sz w:val="24"/>
                <w:szCs w:val="24"/>
              </w:rPr>
            </w:pPr>
          </w:p>
          <w:p w14:paraId="51FF4131" w14:textId="77777777" w:rsidR="004E32B4" w:rsidRDefault="004E32B4">
            <w:pPr>
              <w:spacing w:line="460" w:lineRule="exact"/>
              <w:ind w:firstLineChars="200" w:firstLine="480"/>
              <w:textAlignment w:val="center"/>
              <w:rPr>
                <w:color w:val="000000"/>
                <w:sz w:val="24"/>
                <w:szCs w:val="24"/>
              </w:rPr>
            </w:pPr>
          </w:p>
          <w:p w14:paraId="65B47571" w14:textId="77777777" w:rsidR="004E32B4" w:rsidRDefault="004E32B4">
            <w:pPr>
              <w:spacing w:line="460" w:lineRule="exact"/>
              <w:ind w:firstLineChars="200" w:firstLine="480"/>
              <w:textAlignment w:val="center"/>
              <w:rPr>
                <w:color w:val="000000"/>
                <w:sz w:val="24"/>
                <w:szCs w:val="24"/>
              </w:rPr>
            </w:pPr>
          </w:p>
          <w:p w14:paraId="640456E5" w14:textId="77777777" w:rsidR="004E32B4" w:rsidRDefault="004E32B4">
            <w:pPr>
              <w:spacing w:line="460" w:lineRule="exact"/>
              <w:ind w:firstLineChars="200" w:firstLine="480"/>
              <w:textAlignment w:val="center"/>
              <w:rPr>
                <w:color w:val="000000"/>
                <w:sz w:val="24"/>
                <w:szCs w:val="24"/>
              </w:rPr>
            </w:pPr>
          </w:p>
          <w:p w14:paraId="2FC7BC31" w14:textId="0900AFE6" w:rsidR="004E32B4" w:rsidRDefault="004E32B4" w:rsidP="00B95FF4">
            <w:pPr>
              <w:spacing w:line="460" w:lineRule="exact"/>
              <w:textAlignment w:val="center"/>
              <w:rPr>
                <w:rFonts w:hint="eastAsia"/>
                <w:color w:val="000000"/>
                <w:sz w:val="24"/>
                <w:szCs w:val="24"/>
              </w:rPr>
            </w:pPr>
            <w:bookmarkStart w:id="0" w:name="_GoBack"/>
            <w:bookmarkEnd w:id="0"/>
          </w:p>
        </w:tc>
      </w:tr>
    </w:tbl>
    <w:p w14:paraId="3C6B0D4C" w14:textId="77777777" w:rsidR="004E32B4" w:rsidRDefault="004E32B4">
      <w:pPr>
        <w:rPr>
          <w:rFonts w:ascii="仿宋" w:eastAsia="仿宋" w:hAnsi="仿宋"/>
          <w:sz w:val="28"/>
          <w:szCs w:val="28"/>
        </w:rPr>
      </w:pPr>
    </w:p>
    <w:sectPr w:rsidR="004E32B4">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2337B" w14:textId="77777777" w:rsidR="00A8228D" w:rsidRDefault="00A8228D">
      <w:r>
        <w:separator/>
      </w:r>
    </w:p>
  </w:endnote>
  <w:endnote w:type="continuationSeparator" w:id="0">
    <w:p w14:paraId="2023177E" w14:textId="77777777" w:rsidR="00A8228D" w:rsidRDefault="00A8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851402"/>
    </w:sdtPr>
    <w:sdtEndPr/>
    <w:sdtContent>
      <w:p w14:paraId="44C26305" w14:textId="5F135650" w:rsidR="004E32B4" w:rsidRDefault="00A8228D">
        <w:pPr>
          <w:pStyle w:val="a7"/>
          <w:jc w:val="center"/>
        </w:pPr>
        <w:r>
          <w:fldChar w:fldCharType="begin"/>
        </w:r>
        <w:r>
          <w:instrText>PAGE   \* MERGEFORMAT</w:instrText>
        </w:r>
        <w:r>
          <w:fldChar w:fldCharType="separate"/>
        </w:r>
        <w:r w:rsidR="00B95FF4" w:rsidRPr="00B95FF4">
          <w:rPr>
            <w:noProof/>
            <w:lang w:val="zh-CN"/>
          </w:rPr>
          <w:t>3</w:t>
        </w:r>
        <w:r>
          <w:fldChar w:fldCharType="end"/>
        </w:r>
      </w:p>
    </w:sdtContent>
  </w:sdt>
  <w:p w14:paraId="58030A5A" w14:textId="77777777" w:rsidR="004E32B4" w:rsidRDefault="004E32B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6F953" w14:textId="77777777" w:rsidR="00A8228D" w:rsidRDefault="00A8228D">
      <w:r>
        <w:separator/>
      </w:r>
    </w:p>
  </w:footnote>
  <w:footnote w:type="continuationSeparator" w:id="0">
    <w:p w14:paraId="13159E52" w14:textId="77777777" w:rsidR="00A8228D" w:rsidRDefault="00A822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EBDAB9"/>
    <w:multiLevelType w:val="singleLevel"/>
    <w:tmpl w:val="DFEBDAB9"/>
    <w:lvl w:ilvl="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zNzgxMmI2ZmNiYWQ2ZjU2NDQxZjVjM2E0YWU1MDUifQ=="/>
    <w:docVar w:name="KSO_WPS_MARK_KEY" w:val="2f8caacb-8e27-46f2-8d18-d45972d3368d"/>
  </w:docVars>
  <w:rsids>
    <w:rsidRoot w:val="00534EC7"/>
    <w:rsid w:val="00000116"/>
    <w:rsid w:val="00000760"/>
    <w:rsid w:val="00000AA4"/>
    <w:rsid w:val="00017330"/>
    <w:rsid w:val="00020FEE"/>
    <w:rsid w:val="00021249"/>
    <w:rsid w:val="000217CC"/>
    <w:rsid w:val="000342E6"/>
    <w:rsid w:val="00036C31"/>
    <w:rsid w:val="00040B0B"/>
    <w:rsid w:val="00047460"/>
    <w:rsid w:val="000534FF"/>
    <w:rsid w:val="0005646B"/>
    <w:rsid w:val="000570DC"/>
    <w:rsid w:val="000571E8"/>
    <w:rsid w:val="0005741F"/>
    <w:rsid w:val="00071393"/>
    <w:rsid w:val="000850E0"/>
    <w:rsid w:val="00090D31"/>
    <w:rsid w:val="0009135D"/>
    <w:rsid w:val="00091BC8"/>
    <w:rsid w:val="00096403"/>
    <w:rsid w:val="000B616A"/>
    <w:rsid w:val="000B6D71"/>
    <w:rsid w:val="000C0420"/>
    <w:rsid w:val="000C19BA"/>
    <w:rsid w:val="000C4C0C"/>
    <w:rsid w:val="000C52C5"/>
    <w:rsid w:val="000D4F18"/>
    <w:rsid w:val="000D6EEC"/>
    <w:rsid w:val="000E016E"/>
    <w:rsid w:val="000E03EE"/>
    <w:rsid w:val="000E170A"/>
    <w:rsid w:val="000E41FD"/>
    <w:rsid w:val="000E46D1"/>
    <w:rsid w:val="000F2898"/>
    <w:rsid w:val="000F3C01"/>
    <w:rsid w:val="00101B6B"/>
    <w:rsid w:val="00101E58"/>
    <w:rsid w:val="001038FD"/>
    <w:rsid w:val="001049D8"/>
    <w:rsid w:val="00105976"/>
    <w:rsid w:val="001224BC"/>
    <w:rsid w:val="00124474"/>
    <w:rsid w:val="00130710"/>
    <w:rsid w:val="00130FB3"/>
    <w:rsid w:val="00133DB5"/>
    <w:rsid w:val="00151D20"/>
    <w:rsid w:val="00157EA2"/>
    <w:rsid w:val="0016141F"/>
    <w:rsid w:val="0016222E"/>
    <w:rsid w:val="001641E0"/>
    <w:rsid w:val="00172591"/>
    <w:rsid w:val="00176927"/>
    <w:rsid w:val="0018062C"/>
    <w:rsid w:val="001877B1"/>
    <w:rsid w:val="001A13A9"/>
    <w:rsid w:val="001A7969"/>
    <w:rsid w:val="001B75B0"/>
    <w:rsid w:val="001D0D0B"/>
    <w:rsid w:val="001E3472"/>
    <w:rsid w:val="001E4AF9"/>
    <w:rsid w:val="001F3AA0"/>
    <w:rsid w:val="001F4C14"/>
    <w:rsid w:val="0020392E"/>
    <w:rsid w:val="0021487C"/>
    <w:rsid w:val="002339BD"/>
    <w:rsid w:val="002350AC"/>
    <w:rsid w:val="00242CE4"/>
    <w:rsid w:val="00247D74"/>
    <w:rsid w:val="00253294"/>
    <w:rsid w:val="00260A81"/>
    <w:rsid w:val="00264E51"/>
    <w:rsid w:val="0027338E"/>
    <w:rsid w:val="00284701"/>
    <w:rsid w:val="0029551D"/>
    <w:rsid w:val="00296064"/>
    <w:rsid w:val="00297CCB"/>
    <w:rsid w:val="002C1BE8"/>
    <w:rsid w:val="002C296A"/>
    <w:rsid w:val="002C5F88"/>
    <w:rsid w:val="002D0E08"/>
    <w:rsid w:val="002E6C15"/>
    <w:rsid w:val="002F2C8D"/>
    <w:rsid w:val="002F2D8C"/>
    <w:rsid w:val="002F4F0B"/>
    <w:rsid w:val="0030167B"/>
    <w:rsid w:val="00310141"/>
    <w:rsid w:val="0031496D"/>
    <w:rsid w:val="00320369"/>
    <w:rsid w:val="00322DBA"/>
    <w:rsid w:val="00340453"/>
    <w:rsid w:val="003426EA"/>
    <w:rsid w:val="003464F5"/>
    <w:rsid w:val="00347C77"/>
    <w:rsid w:val="00352BCB"/>
    <w:rsid w:val="00353CA6"/>
    <w:rsid w:val="003625F4"/>
    <w:rsid w:val="00376505"/>
    <w:rsid w:val="00376B2F"/>
    <w:rsid w:val="00381E11"/>
    <w:rsid w:val="00385F13"/>
    <w:rsid w:val="00392FE0"/>
    <w:rsid w:val="00396904"/>
    <w:rsid w:val="003A53BB"/>
    <w:rsid w:val="003B0604"/>
    <w:rsid w:val="003B11B2"/>
    <w:rsid w:val="003B11C4"/>
    <w:rsid w:val="003B6D9E"/>
    <w:rsid w:val="003C5681"/>
    <w:rsid w:val="003D0493"/>
    <w:rsid w:val="003D3AF0"/>
    <w:rsid w:val="003D6140"/>
    <w:rsid w:val="003D715F"/>
    <w:rsid w:val="003F0D3D"/>
    <w:rsid w:val="003F1393"/>
    <w:rsid w:val="003F5E71"/>
    <w:rsid w:val="003F7368"/>
    <w:rsid w:val="003F7511"/>
    <w:rsid w:val="0040048E"/>
    <w:rsid w:val="0040244F"/>
    <w:rsid w:val="004026EF"/>
    <w:rsid w:val="00404B8E"/>
    <w:rsid w:val="00404D87"/>
    <w:rsid w:val="00406DCD"/>
    <w:rsid w:val="004146FA"/>
    <w:rsid w:val="0042526C"/>
    <w:rsid w:val="0043137E"/>
    <w:rsid w:val="00434A1C"/>
    <w:rsid w:val="00436D53"/>
    <w:rsid w:val="00445F3A"/>
    <w:rsid w:val="00450949"/>
    <w:rsid w:val="004641D2"/>
    <w:rsid w:val="00465195"/>
    <w:rsid w:val="0046708E"/>
    <w:rsid w:val="00474BFE"/>
    <w:rsid w:val="004758C4"/>
    <w:rsid w:val="004820FB"/>
    <w:rsid w:val="004845FF"/>
    <w:rsid w:val="004951B3"/>
    <w:rsid w:val="004952AC"/>
    <w:rsid w:val="004B07DC"/>
    <w:rsid w:val="004B1627"/>
    <w:rsid w:val="004B1C85"/>
    <w:rsid w:val="004B3739"/>
    <w:rsid w:val="004C12E4"/>
    <w:rsid w:val="004D5D8B"/>
    <w:rsid w:val="004E32B4"/>
    <w:rsid w:val="004F7080"/>
    <w:rsid w:val="005006EF"/>
    <w:rsid w:val="0050072E"/>
    <w:rsid w:val="0050536A"/>
    <w:rsid w:val="005100D9"/>
    <w:rsid w:val="005107BE"/>
    <w:rsid w:val="0052107D"/>
    <w:rsid w:val="005307C1"/>
    <w:rsid w:val="00532BEF"/>
    <w:rsid w:val="00534EC7"/>
    <w:rsid w:val="00544B73"/>
    <w:rsid w:val="00585797"/>
    <w:rsid w:val="00590E90"/>
    <w:rsid w:val="00591585"/>
    <w:rsid w:val="00593BFF"/>
    <w:rsid w:val="00594F2B"/>
    <w:rsid w:val="00595098"/>
    <w:rsid w:val="005A2A1F"/>
    <w:rsid w:val="005B60A9"/>
    <w:rsid w:val="005B71F1"/>
    <w:rsid w:val="005C3518"/>
    <w:rsid w:val="005D5F2D"/>
    <w:rsid w:val="005E4E09"/>
    <w:rsid w:val="005F15A9"/>
    <w:rsid w:val="005F229B"/>
    <w:rsid w:val="005F71D6"/>
    <w:rsid w:val="0060389B"/>
    <w:rsid w:val="00610E71"/>
    <w:rsid w:val="00612FEE"/>
    <w:rsid w:val="00614381"/>
    <w:rsid w:val="00624111"/>
    <w:rsid w:val="006245F7"/>
    <w:rsid w:val="006317A3"/>
    <w:rsid w:val="00631DA5"/>
    <w:rsid w:val="0063572E"/>
    <w:rsid w:val="00643070"/>
    <w:rsid w:val="0064406A"/>
    <w:rsid w:val="006444E7"/>
    <w:rsid w:val="00646068"/>
    <w:rsid w:val="00651303"/>
    <w:rsid w:val="006529B5"/>
    <w:rsid w:val="00653185"/>
    <w:rsid w:val="00655CFE"/>
    <w:rsid w:val="006635AD"/>
    <w:rsid w:val="00664B9B"/>
    <w:rsid w:val="00672FE9"/>
    <w:rsid w:val="0067581C"/>
    <w:rsid w:val="00681B40"/>
    <w:rsid w:val="006954E9"/>
    <w:rsid w:val="00696AAE"/>
    <w:rsid w:val="00697323"/>
    <w:rsid w:val="0069776F"/>
    <w:rsid w:val="006B4337"/>
    <w:rsid w:val="006B78C9"/>
    <w:rsid w:val="006C7D25"/>
    <w:rsid w:val="006D3B78"/>
    <w:rsid w:val="006D5C12"/>
    <w:rsid w:val="006D62B0"/>
    <w:rsid w:val="006E3313"/>
    <w:rsid w:val="006E359C"/>
    <w:rsid w:val="006F6D59"/>
    <w:rsid w:val="00700F95"/>
    <w:rsid w:val="00701E0D"/>
    <w:rsid w:val="00702FD8"/>
    <w:rsid w:val="00704A56"/>
    <w:rsid w:val="007062D2"/>
    <w:rsid w:val="00714657"/>
    <w:rsid w:val="00717CD8"/>
    <w:rsid w:val="007229E7"/>
    <w:rsid w:val="007259C2"/>
    <w:rsid w:val="00731F89"/>
    <w:rsid w:val="00734314"/>
    <w:rsid w:val="00736E19"/>
    <w:rsid w:val="007417EF"/>
    <w:rsid w:val="007423AC"/>
    <w:rsid w:val="007459B0"/>
    <w:rsid w:val="00745D47"/>
    <w:rsid w:val="00751CCA"/>
    <w:rsid w:val="00756FD4"/>
    <w:rsid w:val="00760F70"/>
    <w:rsid w:val="00760F78"/>
    <w:rsid w:val="00762BC9"/>
    <w:rsid w:val="00764C7B"/>
    <w:rsid w:val="00772232"/>
    <w:rsid w:val="007767AC"/>
    <w:rsid w:val="00782B9A"/>
    <w:rsid w:val="007870FF"/>
    <w:rsid w:val="007954EA"/>
    <w:rsid w:val="007A438D"/>
    <w:rsid w:val="007A51E5"/>
    <w:rsid w:val="007A56FB"/>
    <w:rsid w:val="007B1AB6"/>
    <w:rsid w:val="007B1D0B"/>
    <w:rsid w:val="007B444F"/>
    <w:rsid w:val="007C2B2F"/>
    <w:rsid w:val="007D2DDF"/>
    <w:rsid w:val="007E6063"/>
    <w:rsid w:val="007E7E36"/>
    <w:rsid w:val="00803137"/>
    <w:rsid w:val="00812227"/>
    <w:rsid w:val="00814EE5"/>
    <w:rsid w:val="0083130A"/>
    <w:rsid w:val="008322D0"/>
    <w:rsid w:val="00832EA1"/>
    <w:rsid w:val="00834BC5"/>
    <w:rsid w:val="00834C40"/>
    <w:rsid w:val="00837906"/>
    <w:rsid w:val="008445DE"/>
    <w:rsid w:val="00855980"/>
    <w:rsid w:val="00856D91"/>
    <w:rsid w:val="00857664"/>
    <w:rsid w:val="008729B5"/>
    <w:rsid w:val="0087479E"/>
    <w:rsid w:val="00877228"/>
    <w:rsid w:val="008809A1"/>
    <w:rsid w:val="008840A3"/>
    <w:rsid w:val="00884AD7"/>
    <w:rsid w:val="00886A5F"/>
    <w:rsid w:val="00890088"/>
    <w:rsid w:val="00891D7D"/>
    <w:rsid w:val="00893217"/>
    <w:rsid w:val="008963C2"/>
    <w:rsid w:val="00897A6D"/>
    <w:rsid w:val="008A0338"/>
    <w:rsid w:val="008A635E"/>
    <w:rsid w:val="008A6560"/>
    <w:rsid w:val="008B10A2"/>
    <w:rsid w:val="008C2201"/>
    <w:rsid w:val="008C2CD5"/>
    <w:rsid w:val="008D0241"/>
    <w:rsid w:val="008D61B4"/>
    <w:rsid w:val="008E25B5"/>
    <w:rsid w:val="008F2FA9"/>
    <w:rsid w:val="0090471F"/>
    <w:rsid w:val="00910595"/>
    <w:rsid w:val="009211B2"/>
    <w:rsid w:val="0092358B"/>
    <w:rsid w:val="0092649C"/>
    <w:rsid w:val="00934F6B"/>
    <w:rsid w:val="00936BC9"/>
    <w:rsid w:val="009446A2"/>
    <w:rsid w:val="00961296"/>
    <w:rsid w:val="0096360A"/>
    <w:rsid w:val="00967C4A"/>
    <w:rsid w:val="009721D7"/>
    <w:rsid w:val="009748A9"/>
    <w:rsid w:val="00975E41"/>
    <w:rsid w:val="00977987"/>
    <w:rsid w:val="00982812"/>
    <w:rsid w:val="00982F1A"/>
    <w:rsid w:val="00986B61"/>
    <w:rsid w:val="009875A5"/>
    <w:rsid w:val="009A00A0"/>
    <w:rsid w:val="009A1142"/>
    <w:rsid w:val="009A7A77"/>
    <w:rsid w:val="009B0CE4"/>
    <w:rsid w:val="009B2449"/>
    <w:rsid w:val="009B3750"/>
    <w:rsid w:val="009B5F9C"/>
    <w:rsid w:val="009C76A0"/>
    <w:rsid w:val="009C7949"/>
    <w:rsid w:val="009D090F"/>
    <w:rsid w:val="009D4ABA"/>
    <w:rsid w:val="009D50AC"/>
    <w:rsid w:val="009D7FF0"/>
    <w:rsid w:val="009E1BA2"/>
    <w:rsid w:val="009E41E5"/>
    <w:rsid w:val="009F3620"/>
    <w:rsid w:val="00A0145C"/>
    <w:rsid w:val="00A02E45"/>
    <w:rsid w:val="00A10272"/>
    <w:rsid w:val="00A10B2E"/>
    <w:rsid w:val="00A20B7D"/>
    <w:rsid w:val="00A318A9"/>
    <w:rsid w:val="00A32446"/>
    <w:rsid w:val="00A40573"/>
    <w:rsid w:val="00A43EA9"/>
    <w:rsid w:val="00A462D8"/>
    <w:rsid w:val="00A5453E"/>
    <w:rsid w:val="00A61982"/>
    <w:rsid w:val="00A67BDE"/>
    <w:rsid w:val="00A80829"/>
    <w:rsid w:val="00A8228D"/>
    <w:rsid w:val="00A84679"/>
    <w:rsid w:val="00A92284"/>
    <w:rsid w:val="00AA5F58"/>
    <w:rsid w:val="00AB489B"/>
    <w:rsid w:val="00AB49E7"/>
    <w:rsid w:val="00AB4F12"/>
    <w:rsid w:val="00AB70B2"/>
    <w:rsid w:val="00AB7161"/>
    <w:rsid w:val="00AC1EFF"/>
    <w:rsid w:val="00AC5C1A"/>
    <w:rsid w:val="00AC6D19"/>
    <w:rsid w:val="00AD1147"/>
    <w:rsid w:val="00AD47A5"/>
    <w:rsid w:val="00AD6FA3"/>
    <w:rsid w:val="00AF4B2E"/>
    <w:rsid w:val="00AF6CF6"/>
    <w:rsid w:val="00AF7AEF"/>
    <w:rsid w:val="00B04AC2"/>
    <w:rsid w:val="00B05632"/>
    <w:rsid w:val="00B0573D"/>
    <w:rsid w:val="00B1052A"/>
    <w:rsid w:val="00B15E70"/>
    <w:rsid w:val="00B167A3"/>
    <w:rsid w:val="00B17C83"/>
    <w:rsid w:val="00B23C25"/>
    <w:rsid w:val="00B273EB"/>
    <w:rsid w:val="00B27F9A"/>
    <w:rsid w:val="00B317E9"/>
    <w:rsid w:val="00B3202C"/>
    <w:rsid w:val="00B618D8"/>
    <w:rsid w:val="00B6326B"/>
    <w:rsid w:val="00B63438"/>
    <w:rsid w:val="00B756AB"/>
    <w:rsid w:val="00B7749C"/>
    <w:rsid w:val="00B815EB"/>
    <w:rsid w:val="00B9363C"/>
    <w:rsid w:val="00B95FF4"/>
    <w:rsid w:val="00BB0971"/>
    <w:rsid w:val="00BB28BF"/>
    <w:rsid w:val="00BC0D27"/>
    <w:rsid w:val="00BC2613"/>
    <w:rsid w:val="00BC276E"/>
    <w:rsid w:val="00BC3E4A"/>
    <w:rsid w:val="00BC46B8"/>
    <w:rsid w:val="00BD0D22"/>
    <w:rsid w:val="00BD429E"/>
    <w:rsid w:val="00BD5C43"/>
    <w:rsid w:val="00BE4DEC"/>
    <w:rsid w:val="00BE79CF"/>
    <w:rsid w:val="00BF25FB"/>
    <w:rsid w:val="00C0464A"/>
    <w:rsid w:val="00C312C2"/>
    <w:rsid w:val="00C369ED"/>
    <w:rsid w:val="00C44FE4"/>
    <w:rsid w:val="00C52216"/>
    <w:rsid w:val="00C57BD2"/>
    <w:rsid w:val="00C608F8"/>
    <w:rsid w:val="00C72FDC"/>
    <w:rsid w:val="00C75524"/>
    <w:rsid w:val="00C826B3"/>
    <w:rsid w:val="00C84FE7"/>
    <w:rsid w:val="00C925D1"/>
    <w:rsid w:val="00C958AE"/>
    <w:rsid w:val="00CA2592"/>
    <w:rsid w:val="00CA4537"/>
    <w:rsid w:val="00CA7701"/>
    <w:rsid w:val="00CB05D9"/>
    <w:rsid w:val="00CB0A79"/>
    <w:rsid w:val="00CB38AE"/>
    <w:rsid w:val="00CB54C8"/>
    <w:rsid w:val="00CB7E82"/>
    <w:rsid w:val="00CC1F6B"/>
    <w:rsid w:val="00CD0875"/>
    <w:rsid w:val="00CD3C26"/>
    <w:rsid w:val="00CD7725"/>
    <w:rsid w:val="00CE547C"/>
    <w:rsid w:val="00CE6C8E"/>
    <w:rsid w:val="00CF24AA"/>
    <w:rsid w:val="00D05741"/>
    <w:rsid w:val="00D06009"/>
    <w:rsid w:val="00D104FA"/>
    <w:rsid w:val="00D143B9"/>
    <w:rsid w:val="00D15ABE"/>
    <w:rsid w:val="00D33C3B"/>
    <w:rsid w:val="00D342D7"/>
    <w:rsid w:val="00D42D1A"/>
    <w:rsid w:val="00D55C69"/>
    <w:rsid w:val="00D56DC2"/>
    <w:rsid w:val="00D5720F"/>
    <w:rsid w:val="00D81EB7"/>
    <w:rsid w:val="00D84A00"/>
    <w:rsid w:val="00D95328"/>
    <w:rsid w:val="00DA1307"/>
    <w:rsid w:val="00DC01D3"/>
    <w:rsid w:val="00DC0D0B"/>
    <w:rsid w:val="00DC16DA"/>
    <w:rsid w:val="00DC234B"/>
    <w:rsid w:val="00DC3FD9"/>
    <w:rsid w:val="00DC4EF4"/>
    <w:rsid w:val="00DC6ACB"/>
    <w:rsid w:val="00DD5F05"/>
    <w:rsid w:val="00DD7519"/>
    <w:rsid w:val="00DE1C1C"/>
    <w:rsid w:val="00DE2871"/>
    <w:rsid w:val="00DE3C2E"/>
    <w:rsid w:val="00DE5254"/>
    <w:rsid w:val="00DF5E9C"/>
    <w:rsid w:val="00DF669F"/>
    <w:rsid w:val="00E008AE"/>
    <w:rsid w:val="00E248ED"/>
    <w:rsid w:val="00E4008F"/>
    <w:rsid w:val="00E42879"/>
    <w:rsid w:val="00E50B1C"/>
    <w:rsid w:val="00E515B4"/>
    <w:rsid w:val="00E51622"/>
    <w:rsid w:val="00E649E9"/>
    <w:rsid w:val="00E6640E"/>
    <w:rsid w:val="00E67637"/>
    <w:rsid w:val="00E67E6E"/>
    <w:rsid w:val="00E72347"/>
    <w:rsid w:val="00E73609"/>
    <w:rsid w:val="00E8695C"/>
    <w:rsid w:val="00E920B5"/>
    <w:rsid w:val="00E93B15"/>
    <w:rsid w:val="00EA47AD"/>
    <w:rsid w:val="00EB0F3A"/>
    <w:rsid w:val="00EB2416"/>
    <w:rsid w:val="00EB2B16"/>
    <w:rsid w:val="00EB5CDF"/>
    <w:rsid w:val="00EB6DC9"/>
    <w:rsid w:val="00EE681B"/>
    <w:rsid w:val="00EF28D7"/>
    <w:rsid w:val="00EF62A3"/>
    <w:rsid w:val="00F017D5"/>
    <w:rsid w:val="00F0499A"/>
    <w:rsid w:val="00F17B51"/>
    <w:rsid w:val="00F207DB"/>
    <w:rsid w:val="00F225F9"/>
    <w:rsid w:val="00F22C14"/>
    <w:rsid w:val="00F4097F"/>
    <w:rsid w:val="00F40C20"/>
    <w:rsid w:val="00F51431"/>
    <w:rsid w:val="00F57F21"/>
    <w:rsid w:val="00F60335"/>
    <w:rsid w:val="00F61C39"/>
    <w:rsid w:val="00F63D93"/>
    <w:rsid w:val="00F706BB"/>
    <w:rsid w:val="00F70E42"/>
    <w:rsid w:val="00F71CF3"/>
    <w:rsid w:val="00F7681B"/>
    <w:rsid w:val="00F85C28"/>
    <w:rsid w:val="00F970A4"/>
    <w:rsid w:val="00F97CC5"/>
    <w:rsid w:val="00FA41A1"/>
    <w:rsid w:val="00FA479C"/>
    <w:rsid w:val="00FB0856"/>
    <w:rsid w:val="00FB4B4C"/>
    <w:rsid w:val="00FB50E6"/>
    <w:rsid w:val="00FD3711"/>
    <w:rsid w:val="00FE0070"/>
    <w:rsid w:val="00FE28FB"/>
    <w:rsid w:val="00FE32A7"/>
    <w:rsid w:val="00FE66FE"/>
    <w:rsid w:val="00FF078A"/>
    <w:rsid w:val="00FF525C"/>
    <w:rsid w:val="10112F25"/>
    <w:rsid w:val="163F2746"/>
    <w:rsid w:val="29886E56"/>
    <w:rsid w:val="3AF2467A"/>
    <w:rsid w:val="71B107F1"/>
    <w:rsid w:val="72040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CF5E9"/>
  <w15:docId w15:val="{14EEB458-BF3B-488C-A8E3-4299B227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rPr>
      <w:szCs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uiPriority w:val="10"/>
    <w:qFormat/>
    <w:pPr>
      <w:spacing w:before="240" w:after="60"/>
      <w:jc w:val="center"/>
      <w:outlineLvl w:val="0"/>
    </w:pPr>
    <w:rPr>
      <w:rFonts w:asciiTheme="majorHAnsi" w:eastAsiaTheme="majorEastAsia" w:hAnsiTheme="majorHAnsi" w:cstheme="majorBidi"/>
      <w:b/>
      <w:bCs/>
      <w:sz w:val="32"/>
      <w:szCs w:val="32"/>
    </w:rPr>
  </w:style>
  <w:style w:type="paragraph" w:styleId="ac">
    <w:name w:val="annotation subject"/>
    <w:basedOn w:val="a3"/>
    <w:next w:val="a3"/>
    <w:link w:val="ad"/>
    <w:uiPriority w:val="99"/>
    <w:semiHidden/>
    <w:unhideWhenUsed/>
    <w:qFormat/>
    <w:rPr>
      <w:b/>
      <w:bCs/>
      <w:szCs w:val="20"/>
    </w:r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d">
    <w:name w:val="批注主题 字符"/>
    <w:basedOn w:val="a4"/>
    <w:link w:val="ac"/>
    <w:uiPriority w:val="99"/>
    <w:semiHidden/>
    <w:qFormat/>
    <w:rPr>
      <w:rFonts w:ascii="Times New Roman" w:eastAsia="宋体" w:hAnsi="Times New Roman" w:cs="Times New Roman"/>
      <w:b/>
      <w:bCs/>
      <w:szCs w:val="20"/>
    </w:rPr>
  </w:style>
  <w:style w:type="character" w:customStyle="1" w:styleId="ng-binding">
    <w:name w:val="ng-binding"/>
    <w:basedOn w:val="a0"/>
    <w:qFormat/>
  </w:style>
  <w:style w:type="paragraph" w:styleId="af0">
    <w:name w:val="List Paragraph"/>
    <w:basedOn w:val="a"/>
    <w:uiPriority w:val="34"/>
    <w:qFormat/>
    <w:pPr>
      <w:ind w:firstLineChars="200" w:firstLine="420"/>
    </w:pPr>
  </w:style>
  <w:style w:type="paragraph" w:customStyle="1" w:styleId="1">
    <w:name w:val="修订1"/>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59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FC278-BEBC-42A5-B820-CCD868AC3039}">
  <ds:schemaRefs>
    <ds:schemaRef ds:uri="http://schemas.microsoft.com/sharepoint/v3/contenttype/forms"/>
  </ds:schemaRefs>
</ds:datastoreItem>
</file>

<file path=customXml/itemProps2.xml><?xml version="1.0" encoding="utf-8"?>
<ds:datastoreItem xmlns:ds="http://schemas.openxmlformats.org/officeDocument/2006/customXml" ds:itemID="{ED4827DC-EA26-4EAA-8882-A01B9C6A81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98DF68-7BEF-4E9F-A3FC-08FE69096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19DFA9-6597-4D98-9A14-5B202AD39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774</Words>
  <Characters>954</Characters>
  <Application>Microsoft Office Word</Application>
  <DocSecurity>0</DocSecurity>
  <Lines>106</Lines>
  <Paragraphs>107</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44</cp:revision>
  <dcterms:created xsi:type="dcterms:W3CDTF">2023-09-21T08:08:00Z</dcterms:created>
  <dcterms:modified xsi:type="dcterms:W3CDTF">2025-04-14T08:32:00Z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y fmtid="{D5CDD505-2E9C-101B-9397-08002B2CF9AE}" pid="3" name="KSOTemplateDocerSaveRecord">
    <vt:lpwstr>eyJoZGlkIjoiZDY3OGQxZTNjYzM1M2EwZDlhOGM2MzE5ZjI2MTZjYmEiLCJ1c2VySWQiOiIyMjEzMjQ3MDUifQ==</vt:lpwstr>
  </property>
  <property fmtid="{D5CDD505-2E9C-101B-9397-08002B2CF9AE}" pid="4" name="KSOProductBuildVer">
    <vt:lpwstr>2052-12.1.0.20784</vt:lpwstr>
  </property>
  <property fmtid="{D5CDD505-2E9C-101B-9397-08002B2CF9AE}" pid="5" name="ICV">
    <vt:lpwstr>358AC9F23B9C46CA9745083AFA44E1F3_12</vt:lpwstr>
  </property>
</Properties>
</file>