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0D29">
      <w:pPr>
        <w:spacing w:line="288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证券代码：600872                                             证券简称：中炬高新</w:t>
      </w:r>
    </w:p>
    <w:p w14:paraId="4EB188DC">
      <w:pPr>
        <w:spacing w:line="288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中炬高新技术实业（集团）股份有限公司</w:t>
      </w:r>
    </w:p>
    <w:p w14:paraId="0776F190">
      <w:pPr>
        <w:spacing w:line="288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投资者关系活动记录表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6891"/>
      </w:tblGrid>
      <w:tr w14:paraId="749A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5" w:type="dxa"/>
            <w:vAlign w:val="center"/>
          </w:tcPr>
          <w:p w14:paraId="19735216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91" w:type="dxa"/>
            <w:vAlign w:val="center"/>
          </w:tcPr>
          <w:p w14:paraId="07A5A341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☑特定对象调研 □分析师会议 □媒体采访 □业绩说明会</w:t>
            </w:r>
          </w:p>
          <w:p w14:paraId="6E46EF52">
            <w:pPr>
              <w:spacing w:line="288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□新闻发布会 □路演活动 </w:t>
            </w:r>
            <w:bookmarkStart w:id="0" w:name="OLE_LINK1"/>
            <w:r>
              <w:rPr>
                <w:rFonts w:hint="eastAsia" w:ascii="宋体" w:hAnsi="宋体" w:eastAsia="宋体"/>
                <w:szCs w:val="21"/>
              </w:rPr>
              <w:t>☑</w:t>
            </w:r>
            <w:bookmarkEnd w:id="0"/>
            <w:r>
              <w:rPr>
                <w:rFonts w:hint="eastAsia" w:ascii="宋体" w:hAnsi="宋体" w:eastAsia="宋体"/>
                <w:szCs w:val="21"/>
              </w:rPr>
              <w:t>现场参观 □其他</w:t>
            </w:r>
          </w:p>
        </w:tc>
      </w:tr>
      <w:tr w14:paraId="2913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1405" w:type="dxa"/>
            <w:vAlign w:val="center"/>
          </w:tcPr>
          <w:p w14:paraId="23720E82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参与单位名称与人数</w:t>
            </w:r>
          </w:p>
        </w:tc>
        <w:tc>
          <w:tcPr>
            <w:tcW w:w="6891" w:type="dxa"/>
            <w:vAlign w:val="center"/>
          </w:tcPr>
          <w:p w14:paraId="50A47D23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方达基金、广发基金、嘉实基金、南方基金、富国基金、招商基金、博时基金、鹏华基金、摩根基金、汇添富基金、工银瑞信基金、天弘基金、大成基金、信达澳亚基金、交银施罗德基金、农银汇理基金、国海富兰克林基金、汇丰晋信基金、平安基金、金信基金、永赢基金、安信基金、前海再保险、长江养老保险、高毅资产、淡水泉投资、泰康资管、华泰资管、光大资管、Balyasny Asset Management、Point72 Hong Kong Limited、Regents Capital、国泰海通证券、中信证券、中信建投、华泰证券、广发证券、长江证券、国联民生证券、招商证券、国信证券、银河证券、华创证券、华鑫证券、国盛证券、东吴证券、华福证券、开源证券、华鑫证券、天风证券、东方财富证券、方正证券、华安证券、浙商证券、国金证券、东北证券、国都证券、国海证券、长城证券、太平洋证券、财通证券、华西证券、中邮证券、华金证券、光大证券、中泰证券、汇丰前海、野村东方国际、摩根士丹利、高盛、中信里昂、东亚前海证券、银河国际、瑞士银行、海通国际等136家机构（注：以上排名不分先后）</w:t>
            </w:r>
          </w:p>
        </w:tc>
      </w:tr>
      <w:tr w14:paraId="259F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4CE086C4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</w:t>
            </w:r>
          </w:p>
        </w:tc>
        <w:tc>
          <w:tcPr>
            <w:tcW w:w="6891" w:type="dxa"/>
            <w:vAlign w:val="center"/>
          </w:tcPr>
          <w:p w14:paraId="32D1C0E6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“厨邦·与时间共酿价值”中炬高新上市30周年暨2024年报业绩机构交流会</w:t>
            </w:r>
          </w:p>
        </w:tc>
      </w:tr>
      <w:tr w14:paraId="4F8C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3D037C20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91" w:type="dxa"/>
            <w:vAlign w:val="center"/>
          </w:tcPr>
          <w:p w14:paraId="3DB1B16F">
            <w:pPr>
              <w:spacing w:line="288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2025年4月10日 13:00</w:t>
            </w:r>
            <w:r>
              <w:rPr>
                <w:rFonts w:ascii="宋体" w:hAnsi="宋体" w:eastAsia="宋体"/>
                <w:szCs w:val="21"/>
              </w:rPr>
              <w:t>—</w:t>
            </w:r>
            <w:r>
              <w:rPr>
                <w:rFonts w:hint="eastAsia" w:ascii="宋体" w:hAnsi="宋体" w:eastAsia="宋体"/>
                <w:szCs w:val="21"/>
              </w:rPr>
              <w:t>17:00</w:t>
            </w:r>
          </w:p>
        </w:tc>
      </w:tr>
      <w:tr w14:paraId="34F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271C5D0B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方式</w:t>
            </w:r>
          </w:p>
        </w:tc>
        <w:tc>
          <w:tcPr>
            <w:tcW w:w="6891" w:type="dxa"/>
            <w:vAlign w:val="center"/>
          </w:tcPr>
          <w:p w14:paraId="0036808F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线上+线下</w:t>
            </w:r>
          </w:p>
        </w:tc>
      </w:tr>
      <w:tr w14:paraId="6F84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0996032F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91" w:type="dxa"/>
            <w:vAlign w:val="center"/>
          </w:tcPr>
          <w:p w14:paraId="73C35EB3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广东省中山市火炬开发区厨邦路1号</w:t>
            </w:r>
          </w:p>
        </w:tc>
      </w:tr>
      <w:tr w14:paraId="2C4B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7C18E44F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91" w:type="dxa"/>
            <w:vAlign w:val="center"/>
          </w:tcPr>
          <w:p w14:paraId="1A725B2D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董事长 余健华 先生</w:t>
            </w:r>
          </w:p>
          <w:p w14:paraId="3ADE332F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总经理 余向阳 先生</w:t>
            </w:r>
          </w:p>
          <w:p w14:paraId="5DE356F6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董事、常务副总经理兼财务负责人 林颖 女士</w:t>
            </w:r>
          </w:p>
          <w:p w14:paraId="6E89BB23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副总经理兼董事会秘书 郭毅航 先生</w:t>
            </w:r>
          </w:p>
        </w:tc>
      </w:tr>
      <w:tr w14:paraId="5F9D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5DEA7D45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91" w:type="dxa"/>
          </w:tcPr>
          <w:p w14:paraId="6B07E5DF">
            <w:pPr>
              <w:spacing w:line="36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（一）参观产线</w:t>
            </w:r>
          </w:p>
          <w:p w14:paraId="3C616A32">
            <w:pPr>
              <w:spacing w:line="36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（二）董事长余健华先生致辞</w:t>
            </w:r>
          </w:p>
          <w:p w14:paraId="431624D7">
            <w:pPr>
              <w:spacing w:line="36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（三）董事、常务副总经理兼财务负责人林颖女士进行主题分享：</w:t>
            </w:r>
          </w:p>
          <w:p w14:paraId="7169ED02">
            <w:pPr>
              <w:spacing w:line="360" w:lineRule="exact"/>
              <w:ind w:firstLine="443" w:firstLineChars="21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1.上市30周年蜕变历程：</w:t>
            </w:r>
            <w:r>
              <w:rPr>
                <w:rFonts w:hint="eastAsia" w:ascii="宋体" w:hAnsi="宋体" w:eastAsia="宋体"/>
                <w:szCs w:val="21"/>
              </w:rPr>
              <w:t>总营收突破55亿，总资产突破80亿，净资产突破55亿，累计股权融资4.976亿元，累计现金分红24.14亿元，派现融资比485%。</w:t>
            </w:r>
          </w:p>
          <w:p w14:paraId="78CA1F93">
            <w:pPr>
              <w:spacing w:line="360" w:lineRule="exact"/>
              <w:ind w:firstLine="443" w:firstLineChars="21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2.回顾2024主要工作成果：</w:t>
            </w:r>
            <w:r>
              <w:rPr>
                <w:rFonts w:hint="eastAsia" w:ascii="宋体" w:hAnsi="宋体" w:eastAsia="宋体"/>
                <w:szCs w:val="21"/>
              </w:rPr>
              <w:t>公司聚焦调味品主业，聚焦厨邦品牌（中高端基础调味品国民品牌），内生+外延双轮驱动式发展；202</w:t>
            </w:r>
            <w:r>
              <w:rPr>
                <w:rFonts w:hint="default" w:ascii="宋体" w:hAnsi="宋体" w:eastAsia="宋体"/>
                <w:szCs w:val="21"/>
                <w:lang w:val="en-US"/>
              </w:rPr>
              <w:t>4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Cs w:val="21"/>
              </w:rPr>
              <w:t>年总营收小幅增长，经营性净现金流创下近五年来次高，精细化管理降本增效成果显著。</w:t>
            </w:r>
          </w:p>
          <w:p w14:paraId="0EEA254A">
            <w:pPr>
              <w:spacing w:line="360" w:lineRule="exact"/>
              <w:ind w:firstLine="443" w:firstLineChars="21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3.行业趋势判断及主打产品：</w:t>
            </w:r>
            <w:r>
              <w:rPr>
                <w:rFonts w:hint="eastAsia" w:ascii="宋体" w:hAnsi="宋体" w:eastAsia="宋体"/>
                <w:szCs w:val="21"/>
              </w:rPr>
              <w:t>行业进入存量竞争时代，消费分级明显，行业整合及数字化转型正在深化，公司拥有超29亿大单品1个，超5亿大单品2个，超1亿单品2个等。</w:t>
            </w:r>
          </w:p>
          <w:p w14:paraId="28665EFF">
            <w:pPr>
              <w:spacing w:line="360" w:lineRule="exact"/>
              <w:ind w:firstLine="443" w:firstLineChars="21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4.公司的三大核心竞争力：</w:t>
            </w:r>
            <w:r>
              <w:rPr>
                <w:rFonts w:hint="eastAsia" w:ascii="宋体" w:hAnsi="宋体" w:eastAsia="宋体"/>
                <w:szCs w:val="21"/>
              </w:rPr>
              <w:t>拥有享誉全国且深受信赖的厨邦品牌、精益求精的产品迭代及创新能力、全方位立体化的多元营销网络。</w:t>
            </w:r>
          </w:p>
          <w:p w14:paraId="4F0A86F5">
            <w:pPr>
              <w:spacing w:line="360" w:lineRule="exact"/>
              <w:ind w:firstLine="443" w:firstLineChars="21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5.公司2025年的发展目标：</w:t>
            </w:r>
            <w:r>
              <w:rPr>
                <w:rFonts w:hint="eastAsia" w:ascii="宋体" w:hAnsi="宋体" w:eastAsia="宋体"/>
                <w:szCs w:val="21"/>
              </w:rPr>
              <w:t>完成至少1起产业化并购，补短板或空白，提升发展效率；实现不低于同行的营收增速；完成三项基础能力建设，包括精细营销、持续创新、精益运营。</w:t>
            </w:r>
          </w:p>
          <w:p w14:paraId="4113A332">
            <w:pPr>
              <w:spacing w:line="36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（四）现场互动交流</w:t>
            </w:r>
          </w:p>
          <w:p w14:paraId="78202ED8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</w:t>
            </w:r>
            <w:r>
              <w:rPr>
                <w:rFonts w:ascii="宋体" w:hAnsi="宋体" w:eastAsia="宋体"/>
                <w:b/>
                <w:bCs/>
                <w:szCs w:val="21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.公司去年营销变革进展如何，有哪些成绩又有哪些不足？ </w:t>
            </w:r>
          </w:p>
          <w:p w14:paraId="339DB5E9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去年公司的营销变革主要集中在以下三个方面：</w:t>
            </w:r>
          </w:p>
          <w:p w14:paraId="54134788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1.在全国各区域开展客户分级管理、营销管理体系建设、价格修复工作，在价格修复上部分地区已形成较强的竞争力，特别是在新零售管理上已做到更精细和精准，并呈现出较好的增长势头。</w:t>
            </w:r>
          </w:p>
          <w:p w14:paraId="0ECE5281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2.在食品工业代工方面，公司根据全国不同区域、产品特色等积极推进，满足经销商多样化经营需求，进一步增加经销商与终端客户的粘性。</w:t>
            </w:r>
          </w:p>
          <w:p w14:paraId="4EFE84E5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3.餐饮业务的价格管控及竞争模式已逐步成型。</w:t>
            </w:r>
          </w:p>
          <w:p w14:paraId="4F3672BF">
            <w:pPr>
              <w:spacing w:line="360" w:lineRule="exact"/>
              <w:ind w:firstLine="421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不过，在营销模式变革上，客观上说，去年从集团总部集权转为区域授权的改革节奏过快，以事业部为单元作战模式还未完全形成；在产品价格管理上，特别是二批市场价格管控模式需进一步加强管理。</w:t>
            </w:r>
          </w:p>
          <w:p w14:paraId="4719E612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Q2.公司对今年的展望是怎样的，是否有信心完成今年业绩考核目标？</w:t>
            </w:r>
          </w:p>
          <w:p w14:paraId="783ECDCC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经过今年上半年的市场调整和企稳，通过我们在区域、渠道、产品、外延并购等各方面的努力，我们有信心争取全年实现不低于同行的发展增速。</w:t>
            </w:r>
          </w:p>
          <w:p w14:paraId="274DD9EA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Q3.公司将如何平衡尚在进行的内部变革与外部并购后整合的工作？</w:t>
            </w:r>
          </w:p>
          <w:p w14:paraId="2E17933C">
            <w:pPr>
              <w:spacing w:line="360" w:lineRule="exact"/>
              <w:ind w:firstLine="42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2025年公司目标的达成包括内生式与外延式增长，我们希望在内生式上做到高个位数的增长，然后争取通过并购做到更高的增长。并购后的整合，我们会根据并购目标，结合公司和标的具体情况，采用战略、运营或财务等管控模式推动管理整合和业务协同，使并购标的与公司形成相关多元化的产业协同。</w:t>
            </w:r>
          </w:p>
          <w:p w14:paraId="4AC34ACA">
            <w:pPr>
              <w:spacing w:line="360" w:lineRule="exact"/>
              <w:ind w:firstLine="42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调味品行业现在处于存量竞争阶段，公司希望通过进一步完善内部机制，匹配市场化管理，加快并购落地速度。</w:t>
            </w:r>
          </w:p>
          <w:p w14:paraId="63A5A079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当然，公司不会为了完成业绩目标而去并购，避免为了实现高目标而导致动作的变形，而是希望追求有质量的可持续发展，以实现公司战略规划，完成再造一个新厨邦战略目标。</w:t>
            </w:r>
          </w:p>
          <w:p w14:paraId="57F52A73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Q4.去年公司餐饮业务的发展情况如何？</w:t>
            </w:r>
          </w:p>
          <w:p w14:paraId="48709AD2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去年公司开展了经销商餐饮体系专业队伍的建设，正在努力引导和帮助经销商提高终端配送能力，现在部分地区已通过沟通发展模式，真正建立餐饮的发展体系和发展规划。</w:t>
            </w:r>
          </w:p>
          <w:p w14:paraId="3C938F08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Q5.公司为何要发力毛利率较低且充分竞争的食用油这个品类？</w:t>
            </w:r>
          </w:p>
          <w:p w14:paraId="43335BC7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食用油属于厨邦品牌系列产品，有一段发展历史了，消费者的认可度较高。公司销售产品不能简单从毛利率出发，要以满足消费者或终端客户需求为主，从多方面考虑，比如从后厨的角度，需要满足其一站式产品需求。对于食用油这个品类，公司后续会根据原材料价格走势，做好行业分析，结合终端客户的综合性需求，做到利润最大化。</w:t>
            </w:r>
          </w:p>
          <w:p w14:paraId="662CAAAB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Q6.去年公司研发费用下降的原因及后续的规划？</w:t>
            </w:r>
          </w:p>
          <w:p w14:paraId="2E4CD524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产品是公司的核心竞争力之一，去年公司研发费用下降的原因包括：</w:t>
            </w:r>
          </w:p>
          <w:p w14:paraId="6EE77006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1.公司对厨邦研究院的研发架构做了调整，引入新的负责人，希望给公司带来新的发展思路。</w:t>
            </w:r>
          </w:p>
          <w:p w14:paraId="212AF093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2.去年公司联合营销中心、外部专业研究机构及专家团队对研发费用进行了优化，其中美味鲜研发支出1.64亿元，同比减少1354万元。</w:t>
            </w:r>
          </w:p>
          <w:p w14:paraId="28C4C9FF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2025年公司会继续加强与大学、专家合作，加快完成与大学及专家等专业机构的战略合作，加大研发投入力度。</w:t>
            </w:r>
          </w:p>
          <w:p w14:paraId="311237A0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研发创新能力是我们产品力的重要基础，通过研发组织、激励机制、人才引进、外部合作等各方的调整和加强，持续不断地进行研发投入，逐步将公司的研发能力从追随型向引领型转变。</w:t>
            </w:r>
          </w:p>
          <w:p w14:paraId="3F6E029C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Q7.公司销售渠道全国化进程情况及价格管理措施？</w:t>
            </w:r>
          </w:p>
          <w:p w14:paraId="68D9A290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公司去年增加的经销商较多，进一步向县级下沉，但客户规模还较小，客户建设还需要个过程；2025年公司会按照客户分级管理逐步推进，强调基本盘稳定，再稳中求进。</w:t>
            </w:r>
          </w:p>
          <w:p w14:paraId="50D217A5">
            <w:pPr>
              <w:spacing w:line="36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公司正在做三价管理（出厂价、终端进店价、零售价），抓住主要产品，盯住重点场所及重点客户，加大费用投入过程管理，规范三价标准，为后续建立错位竞争打下基础。</w:t>
            </w:r>
          </w:p>
          <w:p w14:paraId="2238B1C5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Q8.公司如何看待当下的行业竞争态势？</w:t>
            </w:r>
          </w:p>
          <w:p w14:paraId="77E6A359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在市场竞争中，公司坚持以中档以上产品细分和品牌定位，快速修复公司价格，提高公司各渠道留利，使公司产品价格在市场上更具有竞争力，从而提升公司销售业绩。</w:t>
            </w:r>
          </w:p>
          <w:p w14:paraId="66170F1A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Q9.成本端如何应对当前关税摩擦，尤其是大豆这块，有什么应对措施？</w:t>
            </w:r>
          </w:p>
          <w:p w14:paraId="07BB802E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公司采购的大豆均为东北非转基因大豆，目前价格没有大的影响，公司会积极关注中美贸易博弈的走势，会根据实际情况加大库存。</w:t>
            </w:r>
          </w:p>
          <w:p w14:paraId="3036F0DB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Q10.今年公司产品发展的重点或品类有哪些？</w:t>
            </w:r>
          </w:p>
          <w:p w14:paraId="089E4BFA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公司推出30%减盐产品，并通过锋味派创始人谢霆锋来代言，希望能帮助消费者建立正确的认知，后续还会推进全品类的减盐工作。</w:t>
            </w:r>
          </w:p>
          <w:p w14:paraId="26445BCD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公司加强打造公司柔性生产线，满足公司产品发展特定的场所、特定的消费群体，希望不断满足用户端的需求，引领调味品行业的发展趋势。</w:t>
            </w:r>
          </w:p>
          <w:p w14:paraId="05CE7BFB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Q11.激励对团队的稳定性有重要作用，今年在激励上有什么重要举措？</w:t>
            </w:r>
          </w:p>
          <w:p w14:paraId="15ADCA57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需要持续保持与业绩挂钩、能上能下的市场化激励机制，整体薪酬体系向市场化水平看齐，并确保考核激励机制的有效性；同时通过完善培训体系、职业发展通道、文化宣贯、福利制度等多种方式，不断激发个人潜能，提升个人价值，增强员工的归属感和认同感。</w:t>
            </w:r>
          </w:p>
          <w:p w14:paraId="6A88BE7A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Q12.今年公司最重视的渠道有哪些，主要增长点在哪？</w:t>
            </w:r>
          </w:p>
          <w:p w14:paraId="71E46827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今年公司将围绕以下四个方面加强渠道建设，希望构筑新的业绩增长点：</w:t>
            </w:r>
          </w:p>
          <w:p w14:paraId="7EB6E62D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1.华南市场，修复价格体系，随着新产品的落地，做好产品组合，进一步巩固和强化基本盘。</w:t>
            </w:r>
          </w:p>
          <w:p w14:paraId="50E9D865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2.积极调整KA渠道的经销商.</w:t>
            </w:r>
          </w:p>
          <w:p w14:paraId="430D4D7A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3.新零售渠道，加强传统电商，发展内容电商，与公司品牌资源、管理资源有效结合，扩大公司产品研发、市场推广。</w:t>
            </w:r>
          </w:p>
          <w:p w14:paraId="0442A647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4.加大对餐饮渠道的开发。</w:t>
            </w:r>
          </w:p>
        </w:tc>
      </w:tr>
      <w:tr w14:paraId="2338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6FAFA030">
            <w:pPr>
              <w:spacing w:before="156" w:before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关于本次活动是否涉及应披露重大信息的说明</w:t>
            </w:r>
          </w:p>
        </w:tc>
        <w:tc>
          <w:tcPr>
            <w:tcW w:w="6891" w:type="dxa"/>
            <w:vAlign w:val="center"/>
          </w:tcPr>
          <w:p w14:paraId="179BFA57">
            <w:pPr>
              <w:spacing w:before="156" w:before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接待交流过程中，公司接待人员严格按照有关制度要求，没有出现未公开重大信息泄露等情况。</w:t>
            </w:r>
          </w:p>
        </w:tc>
      </w:tr>
      <w:tr w14:paraId="7B2D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Align w:val="center"/>
          </w:tcPr>
          <w:p w14:paraId="7957E2C2">
            <w:pPr>
              <w:spacing w:before="156" w:beforeLine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活动过程中所使用的演示文稿、提供文档等附件（如有）</w:t>
            </w:r>
          </w:p>
        </w:tc>
        <w:tc>
          <w:tcPr>
            <w:tcW w:w="6891" w:type="dxa"/>
            <w:vAlign w:val="center"/>
          </w:tcPr>
          <w:p w14:paraId="37A6E250">
            <w:pPr>
              <w:spacing w:line="288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</w:tbl>
    <w:p w14:paraId="12502205">
      <w:pPr>
        <w:spacing w:line="288" w:lineRule="auto"/>
        <w:rPr>
          <w:rFonts w:ascii="宋体" w:hAnsi="宋体" w:eastAsia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691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D69C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D69C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F784">
    <w:pPr>
      <w:pStyle w:val="5"/>
      <w:jc w:val="right"/>
      <w:rPr>
        <w:rFonts w:ascii="宋体" w:hAnsi="宋体" w:eastAsia="宋体"/>
      </w:rPr>
    </w:pPr>
    <w:r>
      <w:rPr>
        <w:rFonts w:hint="eastAsia" w:ascii="宋体" w:hAnsi="宋体" w:eastAsia="宋体"/>
      </w:rPr>
      <w:t>中炬高新技术实业（集团）股份有限公司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jZTMyMTIzOWRhOGU0MjczYmIyOWM2MjgxNGY3OTcifQ=="/>
    <w:docVar w:name="KSO_WPS_MARK_KEY" w:val="1ce89307-75d1-4571-bc3f-40e536289ff2"/>
  </w:docVars>
  <w:rsids>
    <w:rsidRoot w:val="004F34CC"/>
    <w:rsid w:val="000016A1"/>
    <w:rsid w:val="000038A3"/>
    <w:rsid w:val="00005E85"/>
    <w:rsid w:val="000173D1"/>
    <w:rsid w:val="00027018"/>
    <w:rsid w:val="00030614"/>
    <w:rsid w:val="00036345"/>
    <w:rsid w:val="0003793B"/>
    <w:rsid w:val="00045B54"/>
    <w:rsid w:val="00046312"/>
    <w:rsid w:val="0005416D"/>
    <w:rsid w:val="00054739"/>
    <w:rsid w:val="0007712D"/>
    <w:rsid w:val="00096B62"/>
    <w:rsid w:val="000A1892"/>
    <w:rsid w:val="000A7D28"/>
    <w:rsid w:val="000C5027"/>
    <w:rsid w:val="000D4F64"/>
    <w:rsid w:val="000D7352"/>
    <w:rsid w:val="000F3A9D"/>
    <w:rsid w:val="00100FAA"/>
    <w:rsid w:val="00104550"/>
    <w:rsid w:val="001129B3"/>
    <w:rsid w:val="00124953"/>
    <w:rsid w:val="0014308C"/>
    <w:rsid w:val="00143884"/>
    <w:rsid w:val="00152732"/>
    <w:rsid w:val="00155602"/>
    <w:rsid w:val="00170315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4C8F"/>
    <w:rsid w:val="00265A27"/>
    <w:rsid w:val="00273941"/>
    <w:rsid w:val="0027410F"/>
    <w:rsid w:val="00280A12"/>
    <w:rsid w:val="002816D6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E7391"/>
    <w:rsid w:val="002F1130"/>
    <w:rsid w:val="00312194"/>
    <w:rsid w:val="00315378"/>
    <w:rsid w:val="00320A9B"/>
    <w:rsid w:val="0033189D"/>
    <w:rsid w:val="00331AB7"/>
    <w:rsid w:val="00336799"/>
    <w:rsid w:val="003376B2"/>
    <w:rsid w:val="003403F4"/>
    <w:rsid w:val="00341151"/>
    <w:rsid w:val="00352CD7"/>
    <w:rsid w:val="00364D86"/>
    <w:rsid w:val="00373816"/>
    <w:rsid w:val="00375CB3"/>
    <w:rsid w:val="003B1385"/>
    <w:rsid w:val="003D28C2"/>
    <w:rsid w:val="00405C69"/>
    <w:rsid w:val="0042678D"/>
    <w:rsid w:val="004315B4"/>
    <w:rsid w:val="00433463"/>
    <w:rsid w:val="004431FD"/>
    <w:rsid w:val="004452D6"/>
    <w:rsid w:val="00445A19"/>
    <w:rsid w:val="004639CC"/>
    <w:rsid w:val="0046424B"/>
    <w:rsid w:val="00465A18"/>
    <w:rsid w:val="0046631F"/>
    <w:rsid w:val="00471A3B"/>
    <w:rsid w:val="004749DD"/>
    <w:rsid w:val="004A4EE1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3413E"/>
    <w:rsid w:val="0054235A"/>
    <w:rsid w:val="00546A32"/>
    <w:rsid w:val="00550169"/>
    <w:rsid w:val="00556768"/>
    <w:rsid w:val="00561C55"/>
    <w:rsid w:val="005767BA"/>
    <w:rsid w:val="005779BD"/>
    <w:rsid w:val="0059763A"/>
    <w:rsid w:val="005B3D55"/>
    <w:rsid w:val="005B60AF"/>
    <w:rsid w:val="005C2601"/>
    <w:rsid w:val="005C32DE"/>
    <w:rsid w:val="005D238F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90F8F"/>
    <w:rsid w:val="00693F39"/>
    <w:rsid w:val="006A2590"/>
    <w:rsid w:val="006B79D4"/>
    <w:rsid w:val="006C559A"/>
    <w:rsid w:val="006D090B"/>
    <w:rsid w:val="006E229C"/>
    <w:rsid w:val="006E5DFA"/>
    <w:rsid w:val="006F1BC4"/>
    <w:rsid w:val="006F50E1"/>
    <w:rsid w:val="006F5513"/>
    <w:rsid w:val="0070756E"/>
    <w:rsid w:val="00710620"/>
    <w:rsid w:val="0073277A"/>
    <w:rsid w:val="0073293A"/>
    <w:rsid w:val="007367B8"/>
    <w:rsid w:val="00740B07"/>
    <w:rsid w:val="0077534D"/>
    <w:rsid w:val="00783B9F"/>
    <w:rsid w:val="007867D8"/>
    <w:rsid w:val="00790D6E"/>
    <w:rsid w:val="00796202"/>
    <w:rsid w:val="007B7472"/>
    <w:rsid w:val="007D2238"/>
    <w:rsid w:val="007D2297"/>
    <w:rsid w:val="007D4003"/>
    <w:rsid w:val="007D6B8A"/>
    <w:rsid w:val="007E5FD7"/>
    <w:rsid w:val="007F0307"/>
    <w:rsid w:val="007F1CB3"/>
    <w:rsid w:val="007F7AD8"/>
    <w:rsid w:val="008037CD"/>
    <w:rsid w:val="0080457D"/>
    <w:rsid w:val="00805C7B"/>
    <w:rsid w:val="00812FE7"/>
    <w:rsid w:val="00815903"/>
    <w:rsid w:val="00816DFD"/>
    <w:rsid w:val="00820F36"/>
    <w:rsid w:val="00830CFD"/>
    <w:rsid w:val="0085137F"/>
    <w:rsid w:val="008675BC"/>
    <w:rsid w:val="0087292B"/>
    <w:rsid w:val="00873336"/>
    <w:rsid w:val="00880999"/>
    <w:rsid w:val="00897524"/>
    <w:rsid w:val="008C73B1"/>
    <w:rsid w:val="008D4866"/>
    <w:rsid w:val="008E48C5"/>
    <w:rsid w:val="008E4DFE"/>
    <w:rsid w:val="008E64D4"/>
    <w:rsid w:val="008F2933"/>
    <w:rsid w:val="008F4465"/>
    <w:rsid w:val="008F6421"/>
    <w:rsid w:val="008F7FCA"/>
    <w:rsid w:val="00917846"/>
    <w:rsid w:val="009315F1"/>
    <w:rsid w:val="009328A8"/>
    <w:rsid w:val="009446FB"/>
    <w:rsid w:val="00951D93"/>
    <w:rsid w:val="00960FC6"/>
    <w:rsid w:val="009626BC"/>
    <w:rsid w:val="00964226"/>
    <w:rsid w:val="00967BA1"/>
    <w:rsid w:val="00970A5E"/>
    <w:rsid w:val="00972061"/>
    <w:rsid w:val="00987104"/>
    <w:rsid w:val="00997D8F"/>
    <w:rsid w:val="009A2DDF"/>
    <w:rsid w:val="009A52F0"/>
    <w:rsid w:val="009A6757"/>
    <w:rsid w:val="009A6B04"/>
    <w:rsid w:val="009C2F0C"/>
    <w:rsid w:val="009C576D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67080"/>
    <w:rsid w:val="00A75B6B"/>
    <w:rsid w:val="00A76BAA"/>
    <w:rsid w:val="00A869F4"/>
    <w:rsid w:val="00A8751A"/>
    <w:rsid w:val="00A978F5"/>
    <w:rsid w:val="00AB5374"/>
    <w:rsid w:val="00AB6DF9"/>
    <w:rsid w:val="00AC2B33"/>
    <w:rsid w:val="00AC59B5"/>
    <w:rsid w:val="00AC7D0C"/>
    <w:rsid w:val="00B01807"/>
    <w:rsid w:val="00B073C3"/>
    <w:rsid w:val="00B237D2"/>
    <w:rsid w:val="00B26A69"/>
    <w:rsid w:val="00B3412F"/>
    <w:rsid w:val="00B34D2A"/>
    <w:rsid w:val="00B53CB6"/>
    <w:rsid w:val="00B62A3D"/>
    <w:rsid w:val="00B74DE4"/>
    <w:rsid w:val="00B8570F"/>
    <w:rsid w:val="00B87A2E"/>
    <w:rsid w:val="00BA08AA"/>
    <w:rsid w:val="00BC020A"/>
    <w:rsid w:val="00BC47CD"/>
    <w:rsid w:val="00BD3B7B"/>
    <w:rsid w:val="00BD5D38"/>
    <w:rsid w:val="00C16904"/>
    <w:rsid w:val="00C4401E"/>
    <w:rsid w:val="00C44C02"/>
    <w:rsid w:val="00C557FA"/>
    <w:rsid w:val="00C55AD6"/>
    <w:rsid w:val="00C70E84"/>
    <w:rsid w:val="00C839F5"/>
    <w:rsid w:val="00C83E6F"/>
    <w:rsid w:val="00C91E9E"/>
    <w:rsid w:val="00C9655B"/>
    <w:rsid w:val="00CA5D12"/>
    <w:rsid w:val="00CB413E"/>
    <w:rsid w:val="00CC0C01"/>
    <w:rsid w:val="00CD460C"/>
    <w:rsid w:val="00CD70CF"/>
    <w:rsid w:val="00CE739D"/>
    <w:rsid w:val="00CF0224"/>
    <w:rsid w:val="00CF0762"/>
    <w:rsid w:val="00CF2464"/>
    <w:rsid w:val="00CF3395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516E7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4C5B"/>
    <w:rsid w:val="00E130BD"/>
    <w:rsid w:val="00E1555F"/>
    <w:rsid w:val="00E215F2"/>
    <w:rsid w:val="00E23603"/>
    <w:rsid w:val="00E237EC"/>
    <w:rsid w:val="00E31222"/>
    <w:rsid w:val="00E64ADA"/>
    <w:rsid w:val="00E70895"/>
    <w:rsid w:val="00E75595"/>
    <w:rsid w:val="00E91809"/>
    <w:rsid w:val="00E930B8"/>
    <w:rsid w:val="00EA1549"/>
    <w:rsid w:val="00EB22CB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C2962"/>
    <w:rsid w:val="00FF3B30"/>
    <w:rsid w:val="015F4BD0"/>
    <w:rsid w:val="05245EC7"/>
    <w:rsid w:val="059246EB"/>
    <w:rsid w:val="09356565"/>
    <w:rsid w:val="0C255797"/>
    <w:rsid w:val="102B4AA5"/>
    <w:rsid w:val="11254DB7"/>
    <w:rsid w:val="15D31F5B"/>
    <w:rsid w:val="17924D93"/>
    <w:rsid w:val="179E0FC9"/>
    <w:rsid w:val="17FF3103"/>
    <w:rsid w:val="18AA570E"/>
    <w:rsid w:val="1C6A39D3"/>
    <w:rsid w:val="1D562B86"/>
    <w:rsid w:val="20632D0D"/>
    <w:rsid w:val="21301222"/>
    <w:rsid w:val="219537A4"/>
    <w:rsid w:val="21997ACE"/>
    <w:rsid w:val="22AE2B9B"/>
    <w:rsid w:val="22FF5201"/>
    <w:rsid w:val="230C7A96"/>
    <w:rsid w:val="26BB599A"/>
    <w:rsid w:val="28392672"/>
    <w:rsid w:val="2B7D093F"/>
    <w:rsid w:val="2E5F0EDB"/>
    <w:rsid w:val="2E6D4845"/>
    <w:rsid w:val="35E623C9"/>
    <w:rsid w:val="35ED0854"/>
    <w:rsid w:val="37464DD3"/>
    <w:rsid w:val="3AAF2810"/>
    <w:rsid w:val="3B60044E"/>
    <w:rsid w:val="3BC213DA"/>
    <w:rsid w:val="3D077460"/>
    <w:rsid w:val="3D6627D1"/>
    <w:rsid w:val="3FAE0B3D"/>
    <w:rsid w:val="4328665C"/>
    <w:rsid w:val="46554434"/>
    <w:rsid w:val="518576BF"/>
    <w:rsid w:val="557B638C"/>
    <w:rsid w:val="56BF0D97"/>
    <w:rsid w:val="57F44A81"/>
    <w:rsid w:val="58CB4A43"/>
    <w:rsid w:val="5A57728F"/>
    <w:rsid w:val="5AE2794C"/>
    <w:rsid w:val="5C86208C"/>
    <w:rsid w:val="5DFC012C"/>
    <w:rsid w:val="5F8D3A15"/>
    <w:rsid w:val="5FD93BC6"/>
    <w:rsid w:val="61C31253"/>
    <w:rsid w:val="61CB3443"/>
    <w:rsid w:val="647B728D"/>
    <w:rsid w:val="66710DA7"/>
    <w:rsid w:val="67C9744E"/>
    <w:rsid w:val="6C957922"/>
    <w:rsid w:val="6D1159A2"/>
    <w:rsid w:val="6DA607CA"/>
    <w:rsid w:val="70977EAE"/>
    <w:rsid w:val="70F66D85"/>
    <w:rsid w:val="71DE09DC"/>
    <w:rsid w:val="750F3614"/>
    <w:rsid w:val="754B3253"/>
    <w:rsid w:val="755F74C6"/>
    <w:rsid w:val="778F7334"/>
    <w:rsid w:val="77B873B4"/>
    <w:rsid w:val="78BA59DD"/>
    <w:rsid w:val="79DC0F8B"/>
    <w:rsid w:val="7A613399"/>
    <w:rsid w:val="7A811C8D"/>
    <w:rsid w:val="7AE75F94"/>
    <w:rsid w:val="7E4D13E4"/>
    <w:rsid w:val="7F65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3227</Words>
  <Characters>3384</Characters>
  <Lines>26</Lines>
  <Paragraphs>7</Paragraphs>
  <TotalTime>5</TotalTime>
  <ScaleCrop>false</ScaleCrop>
  <LinksUpToDate>false</LinksUpToDate>
  <CharactersWithSpaces>3463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2025-04-11T11:37:00Z</dcterms:created>
  <dc:creator>lenovo</dc:creator>
  <cp:lastModifiedBy>方方</cp:lastModifiedBy>
  <dcterms:modified xsi:type="dcterms:W3CDTF">2025-04-15T00:33:01Z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72C22ED23FC841BC8632C0718378C40B_13</vt:lpwstr>
  </property>
  <property fmtid="{D5CDD505-2E9C-101B-9397-08002B2CF9AE}" pid="4" name="KSOTemplateDocerSaveRecord">
    <vt:lpwstr>eyJoZGlkIjoiZGU5M2FmY2ZhMDRiYmQ3NzIyOTc4MTY3NzZkNmMxYjIiLCJ1c2VySWQiOiIxOTUzMjY0OTUifQ==</vt:lpwstr>
  </property>
</Properties>
</file>