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line="520" w:lineRule="exact"/>
        <w:jc w:val="left"/>
        <w:rPr>
          <w:rFonts w:ascii="楷体" w:hAnsi="楷体" w:eastAsia="楷体"/>
          <w:sz w:val="24"/>
        </w:rPr>
      </w:pPr>
      <w:r>
        <w:rPr>
          <w:rFonts w:hint="eastAsia" w:ascii="楷体" w:hAnsi="楷体" w:eastAsia="楷体"/>
          <w:sz w:val="24"/>
        </w:rPr>
        <w:t>证券代码：6</w:t>
      </w:r>
      <w:r>
        <w:rPr>
          <w:rFonts w:ascii="楷体" w:hAnsi="楷体" w:eastAsia="楷体"/>
          <w:sz w:val="24"/>
        </w:rPr>
        <w:t xml:space="preserve">00968   </w:t>
      </w:r>
      <w:r>
        <w:rPr>
          <w:rFonts w:hint="eastAsia" w:ascii="楷体" w:hAnsi="楷体" w:eastAsia="楷体"/>
          <w:sz w:val="24"/>
        </w:rPr>
        <w:t xml:space="preserve">                              证券简称：海油发展 </w:t>
      </w:r>
      <w:r>
        <w:rPr>
          <w:rFonts w:ascii="楷体" w:hAnsi="楷体" w:eastAsia="楷体"/>
          <w:sz w:val="24"/>
        </w:rPr>
        <w:t xml:space="preserve"> </w:t>
      </w:r>
    </w:p>
    <w:p>
      <w:pPr>
        <w:spacing w:line="480" w:lineRule="exact"/>
        <w:jc w:val="center"/>
        <w:rPr>
          <w:rFonts w:ascii="宋体" w:hAnsi="宋体"/>
          <w:b/>
          <w:bCs/>
          <w:sz w:val="28"/>
          <w:szCs w:val="30"/>
        </w:rPr>
      </w:pPr>
      <w:r>
        <w:rPr>
          <w:rFonts w:hint="eastAsia" w:ascii="宋体" w:hAnsi="宋体"/>
          <w:b/>
          <w:bCs/>
          <w:sz w:val="28"/>
          <w:szCs w:val="30"/>
        </w:rPr>
        <w:t>中海油能源发展股份有限公司</w:t>
      </w:r>
    </w:p>
    <w:p>
      <w:pPr>
        <w:spacing w:line="480" w:lineRule="exact"/>
        <w:jc w:val="center"/>
        <w:outlineLvl w:val="0"/>
        <w:rPr>
          <w:rFonts w:ascii="宋体" w:hAnsi="宋体"/>
          <w:b/>
          <w:bCs/>
          <w:sz w:val="28"/>
          <w:szCs w:val="30"/>
        </w:rPr>
      </w:pPr>
      <w:r>
        <w:rPr>
          <w:rFonts w:hint="eastAsia" w:ascii="宋体" w:hAnsi="宋体"/>
          <w:b/>
          <w:bCs/>
          <w:sz w:val="28"/>
          <w:szCs w:val="30"/>
        </w:rPr>
        <w:t>投资者关系活动记录表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7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Arial" w:hAnsi="Arial"/>
                <w:bCs/>
                <w:sz w:val="24"/>
              </w:rPr>
            </w:pPr>
            <w:r>
              <w:rPr>
                <w:rFonts w:hint="eastAsia" w:ascii="Arial" w:hAnsi="Arial"/>
                <w:bCs/>
                <w:sz w:val="24"/>
              </w:rPr>
              <w:t>投资者关系活动类别</w:t>
            </w:r>
          </w:p>
        </w:tc>
        <w:tc>
          <w:tcPr>
            <w:tcW w:w="4353" w:type="pct"/>
            <w:tcBorders>
              <w:top w:val="single" w:color="auto" w:sz="4" w:space="0"/>
              <w:left w:val="single" w:color="auto" w:sz="4" w:space="0"/>
              <w:bottom w:val="single" w:color="auto" w:sz="4" w:space="0"/>
              <w:right w:val="single" w:color="auto" w:sz="4" w:space="0"/>
            </w:tcBorders>
            <w:vAlign w:val="center"/>
          </w:tcPr>
          <w:p>
            <w:pPr>
              <w:spacing w:line="400" w:lineRule="exact"/>
              <w:rPr>
                <w:rFonts w:ascii="Arial" w:hAnsi="Arial"/>
                <w:bCs/>
                <w:sz w:val="24"/>
              </w:rPr>
            </w:pPr>
            <w:r>
              <w:rPr>
                <w:rFonts w:hint="eastAsia" w:ascii="Arial" w:hAnsi="Arial"/>
                <w:bCs/>
                <w:sz w:val="24"/>
              </w:rPr>
              <w:t xml:space="preserve">□特定对象调研 </w:t>
            </w:r>
            <w:r>
              <w:rPr>
                <w:rFonts w:hint="eastAsia" w:ascii="Arial" w:hAnsi="Arial"/>
                <w:bCs/>
                <w:sz w:val="24"/>
              </w:rPr>
              <w:sym w:font="Wingdings 2" w:char="00A3"/>
            </w:r>
            <w:r>
              <w:rPr>
                <w:rFonts w:hint="eastAsia" w:ascii="Arial" w:hAnsi="Arial"/>
                <w:bCs/>
                <w:sz w:val="24"/>
              </w:rPr>
              <w:t>分析师会议</w:t>
            </w:r>
          </w:p>
          <w:p>
            <w:pPr>
              <w:spacing w:line="400" w:lineRule="exact"/>
              <w:rPr>
                <w:rFonts w:ascii="Arial" w:hAnsi="Arial"/>
                <w:bCs/>
                <w:sz w:val="24"/>
              </w:rPr>
            </w:pPr>
            <w:r>
              <w:rPr>
                <w:rFonts w:hint="eastAsia" w:ascii="Arial" w:hAnsi="Arial"/>
                <w:bCs/>
                <w:sz w:val="24"/>
              </w:rPr>
              <w:t xml:space="preserve">□媒体采访 </w:t>
            </w:r>
            <w:r>
              <w:rPr>
                <w:rFonts w:ascii="Arial" w:hAnsi="Arial"/>
                <w:bCs/>
                <w:sz w:val="24"/>
              </w:rPr>
              <w:t xml:space="preserve">   </w:t>
            </w:r>
            <w:r>
              <w:rPr>
                <w:rFonts w:hint="eastAsia" w:ascii="Arial" w:hAnsi="Arial"/>
                <w:bCs/>
                <w:sz w:val="24"/>
              </w:rPr>
              <w:t xml:space="preserve"> </w:t>
            </w:r>
            <w:r>
              <w:rPr>
                <w:rFonts w:hint="eastAsia" w:ascii="Arial" w:hAnsi="Arial"/>
                <w:bCs/>
                <w:sz w:val="24"/>
              </w:rPr>
              <w:sym w:font="Wingdings 2" w:char="0052"/>
            </w:r>
            <w:r>
              <w:rPr>
                <w:rFonts w:hint="eastAsia" w:ascii="Arial" w:hAnsi="Arial"/>
                <w:bCs/>
                <w:sz w:val="24"/>
              </w:rPr>
              <w:t>业绩说明会</w:t>
            </w:r>
          </w:p>
          <w:p>
            <w:pPr>
              <w:spacing w:line="400" w:lineRule="exact"/>
              <w:rPr>
                <w:rFonts w:ascii="Arial" w:hAnsi="Arial"/>
                <w:bCs/>
                <w:sz w:val="24"/>
              </w:rPr>
            </w:pPr>
            <w:r>
              <w:rPr>
                <w:rFonts w:hint="eastAsia" w:ascii="Arial" w:hAnsi="Arial"/>
                <w:bCs/>
                <w:sz w:val="24"/>
              </w:rPr>
              <w:t xml:space="preserve">□新闻发布会 </w:t>
            </w:r>
            <w:r>
              <w:rPr>
                <w:rFonts w:ascii="Arial" w:hAnsi="Arial"/>
                <w:bCs/>
                <w:sz w:val="24"/>
              </w:rPr>
              <w:t xml:space="preserve">  </w:t>
            </w:r>
            <w:r>
              <w:rPr>
                <w:rFonts w:hint="eastAsia" w:ascii="Arial" w:hAnsi="Arial"/>
                <w:bCs/>
                <w:sz w:val="24"/>
              </w:rPr>
              <w:t>□路演活动</w:t>
            </w:r>
          </w:p>
          <w:p>
            <w:pPr>
              <w:spacing w:line="400" w:lineRule="exact"/>
              <w:rPr>
                <w:rFonts w:ascii="Arial" w:hAnsi="Arial"/>
                <w:bCs/>
                <w:sz w:val="24"/>
              </w:rPr>
            </w:pPr>
            <w:r>
              <w:rPr>
                <w:rFonts w:hint="eastAsia" w:ascii="Arial" w:hAnsi="Arial"/>
                <w:bCs/>
                <w:sz w:val="24"/>
              </w:rPr>
              <w:t>□现场参观</w:t>
            </w:r>
          </w:p>
          <w:p>
            <w:pPr>
              <w:spacing w:line="400" w:lineRule="exact"/>
              <w:rPr>
                <w:rFonts w:ascii="Arial" w:hAnsi="Arial"/>
                <w:bCs/>
                <w:sz w:val="24"/>
              </w:rPr>
            </w:pPr>
            <w:r>
              <w:rPr>
                <w:rFonts w:hint="eastAsia" w:ascii="Arial" w:hAnsi="Arial"/>
                <w:bCs/>
                <w:sz w:val="24"/>
              </w:rPr>
              <w:t>□其他（请文字说明其他活动内容）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bCs/>
                <w:sz w:val="24"/>
              </w:rPr>
            </w:pPr>
            <w:r>
              <w:rPr>
                <w:rFonts w:hint="eastAsia" w:ascii="Arial" w:hAnsi="Arial"/>
                <w:bCs/>
                <w:sz w:val="24"/>
              </w:rPr>
              <w:t>时间</w:t>
            </w:r>
          </w:p>
        </w:tc>
        <w:tc>
          <w:tcPr>
            <w:tcW w:w="4353" w:type="pct"/>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Arial" w:hAnsi="Arial" w:eastAsia="宋体" w:cs="Arial"/>
                <w:sz w:val="24"/>
                <w:lang w:val="en-US" w:eastAsia="zh-CN"/>
              </w:rPr>
            </w:pPr>
            <w:r>
              <w:rPr>
                <w:rFonts w:ascii="Times New Roman" w:hAnsi="Times New Roman"/>
                <w:sz w:val="24"/>
              </w:rPr>
              <w:t>202</w:t>
            </w:r>
            <w:r>
              <w:rPr>
                <w:rFonts w:hint="eastAsia" w:ascii="Times New Roman" w:hAnsi="Times New Roman"/>
                <w:sz w:val="24"/>
                <w:lang w:val="en-US" w:eastAsia="zh-CN"/>
              </w:rPr>
              <w:t>5</w:t>
            </w:r>
            <w:bookmarkStart w:id="0" w:name="_GoBack"/>
            <w:bookmarkEnd w:id="0"/>
            <w:r>
              <w:rPr>
                <w:rFonts w:ascii="Times New Roman" w:hAnsi="Times New Roman"/>
                <w:sz w:val="24"/>
              </w:rPr>
              <w:t>年</w:t>
            </w:r>
            <w:r>
              <w:rPr>
                <w:rFonts w:hint="eastAsia" w:ascii="Times New Roman" w:hAnsi="Times New Roman"/>
                <w:sz w:val="24"/>
                <w:lang w:val="en-US" w:eastAsia="zh-CN"/>
              </w:rPr>
              <w:t>4</w:t>
            </w:r>
            <w:r>
              <w:rPr>
                <w:rFonts w:hint="eastAsia" w:ascii="Times New Roman" w:hAnsi="Times New Roman"/>
                <w:sz w:val="24"/>
              </w:rPr>
              <w:t>月</w:t>
            </w:r>
            <w:r>
              <w:rPr>
                <w:rFonts w:hint="eastAsia" w:ascii="Times New Roman" w:hAnsi="Times New Roman"/>
                <w:sz w:val="24"/>
                <w:lang w:val="en-US" w:eastAsia="zh-CN"/>
              </w:rPr>
              <w:t>17</w:t>
            </w:r>
            <w:r>
              <w:rPr>
                <w:rFonts w:ascii="Times New Roman" w:hAnsi="Times New Roman"/>
                <w:sz w:val="24"/>
              </w:rPr>
              <w:t>日</w:t>
            </w:r>
            <w:r>
              <w:rPr>
                <w:rFonts w:hint="eastAsia" w:ascii="Times New Roman" w:hAnsi="Times New Roman"/>
                <w:sz w:val="24"/>
                <w:lang w:val="en-US" w:eastAsia="zh-CN"/>
              </w:rPr>
              <w:t>10:00-11:00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bCs/>
                <w:sz w:val="24"/>
              </w:rPr>
            </w:pPr>
            <w:r>
              <w:rPr>
                <w:rFonts w:hint="eastAsia" w:ascii="Arial" w:hAnsi="Arial"/>
                <w:bCs/>
                <w:sz w:val="24"/>
              </w:rPr>
              <w:t>地点</w:t>
            </w:r>
          </w:p>
        </w:tc>
        <w:tc>
          <w:tcPr>
            <w:tcW w:w="4353" w:type="pct"/>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Arial" w:hAnsi="Arial" w:eastAsia="宋体" w:cs="Arial"/>
                <w:sz w:val="24"/>
                <w:lang w:val="en-US" w:eastAsia="zh-CN"/>
              </w:rPr>
            </w:pPr>
            <w:r>
              <w:rPr>
                <w:rFonts w:hint="eastAsia" w:ascii="Arial" w:hAnsi="Arial" w:cs="Arial"/>
                <w:sz w:val="24"/>
                <w:lang w:val="en-US" w:eastAsia="zh-CN"/>
              </w:rPr>
              <w:t>全景网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Arial" w:hAnsi="Arial"/>
                <w:bCs/>
                <w:sz w:val="24"/>
              </w:rPr>
            </w:pPr>
            <w:r>
              <w:rPr>
                <w:rFonts w:hint="eastAsia" w:ascii="Arial" w:hAnsi="Arial"/>
                <w:bCs/>
                <w:sz w:val="24"/>
              </w:rPr>
              <w:t>上市公司接待人员姓名</w:t>
            </w:r>
          </w:p>
        </w:tc>
        <w:tc>
          <w:tcPr>
            <w:tcW w:w="4353" w:type="pct"/>
            <w:tcBorders>
              <w:top w:val="single" w:color="auto" w:sz="4" w:space="0"/>
              <w:left w:val="single" w:color="auto" w:sz="4" w:space="0"/>
              <w:bottom w:val="single" w:color="auto" w:sz="4" w:space="0"/>
              <w:right w:val="single" w:color="auto" w:sz="4" w:space="0"/>
            </w:tcBorders>
            <w:vAlign w:val="center"/>
          </w:tcPr>
          <w:tbl>
            <w:tblPr>
              <w:tblStyle w:val="9"/>
              <w:tblW w:w="5000" w:type="pct"/>
              <w:tblInd w:w="0" w:type="dxa"/>
              <w:tblLayout w:type="autofit"/>
              <w:tblCellMar>
                <w:top w:w="0" w:type="dxa"/>
                <w:left w:w="108" w:type="dxa"/>
                <w:bottom w:w="0" w:type="dxa"/>
                <w:right w:w="108" w:type="dxa"/>
              </w:tblCellMar>
            </w:tblPr>
            <w:tblGrid>
              <w:gridCol w:w="1495"/>
              <w:gridCol w:w="5882"/>
            </w:tblGrid>
            <w:tr>
              <w:tblPrEx>
                <w:tblCellMar>
                  <w:top w:w="0" w:type="dxa"/>
                  <w:left w:w="108" w:type="dxa"/>
                  <w:bottom w:w="0" w:type="dxa"/>
                  <w:right w:w="108" w:type="dxa"/>
                </w:tblCellMar>
              </w:tblPrEx>
              <w:trPr>
                <w:trHeight w:val="285" w:hRule="atLeast"/>
              </w:trPr>
              <w:tc>
                <w:tcPr>
                  <w:tcW w:w="1013" w:type="pct"/>
                  <w:shd w:val="clear" w:color="auto" w:fill="auto"/>
                  <w:noWrap/>
                  <w:vAlign w:val="bottom"/>
                </w:tcPr>
                <w:p>
                  <w:pPr>
                    <w:spacing w:line="276" w:lineRule="auto"/>
                    <w:rPr>
                      <w:rFonts w:hint="eastAsia" w:ascii="Arial" w:hAnsi="Arial" w:eastAsia="宋体" w:cs="Arial"/>
                      <w:sz w:val="24"/>
                      <w:lang w:val="en-US" w:eastAsia="zh-CN"/>
                    </w:rPr>
                  </w:pPr>
                  <w:r>
                    <w:rPr>
                      <w:rFonts w:hint="eastAsia" w:ascii="Arial" w:hAnsi="Arial" w:cs="Arial"/>
                      <w:sz w:val="24"/>
                      <w:lang w:val="en-US" w:eastAsia="zh-CN"/>
                    </w:rPr>
                    <w:t>周天育</w:t>
                  </w:r>
                </w:p>
              </w:tc>
              <w:tc>
                <w:tcPr>
                  <w:tcW w:w="3986" w:type="pct"/>
                  <w:shd w:val="clear" w:color="auto" w:fill="auto"/>
                  <w:noWrap/>
                  <w:vAlign w:val="center"/>
                </w:tcPr>
                <w:p>
                  <w:pPr>
                    <w:spacing w:line="276" w:lineRule="auto"/>
                    <w:rPr>
                      <w:rFonts w:hint="eastAsia" w:ascii="Arial" w:hAnsi="Arial" w:eastAsia="宋体" w:cs="Arial"/>
                      <w:sz w:val="24"/>
                      <w:lang w:val="en-US" w:eastAsia="zh-CN"/>
                    </w:rPr>
                  </w:pPr>
                  <w:r>
                    <w:rPr>
                      <w:rFonts w:hint="eastAsia" w:ascii="Arial" w:hAnsi="Arial" w:cs="Arial"/>
                      <w:sz w:val="24"/>
                      <w:lang w:val="en-US" w:eastAsia="zh-CN"/>
                    </w:rPr>
                    <w:t>总经理</w:t>
                  </w:r>
                </w:p>
              </w:tc>
            </w:tr>
            <w:tr>
              <w:tblPrEx>
                <w:tblCellMar>
                  <w:top w:w="0" w:type="dxa"/>
                  <w:left w:w="108" w:type="dxa"/>
                  <w:bottom w:w="0" w:type="dxa"/>
                  <w:right w:w="108" w:type="dxa"/>
                </w:tblCellMar>
              </w:tblPrEx>
              <w:trPr>
                <w:trHeight w:val="285" w:hRule="atLeast"/>
              </w:trPr>
              <w:tc>
                <w:tcPr>
                  <w:tcW w:w="1013" w:type="pct"/>
                  <w:shd w:val="clear" w:color="auto" w:fill="auto"/>
                  <w:noWrap/>
                  <w:vAlign w:val="bottom"/>
                </w:tcPr>
                <w:p>
                  <w:pPr>
                    <w:spacing w:line="276" w:lineRule="auto"/>
                    <w:rPr>
                      <w:rFonts w:hint="default" w:ascii="Arial" w:hAnsi="Arial" w:eastAsia="宋体" w:cs="Arial"/>
                      <w:sz w:val="24"/>
                      <w:lang w:val="en-US" w:eastAsia="zh-CN"/>
                    </w:rPr>
                  </w:pPr>
                  <w:r>
                    <w:rPr>
                      <w:rFonts w:hint="eastAsia" w:ascii="Arial" w:hAnsi="Arial" w:cs="Arial"/>
                      <w:sz w:val="24"/>
                      <w:lang w:val="en-US" w:eastAsia="zh-CN"/>
                    </w:rPr>
                    <w:t>姜小川</w:t>
                  </w:r>
                </w:p>
              </w:tc>
              <w:tc>
                <w:tcPr>
                  <w:tcW w:w="3986" w:type="pct"/>
                  <w:shd w:val="clear" w:color="auto" w:fill="auto"/>
                  <w:noWrap/>
                  <w:vAlign w:val="center"/>
                </w:tcPr>
                <w:p>
                  <w:pPr>
                    <w:spacing w:line="276" w:lineRule="auto"/>
                    <w:rPr>
                      <w:rFonts w:hint="eastAsia" w:ascii="Arial" w:hAnsi="Arial" w:eastAsia="宋体" w:cs="Arial"/>
                      <w:sz w:val="24"/>
                      <w:lang w:val="en-US" w:eastAsia="zh-CN"/>
                    </w:rPr>
                  </w:pPr>
                  <w:r>
                    <w:rPr>
                      <w:rFonts w:hint="eastAsia" w:ascii="Arial" w:hAnsi="Arial" w:cs="Arial"/>
                      <w:sz w:val="24"/>
                      <w:lang w:val="en-US" w:eastAsia="zh-CN"/>
                    </w:rPr>
                    <w:t>独立董事</w:t>
                  </w:r>
                </w:p>
              </w:tc>
            </w:tr>
            <w:tr>
              <w:tblPrEx>
                <w:tblCellMar>
                  <w:top w:w="0" w:type="dxa"/>
                  <w:left w:w="108" w:type="dxa"/>
                  <w:bottom w:w="0" w:type="dxa"/>
                  <w:right w:w="108" w:type="dxa"/>
                </w:tblCellMar>
              </w:tblPrEx>
              <w:trPr>
                <w:trHeight w:val="285" w:hRule="atLeast"/>
              </w:trPr>
              <w:tc>
                <w:tcPr>
                  <w:tcW w:w="1013" w:type="pct"/>
                  <w:shd w:val="clear" w:color="auto" w:fill="auto"/>
                  <w:noWrap/>
                  <w:vAlign w:val="bottom"/>
                </w:tcPr>
                <w:p>
                  <w:pPr>
                    <w:spacing w:line="276" w:lineRule="auto"/>
                    <w:rPr>
                      <w:rFonts w:hint="default" w:ascii="Arial" w:hAnsi="Arial" w:eastAsia="宋体" w:cs="Arial"/>
                      <w:sz w:val="24"/>
                      <w:lang w:val="en-US" w:eastAsia="zh-CN"/>
                    </w:rPr>
                  </w:pPr>
                  <w:r>
                    <w:rPr>
                      <w:rFonts w:hint="eastAsia" w:ascii="Arial" w:hAnsi="Arial" w:cs="Arial"/>
                      <w:sz w:val="24"/>
                      <w:lang w:val="en-US" w:eastAsia="zh-CN"/>
                    </w:rPr>
                    <w:t>种晓洁</w:t>
                  </w:r>
                </w:p>
              </w:tc>
              <w:tc>
                <w:tcPr>
                  <w:tcW w:w="3986" w:type="pct"/>
                  <w:shd w:val="clear" w:color="auto" w:fill="auto"/>
                  <w:noWrap/>
                  <w:vAlign w:val="center"/>
                </w:tcPr>
                <w:p>
                  <w:pPr>
                    <w:spacing w:line="276" w:lineRule="auto"/>
                    <w:rPr>
                      <w:rFonts w:ascii="Arial" w:hAnsi="Arial" w:cs="Arial"/>
                      <w:sz w:val="24"/>
                    </w:rPr>
                  </w:pPr>
                  <w:r>
                    <w:rPr>
                      <w:rFonts w:hint="eastAsia" w:ascii="Arial" w:hAnsi="Arial" w:cs="Arial"/>
                      <w:sz w:val="24"/>
                    </w:rPr>
                    <w:t>财务总监</w:t>
                  </w:r>
                </w:p>
              </w:tc>
            </w:tr>
            <w:tr>
              <w:tblPrEx>
                <w:tblCellMar>
                  <w:top w:w="0" w:type="dxa"/>
                  <w:left w:w="108" w:type="dxa"/>
                  <w:bottom w:w="0" w:type="dxa"/>
                  <w:right w:w="108" w:type="dxa"/>
                </w:tblCellMar>
              </w:tblPrEx>
              <w:trPr>
                <w:trHeight w:val="285" w:hRule="atLeast"/>
              </w:trPr>
              <w:tc>
                <w:tcPr>
                  <w:tcW w:w="1013" w:type="pct"/>
                  <w:shd w:val="clear" w:color="auto" w:fill="auto"/>
                  <w:noWrap/>
                  <w:vAlign w:val="bottom"/>
                </w:tcPr>
                <w:p>
                  <w:pPr>
                    <w:spacing w:line="276" w:lineRule="auto"/>
                    <w:rPr>
                      <w:rFonts w:ascii="Arial" w:hAnsi="Arial" w:cs="Arial"/>
                      <w:sz w:val="24"/>
                    </w:rPr>
                  </w:pPr>
                  <w:r>
                    <w:rPr>
                      <w:rFonts w:hint="eastAsia" w:ascii="Arial" w:hAnsi="Arial" w:cs="Arial"/>
                      <w:sz w:val="24"/>
                    </w:rPr>
                    <w:t>肖德斌</w:t>
                  </w:r>
                </w:p>
              </w:tc>
              <w:tc>
                <w:tcPr>
                  <w:tcW w:w="3986" w:type="pct"/>
                  <w:shd w:val="clear" w:color="auto" w:fill="auto"/>
                  <w:noWrap/>
                  <w:vAlign w:val="center"/>
                </w:tcPr>
                <w:p>
                  <w:pPr>
                    <w:spacing w:line="276" w:lineRule="auto"/>
                    <w:rPr>
                      <w:rFonts w:ascii="Arial" w:hAnsi="Arial" w:cs="Arial"/>
                      <w:sz w:val="24"/>
                    </w:rPr>
                  </w:pPr>
                  <w:r>
                    <w:rPr>
                      <w:rFonts w:hint="eastAsia" w:ascii="Arial" w:hAnsi="Arial" w:cs="Arial"/>
                      <w:sz w:val="24"/>
                    </w:rPr>
                    <w:t>董事会秘书、总法律顾问</w:t>
                  </w:r>
                </w:p>
              </w:tc>
            </w:tr>
          </w:tbl>
          <w:p>
            <w:pPr>
              <w:spacing w:line="276" w:lineRule="auto"/>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bCs/>
                <w:sz w:val="24"/>
              </w:rPr>
            </w:pPr>
            <w:r>
              <w:rPr>
                <w:rFonts w:hint="eastAsia" w:ascii="Arial" w:hAnsi="Arial"/>
                <w:bCs/>
                <w:sz w:val="24"/>
              </w:rPr>
              <w:t>投资者关系活动主要内容介绍</w:t>
            </w:r>
          </w:p>
        </w:tc>
        <w:tc>
          <w:tcPr>
            <w:tcW w:w="4353" w:type="pct"/>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Q1：据海油发展披露的2024年年度报告显示，</w:t>
            </w:r>
            <w:r>
              <w:rPr>
                <w:rFonts w:hint="eastAsia"/>
                <w:sz w:val="24"/>
                <w:lang w:eastAsia="zh-Hans"/>
              </w:rPr>
              <w:t>海油发展202</w:t>
            </w:r>
            <w:r>
              <w:rPr>
                <w:rFonts w:hint="eastAsia"/>
                <w:sz w:val="24"/>
              </w:rPr>
              <w:t>4年度</w:t>
            </w:r>
            <w:r>
              <w:rPr>
                <w:rFonts w:hint="eastAsia"/>
                <w:sz w:val="24"/>
                <w:lang w:eastAsia="zh-Hans"/>
              </w:rPr>
              <w:t>收入</w:t>
            </w:r>
            <w:r>
              <w:rPr>
                <w:rFonts w:hint="eastAsia"/>
                <w:sz w:val="24"/>
              </w:rPr>
              <w:t>同比增长6.5%</w:t>
            </w:r>
            <w:r>
              <w:rPr>
                <w:rFonts w:hint="eastAsia"/>
                <w:sz w:val="24"/>
                <w:lang w:eastAsia="zh-Hans"/>
              </w:rPr>
              <w:t>、利润增长</w:t>
            </w:r>
            <w:r>
              <w:rPr>
                <w:rFonts w:hint="eastAsia"/>
                <w:sz w:val="24"/>
              </w:rPr>
              <w:t>18.7%</w:t>
            </w:r>
            <w:r>
              <w:rPr>
                <w:rFonts w:hint="eastAsia"/>
                <w:sz w:val="24"/>
                <w:lang w:eastAsia="zh-Hans"/>
              </w:rPr>
              <w:t>，利润增幅</w:t>
            </w:r>
            <w:r>
              <w:rPr>
                <w:rFonts w:hint="eastAsia"/>
                <w:sz w:val="24"/>
              </w:rPr>
              <w:t>超过</w:t>
            </w:r>
            <w:r>
              <w:rPr>
                <w:rFonts w:hint="eastAsia"/>
                <w:sz w:val="24"/>
                <w:lang w:eastAsia="zh-Hans"/>
              </w:rPr>
              <w:t>收入增幅</w:t>
            </w:r>
            <w:r>
              <w:rPr>
                <w:rFonts w:hint="eastAsia"/>
                <w:sz w:val="24"/>
              </w:rPr>
              <w:t>12个百分点</w:t>
            </w:r>
            <w:r>
              <w:rPr>
                <w:rFonts w:hint="eastAsia"/>
                <w:sz w:val="24"/>
                <w:lang w:eastAsia="zh-Hans"/>
              </w:rPr>
              <w:t>。请介绍一下公司主要采取了哪些经营举措？</w:t>
            </w:r>
          </w:p>
          <w:p>
            <w:pPr>
              <w:rPr>
                <w:rFonts w:hint="eastAsia"/>
                <w:sz w:val="24"/>
              </w:rPr>
            </w:pPr>
            <w:r>
              <w:rPr>
                <w:rFonts w:hint="eastAsia"/>
                <w:sz w:val="24"/>
              </w:rPr>
              <w:t>A1：</w:t>
            </w:r>
            <w:r>
              <w:rPr>
                <w:rFonts w:hint="eastAsia"/>
                <w:sz w:val="24"/>
                <w:lang w:eastAsia="zh-Hans"/>
              </w:rPr>
              <w:t>海油发展</w:t>
            </w:r>
            <w:r>
              <w:rPr>
                <w:rFonts w:hint="eastAsia"/>
                <w:sz w:val="24"/>
              </w:rPr>
              <w:t>2024</w:t>
            </w:r>
            <w:r>
              <w:rPr>
                <w:rFonts w:hint="eastAsia"/>
                <w:sz w:val="24"/>
                <w:lang w:eastAsia="zh-Hans"/>
              </w:rPr>
              <w:t>年</w:t>
            </w:r>
            <w:r>
              <w:rPr>
                <w:rFonts w:hint="eastAsia"/>
                <w:sz w:val="24"/>
              </w:rPr>
              <w:t>度</w:t>
            </w:r>
            <w:r>
              <w:rPr>
                <w:rFonts w:hint="eastAsia"/>
                <w:sz w:val="24"/>
                <w:lang w:val="en-US" w:eastAsia="zh-CN"/>
              </w:rPr>
              <w:t>业绩持续向好，一方面</w:t>
            </w:r>
            <w:r>
              <w:rPr>
                <w:rFonts w:hint="eastAsia"/>
                <w:sz w:val="24"/>
                <w:lang w:eastAsia="zh-Hans"/>
              </w:rPr>
              <w:t>得益于国际油价处于合理区间和国内油气公司深入推进油气增储上产“七年行动计划”</w:t>
            </w:r>
            <w:r>
              <w:rPr>
                <w:rFonts w:hint="eastAsia"/>
                <w:sz w:val="24"/>
              </w:rPr>
              <w:t>，</w:t>
            </w:r>
            <w:r>
              <w:rPr>
                <w:rFonts w:hint="eastAsia"/>
                <w:sz w:val="24"/>
                <w:lang w:eastAsia="zh-Hans"/>
              </w:rPr>
              <w:t>公司抓住有利时机，着力提升油气生产领域核心技术和高端装备产品的供给能力，来自油气上游的相关业务工作量</w:t>
            </w:r>
            <w:r>
              <w:rPr>
                <w:rFonts w:hint="eastAsia"/>
                <w:sz w:val="24"/>
                <w:lang w:val="en-US" w:eastAsia="zh-CN"/>
              </w:rPr>
              <w:t>有所</w:t>
            </w:r>
            <w:r>
              <w:rPr>
                <w:rFonts w:hint="eastAsia"/>
                <w:sz w:val="24"/>
                <w:lang w:eastAsia="zh-Hans"/>
              </w:rPr>
              <w:t>增加。</w:t>
            </w:r>
            <w:r>
              <w:rPr>
                <w:rFonts w:hint="eastAsia"/>
                <w:sz w:val="24"/>
                <w:lang w:val="en-US" w:eastAsia="zh-CN"/>
              </w:rPr>
              <w:t>但另一方面，相较于工作量的增长，我认为公司业绩增长更多是持续</w:t>
            </w:r>
            <w:r>
              <w:rPr>
                <w:rFonts w:hint="eastAsia"/>
                <w:sz w:val="24"/>
              </w:rPr>
              <w:t>推进核心能力建设</w:t>
            </w:r>
            <w:r>
              <w:rPr>
                <w:rFonts w:hint="eastAsia"/>
                <w:sz w:val="24"/>
                <w:lang w:val="en-US" w:eastAsia="zh-CN"/>
              </w:rPr>
              <w:t>的成效。近年来，公司</w:t>
            </w:r>
            <w:r>
              <w:rPr>
                <w:rFonts w:hint="eastAsia"/>
                <w:sz w:val="24"/>
              </w:rPr>
              <w:t>坚持“自主化”攻关与国产化应用，实现了较多“行业领先”</w:t>
            </w:r>
            <w:r>
              <w:rPr>
                <w:rFonts w:hint="eastAsia"/>
                <w:sz w:val="24"/>
                <w:lang w:eastAsia="zh-CN"/>
              </w:rPr>
              <w:t>，</w:t>
            </w:r>
            <w:r>
              <w:rPr>
                <w:rFonts w:hint="eastAsia"/>
                <w:sz w:val="24"/>
              </w:rPr>
              <w:t>一系列自主技术</w:t>
            </w:r>
            <w:r>
              <w:rPr>
                <w:rFonts w:hint="eastAsia"/>
                <w:sz w:val="24"/>
                <w:lang w:val="en-US" w:eastAsia="zh-CN"/>
              </w:rPr>
              <w:t>的应用</w:t>
            </w:r>
            <w:r>
              <w:rPr>
                <w:rFonts w:hint="eastAsia"/>
                <w:sz w:val="24"/>
              </w:rPr>
              <w:t>，</w:t>
            </w:r>
            <w:r>
              <w:rPr>
                <w:rFonts w:hint="eastAsia"/>
                <w:sz w:val="24"/>
                <w:lang w:val="en-US" w:eastAsia="zh-CN"/>
              </w:rPr>
              <w:t>成功撬动了市场增量</w:t>
            </w:r>
            <w:r>
              <w:rPr>
                <w:rFonts w:hint="eastAsia"/>
                <w:sz w:val="24"/>
              </w:rPr>
              <w:t>。在智能注采方面，完成有缆、无缆、液控3类19大系列智能注采工具的研制，实现智能工具寿命提升至1000天以上。在人工举升方面，“海龙”人工举升产品形成竞争新优势，系列产品</w:t>
            </w:r>
            <w:r>
              <w:rPr>
                <w:rFonts w:hint="eastAsia"/>
                <w:sz w:val="24"/>
                <w:lang w:val="en-US" w:eastAsia="zh-CN"/>
              </w:rPr>
              <w:t>为应对</w:t>
            </w:r>
            <w:r>
              <w:rPr>
                <w:rFonts w:hint="eastAsia"/>
                <w:sz w:val="24"/>
              </w:rPr>
              <w:t>油田生产高温、高含气、高能耗等挑战</w:t>
            </w:r>
            <w:r>
              <w:rPr>
                <w:rFonts w:hint="eastAsia"/>
                <w:sz w:val="24"/>
                <w:lang w:eastAsia="zh-CN"/>
              </w:rPr>
              <w:t>，</w:t>
            </w:r>
            <w:r>
              <w:rPr>
                <w:rFonts w:hint="eastAsia"/>
                <w:sz w:val="24"/>
              </w:rPr>
              <w:t>提供</w:t>
            </w:r>
            <w:r>
              <w:rPr>
                <w:rFonts w:hint="eastAsia"/>
                <w:sz w:val="24"/>
                <w:lang w:val="en-US" w:eastAsia="zh-CN"/>
              </w:rPr>
              <w:t>了</w:t>
            </w:r>
            <w:r>
              <w:rPr>
                <w:rFonts w:hint="eastAsia"/>
                <w:sz w:val="24"/>
              </w:rPr>
              <w:t>针对性解决方案，</w:t>
            </w:r>
            <w:r>
              <w:rPr>
                <w:rFonts w:hint="eastAsia"/>
                <w:sz w:val="24"/>
                <w:lang w:val="en-US" w:eastAsia="zh-CN"/>
              </w:rPr>
              <w:t>永磁电泵初步实现规模化应用，</w:t>
            </w:r>
            <w:r>
              <w:rPr>
                <w:rFonts w:hint="eastAsia"/>
                <w:sz w:val="24"/>
              </w:rPr>
              <w:t>平均节能24%；</w:t>
            </w:r>
            <w:r>
              <w:rPr>
                <w:rFonts w:hint="eastAsia"/>
                <w:sz w:val="24"/>
                <w:lang w:val="en-US" w:eastAsia="zh-CN"/>
              </w:rPr>
              <w:t>自主</w:t>
            </w:r>
            <w:r>
              <w:rPr>
                <w:rFonts w:hint="eastAsia"/>
                <w:sz w:val="24"/>
              </w:rPr>
              <w:t>开发投捞电泵产品，较常规检泵作业提效约30%。在稠油热采方面，全球首座移动式注热平台“热采一号”可实现300℃以上高压蒸汽6井同注作业，注热作业效率提升约7.5倍。在小微透平方面，研发出功率范围从0.1MW至25MW的海油自主品牌CEET系列微透平机组产品，实现6种进口燃气轮机国产化自主维修。在边际油田开发方面，推动开发装备序列化、标准化、模块化发展。2024年，公司开始建造第4座也是国内目前规模最大、功能最全的自升式生产平台，助力第5个边际油田顺利开发。在LNG加注领域，国内首艘江海全域全季作业LNG运输加注船“海洋石油302”建成投用，将加注业务由海洋拓展至长江沿线。</w:t>
            </w:r>
            <w:r>
              <w:rPr>
                <w:rFonts w:hint="eastAsia"/>
                <w:sz w:val="24"/>
                <w:lang w:val="en-US" w:eastAsia="zh-CN"/>
              </w:rPr>
              <w:t>此外，</w:t>
            </w:r>
            <w:r>
              <w:rPr>
                <w:rFonts w:hint="eastAsia"/>
                <w:sz w:val="24"/>
                <w:lang w:eastAsia="zh-Hans"/>
              </w:rPr>
              <w:t>公司持续深入开展提质降本增效行动，</w:t>
            </w:r>
            <w:r>
              <w:rPr>
                <w:rFonts w:hint="eastAsia"/>
                <w:sz w:val="24"/>
                <w:lang w:val="en-US" w:eastAsia="zh-CN"/>
              </w:rPr>
              <w:t>践行</w:t>
            </w:r>
            <w:r>
              <w:rPr>
                <w:rFonts w:hint="eastAsia"/>
                <w:sz w:val="24"/>
                <w:lang w:eastAsia="zh-Hans"/>
              </w:rPr>
              <w:t>成本</w:t>
            </w:r>
            <w:r>
              <w:rPr>
                <w:rFonts w:hint="eastAsia"/>
                <w:sz w:val="24"/>
                <w:lang w:val="en-US" w:eastAsia="zh-CN"/>
              </w:rPr>
              <w:t>领先</w:t>
            </w:r>
            <w:r>
              <w:rPr>
                <w:rFonts w:hint="eastAsia"/>
                <w:sz w:val="24"/>
                <w:lang w:eastAsia="zh-Hans"/>
              </w:rPr>
              <w:t>战略，将成本管控与“研发设计、物资供应、生产调度、现场作业、销售及售后服务”全业务链条深度结合，聚焦核心资源成本，构建系统性、结构性降本机制</w:t>
            </w:r>
            <w:r>
              <w:rPr>
                <w:rFonts w:hint="eastAsia"/>
                <w:sz w:val="24"/>
              </w:rPr>
              <w:t>，实现有效的成本控制</w:t>
            </w:r>
            <w:r>
              <w:rPr>
                <w:rFonts w:hint="eastAsia"/>
                <w:sz w:val="24"/>
                <w:lang w:eastAsia="zh-CN"/>
              </w:rPr>
              <w:t>。</w:t>
            </w:r>
            <w:r>
              <w:rPr>
                <w:rFonts w:hint="eastAsia"/>
                <w:sz w:val="24"/>
                <w:lang w:eastAsia="zh-Hans"/>
              </w:rPr>
              <w:t>202</w:t>
            </w:r>
            <w:r>
              <w:rPr>
                <w:rFonts w:hint="eastAsia"/>
                <w:sz w:val="24"/>
              </w:rPr>
              <w:t>4</w:t>
            </w:r>
            <w:r>
              <w:rPr>
                <w:rFonts w:hint="eastAsia"/>
                <w:sz w:val="24"/>
                <w:lang w:eastAsia="zh-Hans"/>
              </w:rPr>
              <w:t>年，公司</w:t>
            </w:r>
            <w:r>
              <w:rPr>
                <w:rFonts w:hint="eastAsia"/>
                <w:sz w:val="24"/>
              </w:rPr>
              <w:t>实现</w:t>
            </w:r>
            <w:r>
              <w:rPr>
                <w:rFonts w:hint="eastAsia"/>
                <w:sz w:val="24"/>
                <w:lang w:eastAsia="zh-Hans"/>
              </w:rPr>
              <w:t>成本费用利润率</w:t>
            </w:r>
            <w:r>
              <w:rPr>
                <w:rFonts w:hint="eastAsia"/>
                <w:sz w:val="24"/>
              </w:rPr>
              <w:t>9.54</w:t>
            </w:r>
            <w:r>
              <w:rPr>
                <w:rFonts w:hint="eastAsia"/>
                <w:sz w:val="24"/>
                <w:lang w:eastAsia="zh-Hans"/>
              </w:rPr>
              <w:t>%，同比提高1.</w:t>
            </w:r>
            <w:r>
              <w:rPr>
                <w:rFonts w:hint="eastAsia"/>
                <w:sz w:val="24"/>
              </w:rPr>
              <w:t>16</w:t>
            </w:r>
            <w:r>
              <w:rPr>
                <w:rFonts w:hint="eastAsia"/>
                <w:sz w:val="24"/>
                <w:lang w:eastAsia="zh-Hans"/>
              </w:rPr>
              <w:t>个百分点</w:t>
            </w:r>
            <w:r>
              <w:rPr>
                <w:rFonts w:hint="eastAsia"/>
                <w:sz w:val="24"/>
                <w:lang w:eastAsia="zh-CN"/>
              </w:rPr>
              <w:t>，</w:t>
            </w:r>
            <w:r>
              <w:rPr>
                <w:rFonts w:hint="eastAsia"/>
                <w:sz w:val="24"/>
              </w:rPr>
              <w:t>盈利能力进一步提高</w:t>
            </w:r>
            <w:r>
              <w:rPr>
                <w:rFonts w:hint="eastAsia"/>
                <w:sz w:val="24"/>
                <w:lang w:eastAsia="zh-Hans"/>
              </w:rPr>
              <w:t>。</w:t>
            </w:r>
            <w:r>
              <w:rPr>
                <w:rFonts w:hint="eastAsia"/>
                <w:sz w:val="24"/>
              </w:rPr>
              <w:t>谢谢。</w:t>
            </w:r>
          </w:p>
          <w:p>
            <w:pPr>
              <w:rPr>
                <w:sz w:val="24"/>
              </w:rPr>
            </w:pPr>
          </w:p>
          <w:p>
            <w:pPr>
              <w:rPr>
                <w:rFonts w:hint="default"/>
                <w:sz w:val="24"/>
              </w:rPr>
            </w:pPr>
            <w:r>
              <w:rPr>
                <w:sz w:val="24"/>
              </w:rPr>
              <w:t>Q2:</w:t>
            </w:r>
            <w:r>
              <w:rPr>
                <w:rFonts w:hint="eastAsia"/>
                <w:sz w:val="24"/>
                <w:lang w:val="en-US" w:eastAsia="zh-CN"/>
              </w:rPr>
              <w:t>公司年报</w:t>
            </w:r>
            <w:r>
              <w:rPr>
                <w:rFonts w:hint="default"/>
                <w:sz w:val="24"/>
                <w:lang w:eastAsia="zh-Hans"/>
              </w:rPr>
              <w:t>显示，非经常性损益-1.49亿元，同比减少3.67亿元、下降168.32%，波动很大，请介绍一下具体情况。</w:t>
            </w:r>
          </w:p>
          <w:p>
            <w:pPr>
              <w:rPr>
                <w:rFonts w:hint="eastAsia"/>
                <w:sz w:val="24"/>
              </w:rPr>
            </w:pPr>
            <w:r>
              <w:rPr>
                <w:rFonts w:hint="eastAsia"/>
                <w:sz w:val="24"/>
              </w:rPr>
              <w:t>A2：公司2024年归属于上市公司股东的净利润36.56亿元，同比增加5.75亿元，增长18.66%；扣除非经常性损益后的归属于上市公司股东净利润38.05亿元，同比增加9.42亿元，增长32.89%。公司核心业务的高质量发展有效抵御了非经常性损益项目的波动影响，支撑业绩基本面持续稳定向好发展。</w:t>
            </w:r>
          </w:p>
          <w:p>
            <w:pPr>
              <w:ind w:firstLine="480" w:firstLineChars="200"/>
              <w:rPr>
                <w:rFonts w:hint="eastAsia"/>
                <w:sz w:val="24"/>
                <w:lang w:eastAsia="zh-Hans"/>
              </w:rPr>
            </w:pPr>
            <w:r>
              <w:rPr>
                <w:rFonts w:hint="eastAsia"/>
                <w:sz w:val="24"/>
              </w:rPr>
              <w:t>2024年非经常性损益同比减少3.67亿元，主要</w:t>
            </w:r>
            <w:r>
              <w:rPr>
                <w:rFonts w:hint="eastAsia"/>
                <w:sz w:val="24"/>
                <w:lang w:val="en-US" w:eastAsia="zh-CN"/>
              </w:rPr>
              <w:t>有两方面原因。</w:t>
            </w:r>
            <w:r>
              <w:rPr>
                <w:rFonts w:hint="eastAsia"/>
                <w:sz w:val="24"/>
              </w:rPr>
              <w:t>一是公司资产因台风受损发生修复支出4.29亿元。2024年，超强台风“摩羯”途径海洋石油116FPSO所在海域。海洋石油116FPSO受损，当前正在进行修复工作。截至2024年末</w:t>
            </w:r>
            <w:r>
              <w:rPr>
                <w:rFonts w:hint="eastAsia"/>
                <w:sz w:val="24"/>
                <w:lang w:eastAsia="zh-CN"/>
              </w:rPr>
              <w:t>，</w:t>
            </w:r>
            <w:r>
              <w:rPr>
                <w:rFonts w:hint="eastAsia"/>
                <w:sz w:val="24"/>
              </w:rPr>
              <w:t>实际产生修理支出4.29亿元，按照会计准则有关规定，受损修复是为了维持FPSO的正常运转，没有显著新增产生未来经济利益流入的能力，此类修复按照费用化处理，计入营业外支出。上述受损资产</w:t>
            </w:r>
            <w:r>
              <w:rPr>
                <w:rFonts w:hint="eastAsia"/>
                <w:sz w:val="24"/>
                <w:lang w:val="en-US" w:eastAsia="zh-CN"/>
              </w:rPr>
              <w:t>已</w:t>
            </w:r>
            <w:r>
              <w:rPr>
                <w:rFonts w:hint="eastAsia"/>
                <w:sz w:val="24"/>
              </w:rPr>
              <w:t>投保，公司结合修复工作进展持续跟进保险理赔工作。基于谨慎考虑，在收到保险赔款时，或者保险赔款的金额和可收回性已经基本确定的情况下，计入营业外收入。二是公司出售CCER产生收益0.50亿元。2024年，公司出售104.3万吨CCER，参考《碳排放权交易有关会计处理暂行规定》，</w:t>
            </w:r>
            <w:r>
              <w:rPr>
                <w:rFonts w:hint="eastAsia"/>
                <w:sz w:val="24"/>
                <w:lang w:val="en-US" w:eastAsia="zh-CN"/>
              </w:rPr>
              <w:t>将</w:t>
            </w:r>
            <w:r>
              <w:rPr>
                <w:rFonts w:hint="eastAsia"/>
                <w:sz w:val="24"/>
              </w:rPr>
              <w:t>出售CCER收益0.50亿元，计入“营业外收入”。谢谢。</w:t>
            </w:r>
          </w:p>
          <w:p>
            <w:pPr>
              <w:rPr>
                <w:sz w:val="24"/>
              </w:rPr>
            </w:pPr>
          </w:p>
          <w:p>
            <w:pPr>
              <w:rPr>
                <w:rFonts w:hint="eastAsia"/>
                <w:sz w:val="24"/>
                <w:lang w:eastAsia="zh-Hans"/>
              </w:rPr>
            </w:pPr>
            <w:r>
              <w:rPr>
                <w:rFonts w:hint="eastAsia"/>
                <w:sz w:val="24"/>
              </w:rPr>
              <w:t>Q</w:t>
            </w:r>
            <w:r>
              <w:rPr>
                <w:sz w:val="24"/>
              </w:rPr>
              <w:t>3</w:t>
            </w:r>
            <w:r>
              <w:rPr>
                <w:rFonts w:hint="eastAsia"/>
                <w:sz w:val="24"/>
              </w:rPr>
              <w:t>：</w:t>
            </w:r>
            <w:r>
              <w:rPr>
                <w:rFonts w:hint="eastAsia"/>
                <w:sz w:val="24"/>
                <w:lang w:val="en-US" w:eastAsia="zh-CN"/>
              </w:rPr>
              <w:t>公司在年报中提及正在加速推进数智转型，能否具体介绍一下相关工作的推动情况和成效。</w:t>
            </w:r>
          </w:p>
          <w:p>
            <w:pPr>
              <w:rPr>
                <w:rFonts w:hint="default"/>
                <w:sz w:val="24"/>
              </w:rPr>
            </w:pPr>
            <w:r>
              <w:rPr>
                <w:rFonts w:hint="eastAsia"/>
                <w:sz w:val="24"/>
              </w:rPr>
              <w:t>A</w:t>
            </w:r>
            <w:r>
              <w:rPr>
                <w:sz w:val="24"/>
              </w:rPr>
              <w:t>3</w:t>
            </w:r>
            <w:r>
              <w:rPr>
                <w:rFonts w:hint="eastAsia"/>
                <w:sz w:val="24"/>
              </w:rPr>
              <w:t>：</w:t>
            </w:r>
            <w:r>
              <w:rPr>
                <w:sz w:val="24"/>
              </w:rPr>
              <w:t xml:space="preserve"> </w:t>
            </w:r>
            <w:r>
              <w:rPr>
                <w:rFonts w:hint="default"/>
                <w:sz w:val="24"/>
              </w:rPr>
              <w:t>立足海油发展多元产业特点和差异化需求，遵循“集成、统一、共享”的指导原则，</w:t>
            </w:r>
            <w:r>
              <w:rPr>
                <w:rFonts w:hint="default"/>
                <w:sz w:val="24"/>
                <w:lang w:val="en-US" w:eastAsia="zh-CN"/>
              </w:rPr>
              <w:t>公司</w:t>
            </w:r>
            <w:r>
              <w:rPr>
                <w:rFonts w:hint="default"/>
                <w:sz w:val="24"/>
              </w:rPr>
              <w:t>统筹推进“4类场景、9大应用、10大产品、3类服务、1湖数据、1套边缘”数智技术架构，发挥智能管理、智能服务、智能装备、智能工厂四类场景</w:t>
            </w:r>
            <w:r>
              <w:rPr>
                <w:rFonts w:hint="default"/>
                <w:sz w:val="24"/>
                <w:lang w:val="en-US" w:eastAsia="zh-CN"/>
              </w:rPr>
              <w:t>的</w:t>
            </w:r>
            <w:r>
              <w:rPr>
                <w:rFonts w:hint="default"/>
                <w:sz w:val="24"/>
              </w:rPr>
              <w:t>试点示范引领作用，全面支撑三大产业板块，数据集成共享和应用互联互通，初步形成海油发展工业互联网平台。</w:t>
            </w:r>
          </w:p>
          <w:p>
            <w:pPr>
              <w:ind w:firstLine="480" w:firstLineChars="200"/>
              <w:rPr>
                <w:rFonts w:hint="default"/>
                <w:sz w:val="24"/>
              </w:rPr>
            </w:pPr>
            <w:r>
              <w:rPr>
                <w:rFonts w:hint="default"/>
                <w:sz w:val="24"/>
                <w:lang w:val="en-US" w:eastAsia="zh-CN"/>
              </w:rPr>
              <w:t>公司</w:t>
            </w:r>
            <w:r>
              <w:rPr>
                <w:rFonts w:hint="default"/>
                <w:sz w:val="24"/>
              </w:rPr>
              <w:t>以用户体验为核心，持续迭代优化智能工厂产品模块，形成10大数字化产品，实现场景建设复用</w:t>
            </w:r>
            <w:r>
              <w:rPr>
                <w:rFonts w:hint="default"/>
                <w:sz w:val="24"/>
                <w:lang w:val="en-US" w:eastAsia="zh-CN"/>
              </w:rPr>
              <w:t>6</w:t>
            </w:r>
            <w:r>
              <w:rPr>
                <w:rFonts w:hint="default"/>
                <w:sz w:val="24"/>
              </w:rPr>
              <w:t>0余项次，积极探索布局人工智能技术应用，</w:t>
            </w:r>
            <w:r>
              <w:rPr>
                <w:rFonts w:hint="default"/>
                <w:sz w:val="24"/>
                <w:lang w:val="en-US" w:eastAsia="zh-CN"/>
              </w:rPr>
              <w:t>推动</w:t>
            </w:r>
            <w:r>
              <w:rPr>
                <w:rFonts w:hint="default"/>
                <w:sz w:val="24"/>
              </w:rPr>
              <w:t>35个应用场景建设，3类127项算法模型</w:t>
            </w:r>
            <w:r>
              <w:rPr>
                <w:rFonts w:hint="default"/>
                <w:sz w:val="24"/>
                <w:lang w:val="en-US" w:eastAsia="zh-CN"/>
              </w:rPr>
              <w:t>实现</w:t>
            </w:r>
            <w:r>
              <w:rPr>
                <w:rFonts w:hint="default"/>
                <w:sz w:val="24"/>
              </w:rPr>
              <w:t>落地应用。</w:t>
            </w:r>
          </w:p>
          <w:p>
            <w:pPr>
              <w:ind w:firstLine="480" w:firstLineChars="200"/>
              <w:rPr>
                <w:sz w:val="24"/>
              </w:rPr>
            </w:pPr>
            <w:r>
              <w:rPr>
                <w:rFonts w:hint="default"/>
                <w:sz w:val="24"/>
                <w:lang w:val="en-US" w:eastAsia="zh-CN"/>
              </w:rPr>
              <w:t>当然，数智转型也切实为公司带来了效率的提升</w:t>
            </w:r>
            <w:r>
              <w:rPr>
                <w:rFonts w:hint="default"/>
                <w:sz w:val="24"/>
              </w:rPr>
              <w:t>，智能注采车间产能从300套/年最大提高到2000套/年，产品一次性合格率超99%</w:t>
            </w:r>
            <w:r>
              <w:rPr>
                <w:rFonts w:hint="default"/>
                <w:sz w:val="24"/>
                <w:lang w:eastAsia="zh-CN"/>
              </w:rPr>
              <w:t>；</w:t>
            </w:r>
            <w:r>
              <w:rPr>
                <w:rFonts w:hint="default"/>
                <w:sz w:val="24"/>
              </w:rPr>
              <w:t>管线预制工厂建立高精度实景数据，产能提升至1000寸径/天</w:t>
            </w:r>
            <w:r>
              <w:rPr>
                <w:rFonts w:hint="default"/>
                <w:sz w:val="24"/>
                <w:lang w:eastAsia="zh-CN"/>
              </w:rPr>
              <w:t>；</w:t>
            </w:r>
            <w:r>
              <w:rPr>
                <w:rFonts w:hint="default"/>
                <w:sz w:val="24"/>
              </w:rPr>
              <w:t>防腐涂料工厂一键排程时间从2小时缩短至10分钟</w:t>
            </w:r>
            <w:r>
              <w:rPr>
                <w:rFonts w:hint="default"/>
                <w:sz w:val="24"/>
                <w:lang w:eastAsia="zh-CN"/>
              </w:rPr>
              <w:t>。</w:t>
            </w:r>
            <w:r>
              <w:rPr>
                <w:rFonts w:hint="default"/>
                <w:sz w:val="24"/>
                <w:lang w:eastAsia="zh-Hans"/>
              </w:rPr>
              <w:t>谢谢。</w:t>
            </w:r>
          </w:p>
          <w:p>
            <w:pPr>
              <w:rPr>
                <w:sz w:val="24"/>
              </w:rPr>
            </w:pPr>
            <w:r>
              <w:rPr>
                <w:sz w:val="24"/>
              </w:rPr>
              <w:t xml:space="preserve">     </w:t>
            </w:r>
          </w:p>
          <w:p>
            <w:pPr>
              <w:rPr>
                <w:rFonts w:hint="eastAsia"/>
                <w:sz w:val="24"/>
              </w:rPr>
            </w:pPr>
            <w:r>
              <w:rPr>
                <w:rFonts w:hint="eastAsia"/>
                <w:sz w:val="24"/>
              </w:rPr>
              <w:t>Q</w:t>
            </w:r>
            <w:r>
              <w:rPr>
                <w:sz w:val="24"/>
              </w:rPr>
              <w:t>4</w:t>
            </w:r>
            <w:r>
              <w:rPr>
                <w:rFonts w:hint="eastAsia"/>
                <w:sz w:val="24"/>
              </w:rPr>
              <w:t>：</w:t>
            </w:r>
            <w:r>
              <w:rPr>
                <w:rFonts w:hint="eastAsia"/>
                <w:sz w:val="24"/>
                <w:lang w:val="en-US" w:eastAsia="zh-CN"/>
              </w:rPr>
              <w:t>公司</w:t>
            </w:r>
            <w:r>
              <w:rPr>
                <w:rFonts w:hint="eastAsia"/>
                <w:sz w:val="24"/>
                <w:lang w:eastAsia="zh-Hans"/>
              </w:rPr>
              <w:t>202</w:t>
            </w:r>
            <w:r>
              <w:rPr>
                <w:rFonts w:hint="eastAsia"/>
                <w:sz w:val="24"/>
              </w:rPr>
              <w:t>4年度经营性现金净流量同比减少21.9亿、筹资性现金净支出同比增加7.6亿</w:t>
            </w:r>
            <w:r>
              <w:rPr>
                <w:rFonts w:hint="eastAsia"/>
                <w:sz w:val="24"/>
                <w:lang w:eastAsia="zh-Hans"/>
              </w:rPr>
              <w:t>。请介绍一下公司</w:t>
            </w:r>
            <w:r>
              <w:rPr>
                <w:rFonts w:hint="eastAsia"/>
                <w:sz w:val="24"/>
              </w:rPr>
              <w:t>现金流变化原因</w:t>
            </w:r>
            <w:r>
              <w:rPr>
                <w:rFonts w:hint="eastAsia"/>
                <w:sz w:val="24"/>
                <w:lang w:eastAsia="zh-Hans"/>
              </w:rPr>
              <w:t>？</w:t>
            </w:r>
          </w:p>
          <w:p>
            <w:pPr>
              <w:rPr>
                <w:rFonts w:hint="eastAsia"/>
                <w:sz w:val="24"/>
              </w:rPr>
            </w:pPr>
            <w:r>
              <w:rPr>
                <w:rFonts w:hint="eastAsia"/>
                <w:sz w:val="24"/>
              </w:rPr>
              <w:t>A</w:t>
            </w:r>
            <w:r>
              <w:rPr>
                <w:sz w:val="24"/>
              </w:rPr>
              <w:t>4</w:t>
            </w:r>
            <w:r>
              <w:rPr>
                <w:rFonts w:hint="eastAsia"/>
                <w:sz w:val="24"/>
              </w:rPr>
              <w:t>：近年来，公司持续加强现金流管理，2024年末可动用资金约129亿元，保持持续增长态势，总体处于现金充裕状态，可以有效支撑公司未来的资本性开支、稳定可持续的分红支出和生产经营需要。2024年，经营活动、投资活动和筹资活动现金流同比变化情况简要说明如下。</w:t>
            </w:r>
          </w:p>
          <w:p>
            <w:pPr>
              <w:ind w:firstLine="480" w:firstLineChars="200"/>
              <w:rPr>
                <w:rFonts w:hint="eastAsia"/>
                <w:sz w:val="24"/>
              </w:rPr>
            </w:pPr>
            <w:r>
              <w:rPr>
                <w:rFonts w:hint="eastAsia"/>
                <w:sz w:val="24"/>
                <w:lang w:eastAsia="zh-Hans"/>
              </w:rPr>
              <w:t>经营活动产生的现金流量净额</w:t>
            </w:r>
            <w:r>
              <w:rPr>
                <w:rFonts w:hint="eastAsia"/>
                <w:sz w:val="24"/>
              </w:rPr>
              <w:t>55.55</w:t>
            </w:r>
            <w:r>
              <w:rPr>
                <w:rFonts w:hint="eastAsia"/>
                <w:sz w:val="24"/>
                <w:lang w:eastAsia="zh-Hans"/>
              </w:rPr>
              <w:t>亿元，同比</w:t>
            </w:r>
            <w:r>
              <w:rPr>
                <w:rFonts w:hint="eastAsia"/>
                <w:sz w:val="24"/>
              </w:rPr>
              <w:t>下降28.28</w:t>
            </w:r>
            <w:r>
              <w:rPr>
                <w:rFonts w:hint="eastAsia"/>
                <w:sz w:val="24"/>
                <w:lang w:eastAsia="zh-Hans"/>
              </w:rPr>
              <w:t>%，主要原因系公司</w:t>
            </w:r>
            <w:r>
              <w:rPr>
                <w:rFonts w:hint="eastAsia"/>
                <w:sz w:val="24"/>
              </w:rPr>
              <w:t>购买商品、接受劳务等经营活动支付现金同比增加22.86亿元</w:t>
            </w:r>
            <w:r>
              <w:rPr>
                <w:rFonts w:hint="eastAsia"/>
                <w:sz w:val="24"/>
                <w:lang w:eastAsia="zh-Hans"/>
              </w:rPr>
              <w:t>。</w:t>
            </w:r>
            <w:r>
              <w:rPr>
                <w:rFonts w:hint="eastAsia"/>
                <w:sz w:val="24"/>
              </w:rPr>
              <w:t>经营活动收到现金同比增加0.95亿元，其中销售商品、提供劳务收到的现金同比增加2.62亿元，经营业务回款处于正常水平。</w:t>
            </w:r>
          </w:p>
          <w:p>
            <w:pPr>
              <w:ind w:firstLine="480" w:firstLineChars="200"/>
              <w:rPr>
                <w:rFonts w:hint="eastAsia"/>
                <w:sz w:val="24"/>
                <w:lang w:eastAsia="zh-Hans"/>
              </w:rPr>
            </w:pPr>
            <w:r>
              <w:rPr>
                <w:rFonts w:hint="eastAsia"/>
                <w:sz w:val="24"/>
                <w:lang w:eastAsia="zh-Hans"/>
              </w:rPr>
              <w:t>投资活动产生的现金流量净额-</w:t>
            </w:r>
            <w:r>
              <w:rPr>
                <w:rFonts w:hint="eastAsia"/>
                <w:sz w:val="24"/>
              </w:rPr>
              <w:t>53.39</w:t>
            </w:r>
            <w:r>
              <w:rPr>
                <w:rFonts w:hint="eastAsia"/>
                <w:sz w:val="24"/>
                <w:lang w:eastAsia="zh-Hans"/>
              </w:rPr>
              <w:t>亿元，同比</w:t>
            </w:r>
            <w:r>
              <w:rPr>
                <w:rFonts w:hint="eastAsia"/>
                <w:sz w:val="24"/>
              </w:rPr>
              <w:t>基本持平，主要是银行理财净支出26.00亿元，投资项目建设支出22.05亿元，股权投资支出13.59亿元</w:t>
            </w:r>
            <w:r>
              <w:rPr>
                <w:rFonts w:hint="eastAsia"/>
                <w:sz w:val="24"/>
                <w:lang w:eastAsia="zh-Hans"/>
              </w:rPr>
              <w:t>。</w:t>
            </w:r>
          </w:p>
          <w:p>
            <w:pPr>
              <w:ind w:firstLine="480" w:firstLineChars="200"/>
              <w:rPr>
                <w:rFonts w:hint="default"/>
                <w:sz w:val="24"/>
                <w:lang w:val="en-US"/>
              </w:rPr>
            </w:pPr>
            <w:r>
              <w:rPr>
                <w:rFonts w:hint="eastAsia"/>
                <w:sz w:val="24"/>
                <w:lang w:eastAsia="zh-Hans"/>
              </w:rPr>
              <w:t>筹资活动产生的现金流量净额</w:t>
            </w:r>
            <w:r>
              <w:rPr>
                <w:rFonts w:hint="eastAsia"/>
                <w:sz w:val="24"/>
              </w:rPr>
              <w:t>-12.87</w:t>
            </w:r>
            <w:r>
              <w:rPr>
                <w:rFonts w:hint="eastAsia"/>
                <w:sz w:val="24"/>
                <w:lang w:eastAsia="zh-Hans"/>
              </w:rPr>
              <w:t>亿元，同比增加流出7.64亿元，主要原因</w:t>
            </w:r>
            <w:r>
              <w:rPr>
                <w:rFonts w:hint="eastAsia"/>
                <w:sz w:val="24"/>
              </w:rPr>
              <w:t>是本年偿还贷款现金流出同比增加5.42</w:t>
            </w:r>
            <w:r>
              <w:rPr>
                <w:rFonts w:hint="eastAsia"/>
                <w:sz w:val="24"/>
                <w:lang w:eastAsia="zh-Hans"/>
              </w:rPr>
              <w:t>亿元，派发股利增加</w:t>
            </w:r>
            <w:r>
              <w:rPr>
                <w:rFonts w:hint="eastAsia"/>
                <w:sz w:val="24"/>
              </w:rPr>
              <w:t>现金</w:t>
            </w:r>
            <w:r>
              <w:rPr>
                <w:rFonts w:hint="eastAsia"/>
                <w:sz w:val="24"/>
                <w:lang w:eastAsia="zh-Hans"/>
              </w:rPr>
              <w:t>流出2.32亿元。</w:t>
            </w:r>
            <w:r>
              <w:rPr>
                <w:rFonts w:hint="eastAsia"/>
                <w:sz w:val="24"/>
                <w:lang w:val="en-US" w:eastAsia="zh-CN"/>
              </w:rPr>
              <w:t>谢谢。</w:t>
            </w:r>
          </w:p>
          <w:p>
            <w:pPr>
              <w:rPr>
                <w:sz w:val="24"/>
              </w:rPr>
            </w:pPr>
            <w:r>
              <w:rPr>
                <w:sz w:val="24"/>
              </w:rPr>
              <w:t xml:space="preserve">    </w:t>
            </w:r>
          </w:p>
          <w:p>
            <w:pPr>
              <w:rPr>
                <w:sz w:val="24"/>
              </w:rPr>
            </w:pPr>
            <w:r>
              <w:rPr>
                <w:rFonts w:hint="eastAsia"/>
                <w:sz w:val="24"/>
              </w:rPr>
              <w:t>Q</w:t>
            </w:r>
            <w:r>
              <w:rPr>
                <w:sz w:val="24"/>
              </w:rPr>
              <w:t>5</w:t>
            </w:r>
            <w:r>
              <w:rPr>
                <w:rFonts w:hint="eastAsia"/>
                <w:sz w:val="24"/>
              </w:rPr>
              <w:t>：</w:t>
            </w:r>
            <w:r>
              <w:rPr>
                <w:rFonts w:hint="eastAsia"/>
                <w:sz w:val="24"/>
                <w:lang w:val="en-US" w:eastAsia="zh-CN"/>
              </w:rPr>
              <w:t>在美国关税政策和“欧佩克+”增产计划的双重打压下，近期国际油价已跌至四年来最低，这对公司本年的经营有什么影响？</w:t>
            </w:r>
          </w:p>
          <w:p>
            <w:pPr>
              <w:rPr>
                <w:rFonts w:hint="eastAsia"/>
                <w:sz w:val="24"/>
                <w:lang w:val="en-US" w:eastAsia="zh-CN"/>
              </w:rPr>
            </w:pPr>
            <w:r>
              <w:rPr>
                <w:rFonts w:hint="eastAsia"/>
                <w:sz w:val="24"/>
              </w:rPr>
              <w:t>A</w:t>
            </w:r>
            <w:r>
              <w:rPr>
                <w:sz w:val="24"/>
              </w:rPr>
              <w:t>5</w:t>
            </w:r>
            <w:r>
              <w:rPr>
                <w:rFonts w:hint="eastAsia"/>
                <w:sz w:val="24"/>
              </w:rPr>
              <w:t>：</w:t>
            </w:r>
            <w:r>
              <w:rPr>
                <w:rFonts w:hint="eastAsia"/>
                <w:sz w:val="24"/>
                <w:lang w:val="en-US" w:eastAsia="zh-CN"/>
              </w:rPr>
              <w:t>油价波动对公司的影响主要体现在两个方面。首先，是与原油价格关联的化工品销售业务，油价波动直接影响该项业务收入。对此，公司强化市场分析与决策支撑，建立以基本面分析为主、价格预测模型为辅的研判模式。预测国内外LPG、凝析油及稳定轻烃市场趋势，把握出货节奏及销售策略。构建产品价格预测体系，形成原油、凝析油、LPG及稳定轻烃4个价格预测模型，有效防范存货亏损风险。</w:t>
            </w:r>
          </w:p>
          <w:p>
            <w:pPr>
              <w:ind w:firstLine="480"/>
              <w:rPr>
                <w:rFonts w:hint="eastAsia"/>
                <w:sz w:val="24"/>
                <w:lang w:val="en-US" w:eastAsia="zh-CN"/>
              </w:rPr>
            </w:pPr>
            <w:r>
              <w:rPr>
                <w:rFonts w:hint="eastAsia"/>
                <w:sz w:val="24"/>
                <w:lang w:val="en-US" w:eastAsia="zh-CN"/>
              </w:rPr>
              <w:t>其次，公司业务侧重于油田生产阶段，对油价波动敏感度相对较低，但在油价长期处于低位时，市场需求存在潜在萎缩。针对此方面，公司坚持以自身发展的确定性来应对外部环境的不确定。聚焦价值创造能力提升，发挥公司全产业链比较优势，通过提供专业化、定制化的服务，提升盈利能力。持续开展降本增效，深耕精益管理，深入推进系统性、结构性降本，全面提高经营质效。同时，健全拓市增收的政策措施，加强品牌建设，开拓业务网络，抓好中海油系统外及海外市场的拓市攻坚。</w:t>
            </w:r>
          </w:p>
          <w:p>
            <w:pPr>
              <w:ind w:firstLine="480"/>
              <w:rPr>
                <w:sz w:val="24"/>
              </w:rPr>
            </w:pPr>
            <w:r>
              <w:rPr>
                <w:rFonts w:hint="eastAsia"/>
                <w:sz w:val="24"/>
                <w:lang w:val="en-US" w:eastAsia="zh-CN"/>
              </w:rPr>
              <w:t>总体来看，我们认为在全力保障国家能源安全的大背景下，公司能力建设成效将持续释放，助力公司高质量发展走深走实。谢谢。</w:t>
            </w:r>
            <w:r>
              <w:rPr>
                <w:sz w:val="24"/>
              </w:rPr>
              <w:t xml:space="preserve">    </w:t>
            </w:r>
            <w:r>
              <w:rPr>
                <w:rFonts w:hint="eastAsia"/>
                <w:sz w:val="24"/>
              </w:rPr>
              <w:t xml:space="preserve"> </w:t>
            </w:r>
          </w:p>
          <w:p>
            <w:pPr>
              <w:rPr>
                <w:sz w:val="24"/>
              </w:rPr>
            </w:pPr>
            <w:r>
              <w:rPr>
                <w:sz w:val="24"/>
              </w:rPr>
              <w:t xml:space="preserve">    </w:t>
            </w:r>
          </w:p>
          <w:p>
            <w:pPr>
              <w:rPr>
                <w:sz w:val="24"/>
              </w:rPr>
            </w:pPr>
            <w:r>
              <w:rPr>
                <w:rFonts w:hint="eastAsia"/>
                <w:sz w:val="24"/>
              </w:rPr>
              <w:t>Q</w:t>
            </w:r>
            <w:r>
              <w:rPr>
                <w:sz w:val="24"/>
              </w:rPr>
              <w:t>6</w:t>
            </w:r>
            <w:r>
              <w:rPr>
                <w:rFonts w:hint="eastAsia"/>
                <w:sz w:val="24"/>
              </w:rPr>
              <w:t>：</w:t>
            </w:r>
            <w:r>
              <w:rPr>
                <w:rFonts w:hint="eastAsia"/>
                <w:sz w:val="24"/>
                <w:lang w:val="en-US" w:eastAsia="zh-CN"/>
              </w:rPr>
              <w:t>对于2025年，公司有怎样的预期和目标？以及在“十五五”期间，公司有没有明确的经营规划目标？</w:t>
            </w:r>
          </w:p>
          <w:p>
            <w:pPr>
              <w:rPr>
                <w:rFonts w:hint="eastAsia"/>
                <w:sz w:val="24"/>
                <w:lang w:val="en-US" w:eastAsia="zh-CN"/>
              </w:rPr>
            </w:pPr>
            <w:r>
              <w:rPr>
                <w:rFonts w:hint="eastAsia"/>
                <w:sz w:val="24"/>
              </w:rPr>
              <w:t>A</w:t>
            </w:r>
            <w:r>
              <w:rPr>
                <w:sz w:val="24"/>
              </w:rPr>
              <w:t>6</w:t>
            </w:r>
            <w:r>
              <w:rPr>
                <w:rFonts w:hint="eastAsia"/>
                <w:sz w:val="24"/>
              </w:rPr>
              <w:t>：</w:t>
            </w:r>
            <w:r>
              <w:rPr>
                <w:rFonts w:hint="eastAsia"/>
                <w:sz w:val="24"/>
                <w:lang w:val="en-US" w:eastAsia="zh-CN"/>
              </w:rPr>
              <w:t>2025年，是公司加快转型升级、推动高质量发展的攻坚之年。当前，全球经济形势复杂多变，国内经济转入高质量发展新阶段，国企改革进入深化提升期。公司将准确把握国家发展战略、行业政策导向和市场变化趋势，抢抓发展机遇，积极融入新发展格局，奋力提升公司核心竞争力。持续优化产业布局结构，加快培育战新产业，切实抓好产业结构焕新升级。坚持科技自立自强，优化配置创新资源，大力促进科技成果转化，塑强数智发展新优势。加快构建以产品为核心的质量管理体系、成本领先型的穿透式成本管理体系，实施全面提质降本增效。确保高质量完成“十四五”规划目标任务，为实现“十五五”良好开局打牢基础。</w:t>
            </w:r>
          </w:p>
          <w:p>
            <w:pPr>
              <w:ind w:firstLine="480" w:firstLineChars="200"/>
              <w:rPr>
                <w:rFonts w:hint="eastAsia"/>
                <w:sz w:val="24"/>
              </w:rPr>
            </w:pPr>
            <w:r>
              <w:rPr>
                <w:rFonts w:hint="eastAsia"/>
                <w:sz w:val="24"/>
                <w:lang w:val="en-US" w:eastAsia="zh-CN"/>
              </w:rPr>
              <w:t>关于“十五五”规划，目前相关工作已经启动，规划仍在编制过程中，具体的指标尚需确认完善。可以确定的是，在“十五五”期间，除聚焦核心主业，全力保障油气增储上产、践行能源技术服务公司使命担当以外，公司将以时不我待的紧迫感大力发展绿色低碳产业，加速培育战新产业和未来产业，积极打造第二增长曲线，将公司发展融入国家和区域发展战略。</w:t>
            </w:r>
            <w:r>
              <w:rPr>
                <w:rFonts w:hint="eastAsia"/>
                <w:sz w:val="24"/>
              </w:rPr>
              <w:t>谢谢。</w:t>
            </w:r>
          </w:p>
          <w:p>
            <w:pPr>
              <w:rPr>
                <w:sz w:val="24"/>
              </w:rPr>
            </w:pPr>
            <w:r>
              <w:rPr>
                <w:sz w:val="24"/>
              </w:rPr>
              <w:t xml:space="preserve">    </w:t>
            </w:r>
          </w:p>
          <w:p>
            <w:pPr>
              <w:rPr>
                <w:rFonts w:hint="eastAsia"/>
                <w:sz w:val="24"/>
              </w:rPr>
            </w:pPr>
            <w:r>
              <w:rPr>
                <w:rFonts w:hint="eastAsia"/>
                <w:sz w:val="24"/>
              </w:rPr>
              <w:t>Q</w:t>
            </w:r>
            <w:r>
              <w:rPr>
                <w:sz w:val="24"/>
              </w:rPr>
              <w:t>7</w:t>
            </w:r>
            <w:r>
              <w:rPr>
                <w:rFonts w:hint="eastAsia"/>
                <w:sz w:val="24"/>
              </w:rPr>
              <w:t>：根据公司已经披露的2024年度利润分配方案，公司每股现金分红金额保持增长，现金分红比</w:t>
            </w:r>
            <w:r>
              <w:rPr>
                <w:rFonts w:hint="eastAsia"/>
                <w:sz w:val="24"/>
                <w:lang w:val="en-US" w:eastAsia="zh-CN"/>
              </w:rPr>
              <w:t>例</w:t>
            </w:r>
            <w:r>
              <w:rPr>
                <w:rFonts w:hint="eastAsia"/>
                <w:sz w:val="24"/>
              </w:rPr>
              <w:t>同比略有提高，请问公司在分红政策方面是怎么考虑的？</w:t>
            </w:r>
          </w:p>
          <w:p>
            <w:pPr>
              <w:rPr>
                <w:rFonts w:hint="eastAsia" w:eastAsia="宋体" w:cs="Times New Roman"/>
                <w:sz w:val="24"/>
                <w:lang w:val="en-US" w:eastAsia="zh-CN"/>
              </w:rPr>
            </w:pPr>
            <w:r>
              <w:rPr>
                <w:rFonts w:hint="eastAsia" w:eastAsia="宋体" w:cs="Times New Roman"/>
                <w:sz w:val="24"/>
              </w:rPr>
              <w:t>A7：</w:t>
            </w:r>
            <w:r>
              <w:rPr>
                <w:rFonts w:hint="eastAsia" w:eastAsia="宋体" w:cs="Times New Roman"/>
                <w:sz w:val="24"/>
                <w:lang w:val="en-US" w:eastAsia="zh-CN"/>
              </w:rPr>
              <w:t>公司高度重视股东回报，一直努力保持稳定和可持续的现金分红政策。公司在制定2024年度利润分配方案时，综合考虑财务状况、投资计划等因素，在自由现金流稳定和充裕的情况下，适度提高每股现金分红金额，拟定每10股派发现金红利1.35元（含税），派发现金股利约13.72亿元人民币，现金分红比率37.53%，保持每股现金股利、现金分红比率稳定增长趋势，积极回馈股东，与股东共享公司发展成果。公司将持续努力提升经营业绩和经营质量，为股东争取更大、更稳定、更可持续的回报。谢谢。</w:t>
            </w:r>
          </w:p>
          <w:p>
            <w:pPr>
              <w:spacing w:line="360" w:lineRule="auto"/>
              <w:rPr>
                <w:rFonts w:ascii="宋体" w:hAnsi="宋体" w:cs="宋体"/>
                <w:sz w:val="24"/>
              </w:rPr>
            </w:pPr>
          </w:p>
          <w:p>
            <w:pPr>
              <w:rPr>
                <w:rFonts w:hint="eastAsia"/>
                <w:sz w:val="24"/>
                <w:lang w:val="en-US" w:eastAsia="zh-CN"/>
              </w:rPr>
            </w:pPr>
            <w:r>
              <w:rPr>
                <w:rFonts w:hint="eastAsia"/>
                <w:sz w:val="24"/>
              </w:rPr>
              <w:t>Q</w:t>
            </w:r>
            <w:r>
              <w:rPr>
                <w:rFonts w:hint="eastAsia"/>
                <w:sz w:val="24"/>
                <w:lang w:val="en-US" w:eastAsia="zh-CN"/>
              </w:rPr>
              <w:t>8</w:t>
            </w:r>
            <w:r>
              <w:rPr>
                <w:rFonts w:hint="eastAsia"/>
                <w:sz w:val="24"/>
              </w:rPr>
              <w:t>：</w:t>
            </w:r>
            <w:r>
              <w:rPr>
                <w:rFonts w:hint="eastAsia"/>
                <w:sz w:val="24"/>
                <w:lang w:val="en-US" w:eastAsia="zh-CN"/>
              </w:rPr>
              <w:t>最近几年，公司多次提及“强内拓外”，拓展海外业务，请介绍一下公司2024年海外市场的情况？以及未来进一步的计划？</w:t>
            </w:r>
          </w:p>
          <w:p>
            <w:pPr>
              <w:rPr>
                <w:rFonts w:hint="eastAsia" w:eastAsia="宋体" w:cs="Times New Roman"/>
                <w:sz w:val="24"/>
                <w:lang w:val="en-US" w:eastAsia="zh-CN"/>
              </w:rPr>
            </w:pPr>
            <w:r>
              <w:rPr>
                <w:rFonts w:hint="eastAsia"/>
                <w:sz w:val="24"/>
                <w:lang w:val="en-US" w:eastAsia="zh-CN"/>
              </w:rPr>
              <w:t>A8：</w:t>
            </w:r>
            <w:r>
              <w:rPr>
                <w:rFonts w:hint="eastAsia" w:eastAsia="宋体" w:cs="Times New Roman"/>
                <w:sz w:val="24"/>
                <w:lang w:val="en-US" w:eastAsia="zh-CN"/>
              </w:rPr>
              <w:t>2024年，公司紧跟国家发展导向，勇担能源报国使命，深入践行国家“一带一路”倡议，坚持聚焦主责主业，在强化保障国内油气增储上产的同时，积极开拓海外，深度融入全球能源产业链，在中东、非洲、亚太等“一带一路”核心区域持续实现突破。围绕成熟区域、新兴区域、成熟产业、新兴产业四个方面，持续优化海外战略布局，在国际油气技术服务重点领域、重点市场形成一定竞争优势。化学药剂业务量增长超一倍、电潜泵产品首次实现境外商业投用、油套管及树脂类产品首次走出国门、管道涂敷产品入网多家高端客户并实现突破。</w:t>
            </w:r>
          </w:p>
          <w:p>
            <w:pPr>
              <w:rPr>
                <w:rFonts w:hint="eastAsia" w:eastAsia="宋体" w:cs="Times New Roman"/>
                <w:sz w:val="24"/>
                <w:lang w:val="en-US" w:eastAsia="zh-CN"/>
              </w:rPr>
            </w:pPr>
            <w:r>
              <w:rPr>
                <w:rFonts w:hint="eastAsia" w:eastAsia="宋体" w:cs="Times New Roman"/>
                <w:sz w:val="24"/>
                <w:lang w:val="en-US" w:eastAsia="zh-CN"/>
              </w:rPr>
              <w:t>公司始终认为，坚定不移地推进国际化发展是践行国家战略的重要举措，“走出去”不是选择题，而是必答题，是公司发展成为具有国际竞争力专业化创新型能源技术服务企业的必由之路。未来，公司将重点围绕战略选区，进一步深化布局，加大对市场端投入力度。通过加强开发、优化模式、渠道建设、技术前移等，提升海外市场开发能力和及时响应效率。根据海外业务发展需要，加强海外资源精准投放力度，加大现场作业装备和作业配套设施的投入，助力核心主业进入，着力提升专业化技术服务能力和产品制造能力。谢谢。</w:t>
            </w:r>
          </w:p>
          <w:p>
            <w:pPr>
              <w:spacing w:line="360" w:lineRule="auto"/>
              <w:rPr>
                <w:rFonts w:hint="eastAsia"/>
                <w:sz w:val="24"/>
                <w:lang w:val="en-US" w:eastAsia="zh-CN"/>
              </w:rPr>
            </w:pPr>
          </w:p>
          <w:p>
            <w:pPr>
              <w:rPr>
                <w:rFonts w:hint="eastAsia" w:eastAsia="宋体" w:cs="Times New Roman"/>
                <w:sz w:val="24"/>
                <w:lang w:val="en-US" w:eastAsia="zh-CN"/>
              </w:rPr>
            </w:pPr>
            <w:r>
              <w:rPr>
                <w:rFonts w:hint="eastAsia" w:eastAsia="宋体" w:cs="Times New Roman"/>
                <w:sz w:val="24"/>
                <w:lang w:val="en-US" w:eastAsia="zh-CN"/>
              </w:rPr>
              <w:t>Q9：2025年政府工作报告首次将“深海科技”纳入新质生产力培育方向，明确支持“深海科技安全健康发展”。请问公司在深海科技方面目前有哪些成果，未来计划又有哪些布局？</w:t>
            </w:r>
          </w:p>
          <w:p>
            <w:pPr>
              <w:rPr>
                <w:rFonts w:hint="eastAsia" w:eastAsia="宋体" w:cs="Times New Roman"/>
                <w:sz w:val="24"/>
                <w:lang w:val="en-US" w:eastAsia="zh-CN"/>
              </w:rPr>
            </w:pPr>
            <w:r>
              <w:rPr>
                <w:rFonts w:hint="eastAsia"/>
                <w:sz w:val="24"/>
                <w:lang w:val="en-US" w:eastAsia="zh-CN"/>
              </w:rPr>
              <w:t>A9</w:t>
            </w:r>
            <w:r>
              <w:rPr>
                <w:rFonts w:hint="eastAsia" w:eastAsia="宋体" w:cs="Times New Roman"/>
                <w:sz w:val="24"/>
                <w:lang w:val="en-US" w:eastAsia="zh-CN"/>
              </w:rPr>
              <w:t>：近年来，公司大力攻关水下“卡脖子”技术，持续加强深海技术储备，完成国内领先的水下采油树系统相关核心产品研发、测试、服务、保障等综合产业能力建设，着力提升深水油气田勘探开发一体化技术装备服务能力。</w:t>
            </w:r>
          </w:p>
          <w:p>
            <w:pPr>
              <w:ind w:firstLine="480" w:firstLineChars="200"/>
              <w:rPr>
                <w:rFonts w:hint="eastAsia" w:eastAsia="宋体" w:cs="Times New Roman"/>
                <w:sz w:val="24"/>
                <w:lang w:val="en-US" w:eastAsia="zh-CN"/>
              </w:rPr>
            </w:pPr>
            <w:r>
              <w:rPr>
                <w:rFonts w:hint="eastAsia" w:eastAsia="宋体" w:cs="Times New Roman"/>
                <w:sz w:val="24"/>
                <w:lang w:val="en-US" w:eastAsia="zh-CN"/>
              </w:rPr>
              <w:t>公司目前深水技术装备服务能力主要有四个方向，一是深水油气田开发技术服务，包括钻完井与水下生产系统一体化工程方案设计、8类高端专项设计、技术咨询等；二是深水专有特色工具服务，包括水下控制系统、完修井控制系统、坐落管柱系统等水下特殊装备工具服务等；三是深水人员服务，包括各类深水工程师（含研发）及顾问（专业涵盖地质、钻井、测井、测试、完井、水下等）、项目一体化管理人员服务等；四是水下产品类，包括水下采油树、水下井口等产品，公司成功研制具有完全自主知识产权浅水水下采油树和深水水下井口，系统构建起贯穿设计、制造、质控以及总装集成的一体化生产能力。谢谢。</w:t>
            </w:r>
          </w:p>
          <w:p>
            <w:pPr>
              <w:ind w:firstLine="480" w:firstLineChars="200"/>
              <w:rPr>
                <w:rFonts w:hint="default" w:eastAsia="宋体"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4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bCs/>
                <w:sz w:val="24"/>
              </w:rPr>
            </w:pPr>
            <w:r>
              <w:rPr>
                <w:rFonts w:hint="eastAsia" w:ascii="Arial" w:hAnsi="Arial"/>
                <w:bCs/>
                <w:sz w:val="24"/>
              </w:rPr>
              <w:t>附件清单（如有）</w:t>
            </w:r>
          </w:p>
        </w:tc>
        <w:tc>
          <w:tcPr>
            <w:tcW w:w="4353"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Arial" w:hAnsi="Arial"/>
                <w:bCs/>
                <w:sz w:val="24"/>
              </w:rPr>
            </w:pPr>
          </w:p>
          <w:p>
            <w:pPr>
              <w:spacing w:line="360" w:lineRule="auto"/>
              <w:rPr>
                <w:rFonts w:ascii="Arial" w:hAnsi="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bCs/>
                <w:sz w:val="24"/>
              </w:rPr>
            </w:pPr>
            <w:r>
              <w:rPr>
                <w:rFonts w:hint="eastAsia" w:ascii="Arial" w:hAnsi="Arial"/>
                <w:bCs/>
                <w:sz w:val="24"/>
              </w:rPr>
              <w:t>备注</w:t>
            </w:r>
          </w:p>
        </w:tc>
        <w:tc>
          <w:tcPr>
            <w:tcW w:w="4353"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Arial" w:hAnsi="Arial"/>
                <w:bCs/>
                <w:sz w:val="24"/>
              </w:rPr>
            </w:pPr>
          </w:p>
          <w:p>
            <w:pPr>
              <w:spacing w:line="360" w:lineRule="auto"/>
              <w:rPr>
                <w:rFonts w:ascii="Arial" w:hAnsi="Arial"/>
                <w:bCs/>
                <w:sz w:val="24"/>
              </w:rPr>
            </w:pPr>
          </w:p>
        </w:tc>
      </w:tr>
    </w:tbl>
    <w:p>
      <w:pPr>
        <w:spacing w:line="360" w:lineRule="auto"/>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6AF"/>
    <w:rsid w:val="000064E8"/>
    <w:rsid w:val="00014730"/>
    <w:rsid w:val="0001671F"/>
    <w:rsid w:val="000249CF"/>
    <w:rsid w:val="000322B8"/>
    <w:rsid w:val="000514E2"/>
    <w:rsid w:val="00064957"/>
    <w:rsid w:val="0007152A"/>
    <w:rsid w:val="00092E77"/>
    <w:rsid w:val="000959C1"/>
    <w:rsid w:val="00095F49"/>
    <w:rsid w:val="000B2D26"/>
    <w:rsid w:val="000B5A0A"/>
    <w:rsid w:val="000C39CE"/>
    <w:rsid w:val="000C4415"/>
    <w:rsid w:val="000E3B6B"/>
    <w:rsid w:val="000F0D13"/>
    <w:rsid w:val="000F3391"/>
    <w:rsid w:val="00102C7B"/>
    <w:rsid w:val="00120BE7"/>
    <w:rsid w:val="00131336"/>
    <w:rsid w:val="00133145"/>
    <w:rsid w:val="00133934"/>
    <w:rsid w:val="00145654"/>
    <w:rsid w:val="00145874"/>
    <w:rsid w:val="0015176B"/>
    <w:rsid w:val="001640C6"/>
    <w:rsid w:val="00166E1D"/>
    <w:rsid w:val="00172322"/>
    <w:rsid w:val="00196E68"/>
    <w:rsid w:val="001B5980"/>
    <w:rsid w:val="001C3EE5"/>
    <w:rsid w:val="001C5E58"/>
    <w:rsid w:val="001C7FAB"/>
    <w:rsid w:val="001E701A"/>
    <w:rsid w:val="001F2BC6"/>
    <w:rsid w:val="001F53CD"/>
    <w:rsid w:val="00201181"/>
    <w:rsid w:val="00205C9B"/>
    <w:rsid w:val="002138F3"/>
    <w:rsid w:val="00217AD1"/>
    <w:rsid w:val="002234F1"/>
    <w:rsid w:val="00225F72"/>
    <w:rsid w:val="00231B7C"/>
    <w:rsid w:val="00232F5E"/>
    <w:rsid w:val="00251396"/>
    <w:rsid w:val="00262377"/>
    <w:rsid w:val="002917B0"/>
    <w:rsid w:val="00295886"/>
    <w:rsid w:val="0029714B"/>
    <w:rsid w:val="002A2354"/>
    <w:rsid w:val="002A7C64"/>
    <w:rsid w:val="002B3178"/>
    <w:rsid w:val="002B4C51"/>
    <w:rsid w:val="002C37B7"/>
    <w:rsid w:val="002D2D15"/>
    <w:rsid w:val="002D7106"/>
    <w:rsid w:val="002D71D3"/>
    <w:rsid w:val="002F08B5"/>
    <w:rsid w:val="002F105B"/>
    <w:rsid w:val="002F5019"/>
    <w:rsid w:val="002F57FB"/>
    <w:rsid w:val="003045BD"/>
    <w:rsid w:val="00337B48"/>
    <w:rsid w:val="00375169"/>
    <w:rsid w:val="00381350"/>
    <w:rsid w:val="0038279B"/>
    <w:rsid w:val="0038654F"/>
    <w:rsid w:val="00392023"/>
    <w:rsid w:val="00392EE5"/>
    <w:rsid w:val="003932E8"/>
    <w:rsid w:val="00396048"/>
    <w:rsid w:val="003A38F1"/>
    <w:rsid w:val="003B0A80"/>
    <w:rsid w:val="003C2D07"/>
    <w:rsid w:val="003C3CB2"/>
    <w:rsid w:val="003D4279"/>
    <w:rsid w:val="003D4E0A"/>
    <w:rsid w:val="003E0FCB"/>
    <w:rsid w:val="003E50AE"/>
    <w:rsid w:val="003F0C6C"/>
    <w:rsid w:val="0040026C"/>
    <w:rsid w:val="004115C5"/>
    <w:rsid w:val="00420C25"/>
    <w:rsid w:val="00425AD3"/>
    <w:rsid w:val="004261A5"/>
    <w:rsid w:val="00456B57"/>
    <w:rsid w:val="00461F34"/>
    <w:rsid w:val="00483104"/>
    <w:rsid w:val="0049413B"/>
    <w:rsid w:val="004A2313"/>
    <w:rsid w:val="004A48AF"/>
    <w:rsid w:val="004A5953"/>
    <w:rsid w:val="004A5CD1"/>
    <w:rsid w:val="004B64F0"/>
    <w:rsid w:val="004B6CCB"/>
    <w:rsid w:val="004C68C2"/>
    <w:rsid w:val="004E1560"/>
    <w:rsid w:val="004F6986"/>
    <w:rsid w:val="005028F2"/>
    <w:rsid w:val="00502AC1"/>
    <w:rsid w:val="00505C7F"/>
    <w:rsid w:val="00513939"/>
    <w:rsid w:val="00516029"/>
    <w:rsid w:val="0051704B"/>
    <w:rsid w:val="00520481"/>
    <w:rsid w:val="005306D2"/>
    <w:rsid w:val="005329E3"/>
    <w:rsid w:val="0053346B"/>
    <w:rsid w:val="00540D89"/>
    <w:rsid w:val="005415B8"/>
    <w:rsid w:val="005569B7"/>
    <w:rsid w:val="00576C16"/>
    <w:rsid w:val="005A675E"/>
    <w:rsid w:val="005B2535"/>
    <w:rsid w:val="005B2C08"/>
    <w:rsid w:val="005C0791"/>
    <w:rsid w:val="005F7998"/>
    <w:rsid w:val="006061B0"/>
    <w:rsid w:val="00613CB3"/>
    <w:rsid w:val="006339AA"/>
    <w:rsid w:val="00640637"/>
    <w:rsid w:val="006408CD"/>
    <w:rsid w:val="00642E5E"/>
    <w:rsid w:val="00647EF4"/>
    <w:rsid w:val="00667668"/>
    <w:rsid w:val="00670515"/>
    <w:rsid w:val="006A672C"/>
    <w:rsid w:val="006B23BF"/>
    <w:rsid w:val="006B31D9"/>
    <w:rsid w:val="006C55E7"/>
    <w:rsid w:val="006D0D9C"/>
    <w:rsid w:val="006D497F"/>
    <w:rsid w:val="006E211A"/>
    <w:rsid w:val="006E3954"/>
    <w:rsid w:val="00700F38"/>
    <w:rsid w:val="007207CB"/>
    <w:rsid w:val="0074245B"/>
    <w:rsid w:val="007500D3"/>
    <w:rsid w:val="00767BBE"/>
    <w:rsid w:val="007740D1"/>
    <w:rsid w:val="00781232"/>
    <w:rsid w:val="0078494D"/>
    <w:rsid w:val="00791A85"/>
    <w:rsid w:val="007A4BB1"/>
    <w:rsid w:val="007B4526"/>
    <w:rsid w:val="007B4B1C"/>
    <w:rsid w:val="007D2AA9"/>
    <w:rsid w:val="007D2DAD"/>
    <w:rsid w:val="007D6C5F"/>
    <w:rsid w:val="007F3F8D"/>
    <w:rsid w:val="007F52F9"/>
    <w:rsid w:val="00814B49"/>
    <w:rsid w:val="00820A07"/>
    <w:rsid w:val="0084183B"/>
    <w:rsid w:val="008418D3"/>
    <w:rsid w:val="00841B87"/>
    <w:rsid w:val="00842582"/>
    <w:rsid w:val="00852F42"/>
    <w:rsid w:val="00857736"/>
    <w:rsid w:val="00870841"/>
    <w:rsid w:val="00870E6D"/>
    <w:rsid w:val="00894C66"/>
    <w:rsid w:val="008A52A1"/>
    <w:rsid w:val="008D6D3B"/>
    <w:rsid w:val="008E16D4"/>
    <w:rsid w:val="008F33BB"/>
    <w:rsid w:val="0090720B"/>
    <w:rsid w:val="00915626"/>
    <w:rsid w:val="0092052F"/>
    <w:rsid w:val="00920A70"/>
    <w:rsid w:val="00931DF2"/>
    <w:rsid w:val="0094094D"/>
    <w:rsid w:val="00951C25"/>
    <w:rsid w:val="00952E2F"/>
    <w:rsid w:val="00953621"/>
    <w:rsid w:val="00955BD4"/>
    <w:rsid w:val="009734F6"/>
    <w:rsid w:val="0097646C"/>
    <w:rsid w:val="00982303"/>
    <w:rsid w:val="009A0AA8"/>
    <w:rsid w:val="009A0FDB"/>
    <w:rsid w:val="009A667A"/>
    <w:rsid w:val="009A6897"/>
    <w:rsid w:val="009A7E7D"/>
    <w:rsid w:val="009B0E27"/>
    <w:rsid w:val="009D0879"/>
    <w:rsid w:val="009D50D4"/>
    <w:rsid w:val="009F1F15"/>
    <w:rsid w:val="009F2007"/>
    <w:rsid w:val="009F4A15"/>
    <w:rsid w:val="00A016D7"/>
    <w:rsid w:val="00A06781"/>
    <w:rsid w:val="00A2008F"/>
    <w:rsid w:val="00A2669E"/>
    <w:rsid w:val="00A27FDB"/>
    <w:rsid w:val="00A32E27"/>
    <w:rsid w:val="00A46331"/>
    <w:rsid w:val="00A54A1D"/>
    <w:rsid w:val="00A56E13"/>
    <w:rsid w:val="00A64E11"/>
    <w:rsid w:val="00A7677A"/>
    <w:rsid w:val="00A80C96"/>
    <w:rsid w:val="00A9782D"/>
    <w:rsid w:val="00AA30E5"/>
    <w:rsid w:val="00AA751C"/>
    <w:rsid w:val="00AB1D47"/>
    <w:rsid w:val="00AE00F9"/>
    <w:rsid w:val="00AE6AAD"/>
    <w:rsid w:val="00AF0540"/>
    <w:rsid w:val="00B146C4"/>
    <w:rsid w:val="00B266A9"/>
    <w:rsid w:val="00B32FB4"/>
    <w:rsid w:val="00B34808"/>
    <w:rsid w:val="00B57DE2"/>
    <w:rsid w:val="00B61024"/>
    <w:rsid w:val="00B62DBF"/>
    <w:rsid w:val="00B63DDA"/>
    <w:rsid w:val="00B64A83"/>
    <w:rsid w:val="00B94426"/>
    <w:rsid w:val="00BA29F6"/>
    <w:rsid w:val="00BB6048"/>
    <w:rsid w:val="00BC06D0"/>
    <w:rsid w:val="00BD605B"/>
    <w:rsid w:val="00C2418C"/>
    <w:rsid w:val="00C31F14"/>
    <w:rsid w:val="00C42181"/>
    <w:rsid w:val="00C622EA"/>
    <w:rsid w:val="00C7176C"/>
    <w:rsid w:val="00C818BD"/>
    <w:rsid w:val="00C81F5B"/>
    <w:rsid w:val="00CA2C89"/>
    <w:rsid w:val="00CA3859"/>
    <w:rsid w:val="00CD0EC1"/>
    <w:rsid w:val="00CE53D2"/>
    <w:rsid w:val="00D02FF1"/>
    <w:rsid w:val="00D07FB4"/>
    <w:rsid w:val="00D12A2E"/>
    <w:rsid w:val="00D140C0"/>
    <w:rsid w:val="00D459BA"/>
    <w:rsid w:val="00D6600B"/>
    <w:rsid w:val="00D67300"/>
    <w:rsid w:val="00D67AA4"/>
    <w:rsid w:val="00D72A6F"/>
    <w:rsid w:val="00D75EFF"/>
    <w:rsid w:val="00D762C1"/>
    <w:rsid w:val="00D87F10"/>
    <w:rsid w:val="00D915CA"/>
    <w:rsid w:val="00D91F02"/>
    <w:rsid w:val="00D9302B"/>
    <w:rsid w:val="00DA2171"/>
    <w:rsid w:val="00DA3392"/>
    <w:rsid w:val="00DA34B0"/>
    <w:rsid w:val="00DA6434"/>
    <w:rsid w:val="00DB0F03"/>
    <w:rsid w:val="00DB3D89"/>
    <w:rsid w:val="00DC1EC5"/>
    <w:rsid w:val="00DC26ED"/>
    <w:rsid w:val="00DD156D"/>
    <w:rsid w:val="00DE5486"/>
    <w:rsid w:val="00DF4270"/>
    <w:rsid w:val="00E1402E"/>
    <w:rsid w:val="00E2445B"/>
    <w:rsid w:val="00E26F36"/>
    <w:rsid w:val="00E27AE2"/>
    <w:rsid w:val="00E54867"/>
    <w:rsid w:val="00E65FD5"/>
    <w:rsid w:val="00E878A5"/>
    <w:rsid w:val="00E947C4"/>
    <w:rsid w:val="00EB501A"/>
    <w:rsid w:val="00EC087B"/>
    <w:rsid w:val="00EC140C"/>
    <w:rsid w:val="00EC4B5E"/>
    <w:rsid w:val="00ED2FEA"/>
    <w:rsid w:val="00ED5B82"/>
    <w:rsid w:val="00EF595C"/>
    <w:rsid w:val="00EF63B5"/>
    <w:rsid w:val="00F065EA"/>
    <w:rsid w:val="00F12982"/>
    <w:rsid w:val="00F46311"/>
    <w:rsid w:val="00F54829"/>
    <w:rsid w:val="00F55C2F"/>
    <w:rsid w:val="00F5728D"/>
    <w:rsid w:val="00F76932"/>
    <w:rsid w:val="00F804AA"/>
    <w:rsid w:val="00F8256E"/>
    <w:rsid w:val="00F828C0"/>
    <w:rsid w:val="00F84A96"/>
    <w:rsid w:val="00F91EC5"/>
    <w:rsid w:val="00F930C8"/>
    <w:rsid w:val="00F9390C"/>
    <w:rsid w:val="00F959DE"/>
    <w:rsid w:val="00FB2757"/>
    <w:rsid w:val="00FB2E13"/>
    <w:rsid w:val="00FB36AF"/>
    <w:rsid w:val="00FD7CDB"/>
    <w:rsid w:val="00FE4171"/>
    <w:rsid w:val="0130215C"/>
    <w:rsid w:val="07F118A7"/>
    <w:rsid w:val="108E0C2E"/>
    <w:rsid w:val="11E00E28"/>
    <w:rsid w:val="14B8165B"/>
    <w:rsid w:val="1EB1443F"/>
    <w:rsid w:val="22903F40"/>
    <w:rsid w:val="2428786F"/>
    <w:rsid w:val="250E6BFE"/>
    <w:rsid w:val="2FA5374C"/>
    <w:rsid w:val="2FC015D3"/>
    <w:rsid w:val="300F2202"/>
    <w:rsid w:val="30E8054D"/>
    <w:rsid w:val="33C01926"/>
    <w:rsid w:val="34584414"/>
    <w:rsid w:val="370D1705"/>
    <w:rsid w:val="37697DF6"/>
    <w:rsid w:val="3C9E1F83"/>
    <w:rsid w:val="40190FE2"/>
    <w:rsid w:val="40516596"/>
    <w:rsid w:val="424413B5"/>
    <w:rsid w:val="430420E0"/>
    <w:rsid w:val="579266F5"/>
    <w:rsid w:val="582974FC"/>
    <w:rsid w:val="5B6B7E52"/>
    <w:rsid w:val="5C9B4908"/>
    <w:rsid w:val="5E0D31DF"/>
    <w:rsid w:val="5E831ACF"/>
    <w:rsid w:val="5F9711D6"/>
    <w:rsid w:val="5FCE799C"/>
    <w:rsid w:val="60A9304C"/>
    <w:rsid w:val="60D72176"/>
    <w:rsid w:val="61727C75"/>
    <w:rsid w:val="6C340688"/>
    <w:rsid w:val="72724C57"/>
    <w:rsid w:val="73194621"/>
    <w:rsid w:val="73D357FF"/>
    <w:rsid w:val="73E21972"/>
    <w:rsid w:val="76901005"/>
    <w:rsid w:val="793A669D"/>
    <w:rsid w:val="799646AA"/>
    <w:rsid w:val="7AF74291"/>
    <w:rsid w:val="7DB33A51"/>
    <w:rsid w:val="7E9F0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99"/>
    <w:pPr>
      <w:jc w:val="left"/>
    </w:pPr>
  </w:style>
  <w:style w:type="paragraph" w:styleId="4">
    <w:name w:val="Body Text Indent 2"/>
    <w:basedOn w:val="1"/>
    <w:qFormat/>
    <w:uiPriority w:val="0"/>
    <w:pPr>
      <w:ind w:left="420"/>
    </w:pPr>
    <w:rPr>
      <w:rFonts w:asciiTheme="minorHAnsi" w:hAnsiTheme="minorHAnsi" w:eastAsiaTheme="minorEastAsia" w:cstheme="minorBidi"/>
      <w:b/>
      <w:sz w:val="24"/>
    </w:rPr>
  </w:style>
  <w:style w:type="paragraph" w:styleId="5">
    <w:name w:val="Balloon Text"/>
    <w:basedOn w:val="1"/>
    <w:link w:val="12"/>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7"/>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批注框文本 字符"/>
    <w:basedOn w:val="10"/>
    <w:link w:val="5"/>
    <w:semiHidden/>
    <w:qFormat/>
    <w:uiPriority w:val="99"/>
    <w:rPr>
      <w:rFonts w:ascii="Calibri" w:hAnsi="Calibri" w:eastAsia="宋体" w:cs="Times New Roman"/>
      <w:sz w:val="18"/>
      <w:szCs w:val="18"/>
    </w:rPr>
  </w:style>
  <w:style w:type="character" w:customStyle="1" w:styleId="13">
    <w:name w:val="页眉 字符"/>
    <w:basedOn w:val="10"/>
    <w:link w:val="7"/>
    <w:qFormat/>
    <w:uiPriority w:val="99"/>
    <w:rPr>
      <w:rFonts w:ascii="Calibri" w:hAnsi="Calibri" w:eastAsia="宋体" w:cs="Times New Roman"/>
      <w:sz w:val="18"/>
      <w:szCs w:val="18"/>
    </w:rPr>
  </w:style>
  <w:style w:type="character" w:customStyle="1" w:styleId="14">
    <w:name w:val="页脚 字符"/>
    <w:basedOn w:val="10"/>
    <w:link w:val="6"/>
    <w:qFormat/>
    <w:uiPriority w:val="99"/>
    <w:rPr>
      <w:rFonts w:ascii="Calibri" w:hAnsi="Calibri" w:eastAsia="宋体" w:cs="Times New Roman"/>
      <w:sz w:val="18"/>
      <w:szCs w:val="18"/>
    </w:rPr>
  </w:style>
  <w:style w:type="paragraph" w:styleId="15">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6">
    <w:name w:val="批注文字 字符"/>
    <w:basedOn w:val="10"/>
    <w:link w:val="3"/>
    <w:semiHidden/>
    <w:qFormat/>
    <w:uiPriority w:val="99"/>
    <w:rPr>
      <w:rFonts w:ascii="Calibri" w:hAnsi="Calibri" w:eastAsia="宋体" w:cs="Times New Roman"/>
      <w:szCs w:val="24"/>
    </w:rPr>
  </w:style>
  <w:style w:type="character" w:customStyle="1" w:styleId="17">
    <w:name w:val="批注主题 字符"/>
    <w:basedOn w:val="16"/>
    <w:link w:val="8"/>
    <w:semiHidden/>
    <w:qFormat/>
    <w:uiPriority w:val="99"/>
    <w:rPr>
      <w:rFonts w:ascii="Calibri" w:hAnsi="Calibri" w:eastAsia="宋体" w:cs="Times New Roman"/>
      <w:b/>
      <w:bCs/>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393</Words>
  <Characters>2243</Characters>
  <Lines>18</Lines>
  <Paragraphs>5</Paragraphs>
  <TotalTime>5</TotalTime>
  <ScaleCrop>false</ScaleCrop>
  <LinksUpToDate>false</LinksUpToDate>
  <CharactersWithSpaces>2631</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2023-06-07T07:24:00Z</dcterms:created>
  <dc:creator>Xu Zhengrong</dc:creator>
  <cp:lastModifiedBy>高 静</cp:lastModifiedBy>
  <cp:lastPrinted>2021-04-22T01:41:00Z</cp:lastPrinted>
  <dcterms:modified xsi:type="dcterms:W3CDTF">2025-04-16T00:38:26Z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C9377FF4E41A40FEB538CD7A71795BC0</vt:lpwstr>
  </property>
</Properties>
</file>