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C745F">
      <w:pPr>
        <w:spacing w:before="156" w:beforeLines="50" w:after="156" w:afterLines="50" w:line="400" w:lineRule="exact"/>
        <w:jc w:val="center"/>
        <w:rPr>
          <w:rFonts w:hint="eastAsia" w:ascii="宋体" w:hAnsi="宋体"/>
          <w:b/>
          <w:bCs/>
          <w:iCs/>
          <w:color w:val="FF0000"/>
          <w:sz w:val="28"/>
          <w:szCs w:val="24"/>
        </w:rPr>
      </w:pPr>
      <w:r>
        <w:rPr>
          <w:rFonts w:hint="eastAsia" w:ascii="宋体" w:hAnsi="宋体"/>
          <w:b/>
          <w:bCs/>
          <w:iCs/>
          <w:color w:val="FF0000"/>
          <w:sz w:val="28"/>
          <w:szCs w:val="24"/>
        </w:rPr>
        <w:t>广东天安新材料</w:t>
      </w:r>
      <w:r>
        <w:rPr>
          <w:rFonts w:ascii="宋体" w:hAnsi="宋体"/>
          <w:b/>
          <w:bCs/>
          <w:iCs/>
          <w:color w:val="FF0000"/>
          <w:sz w:val="28"/>
          <w:szCs w:val="24"/>
        </w:rPr>
        <w:t>股份有限公司</w:t>
      </w:r>
    </w:p>
    <w:p w14:paraId="2F692872">
      <w:pPr>
        <w:spacing w:before="156" w:beforeLines="50" w:after="156" w:afterLines="50" w:line="400" w:lineRule="exact"/>
        <w:jc w:val="center"/>
        <w:rPr>
          <w:rFonts w:hint="eastAsia" w:ascii="宋体" w:hAnsi="宋体"/>
          <w:b/>
          <w:bCs/>
          <w:iCs/>
          <w:color w:val="FF0000"/>
          <w:sz w:val="28"/>
          <w:szCs w:val="24"/>
        </w:rPr>
      </w:pPr>
      <w:r>
        <w:rPr>
          <w:rFonts w:hint="eastAsia" w:ascii="宋体" w:hAnsi="宋体"/>
          <w:b/>
          <w:bCs/>
          <w:iCs/>
          <w:color w:val="FF0000"/>
          <w:sz w:val="28"/>
          <w:szCs w:val="24"/>
        </w:rPr>
        <w:t>投资者关系活动记录表</w:t>
      </w:r>
    </w:p>
    <w:p w14:paraId="70415F46">
      <w:pPr>
        <w:spacing w:line="400" w:lineRule="exact"/>
        <w:rPr>
          <w:rFonts w:hint="eastAsia" w:ascii="宋体" w:hAnsi="宋体"/>
          <w:bCs/>
          <w:iCs/>
          <w:sz w:val="24"/>
          <w:szCs w:val="24"/>
        </w:rPr>
      </w:pPr>
      <w:r>
        <w:rPr>
          <w:rFonts w:hint="eastAsia" w:ascii="宋体" w:hAnsi="宋体"/>
          <w:bCs/>
          <w:iCs/>
          <w:sz w:val="24"/>
          <w:szCs w:val="24"/>
        </w:rPr>
        <w:t xml:space="preserve">                                                   编号：</w:t>
      </w:r>
      <w:r>
        <w:rPr>
          <w:rFonts w:ascii="宋体" w:hAnsi="宋体"/>
          <w:bCs/>
          <w:iCs/>
          <w:sz w:val="24"/>
          <w:szCs w:val="24"/>
        </w:rPr>
        <w:t>TA</w:t>
      </w:r>
      <w:r>
        <w:rPr>
          <w:rFonts w:hint="eastAsia" w:ascii="宋体" w:hAnsi="宋体"/>
          <w:bCs/>
          <w:iCs/>
          <w:sz w:val="24"/>
          <w:szCs w:val="24"/>
        </w:rPr>
        <w:t>2025-001</w:t>
      </w:r>
    </w:p>
    <w:tbl>
      <w:tblPr>
        <w:tblStyle w:val="6"/>
        <w:tblW w:w="7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5943"/>
      </w:tblGrid>
      <w:tr w14:paraId="09D0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shd w:val="clear" w:color="auto" w:fill="auto"/>
          </w:tcPr>
          <w:p w14:paraId="16F0F3AC">
            <w:pPr>
              <w:spacing w:line="480" w:lineRule="atLeast"/>
              <w:rPr>
                <w:rFonts w:hint="eastAsia" w:ascii="宋体" w:hAnsi="宋体"/>
                <w:b/>
                <w:bCs/>
                <w:iCs/>
                <w:sz w:val="24"/>
                <w:szCs w:val="24"/>
              </w:rPr>
            </w:pPr>
            <w:r>
              <w:rPr>
                <w:rFonts w:hint="eastAsia" w:ascii="宋体" w:hAnsi="宋体"/>
                <w:b/>
                <w:bCs/>
                <w:iCs/>
                <w:sz w:val="24"/>
                <w:szCs w:val="24"/>
              </w:rPr>
              <w:t>投资者关系活动类别</w:t>
            </w:r>
          </w:p>
          <w:p w14:paraId="34C0CF0C">
            <w:pPr>
              <w:spacing w:line="480" w:lineRule="atLeast"/>
              <w:rPr>
                <w:rFonts w:hint="eastAsia" w:ascii="宋体" w:hAnsi="宋体"/>
                <w:b/>
                <w:bCs/>
                <w:iCs/>
                <w:sz w:val="24"/>
                <w:szCs w:val="24"/>
              </w:rPr>
            </w:pPr>
          </w:p>
        </w:tc>
        <w:tc>
          <w:tcPr>
            <w:tcW w:w="5943" w:type="dxa"/>
            <w:shd w:val="clear" w:color="auto" w:fill="auto"/>
          </w:tcPr>
          <w:p w14:paraId="63D3D6B9">
            <w:pPr>
              <w:spacing w:line="480" w:lineRule="atLeast"/>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特定对象调研        </w:t>
            </w:r>
            <w:r>
              <w:rPr>
                <w:rFonts w:hint="eastAsia" w:ascii="宋体" w:hAnsi="宋体"/>
                <w:bCs/>
                <w:iCs/>
                <w:sz w:val="24"/>
                <w:szCs w:val="24"/>
              </w:rPr>
              <w:t>□</w:t>
            </w:r>
            <w:r>
              <w:rPr>
                <w:rFonts w:hint="eastAsia" w:ascii="宋体" w:hAnsi="宋体"/>
                <w:sz w:val="24"/>
                <w:szCs w:val="24"/>
              </w:rPr>
              <w:t>分析师会议</w:t>
            </w:r>
          </w:p>
          <w:p w14:paraId="50E16F77">
            <w:pPr>
              <w:spacing w:line="480" w:lineRule="atLeast"/>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媒体采访            </w:t>
            </w:r>
            <w:r>
              <w:rPr>
                <w:rFonts w:hint="eastAsia" w:ascii="宋体" w:hAnsi="宋体"/>
                <w:bCs/>
                <w:iCs/>
                <w:sz w:val="24"/>
                <w:szCs w:val="24"/>
              </w:rPr>
              <w:t>□</w:t>
            </w:r>
            <w:r>
              <w:rPr>
                <w:rFonts w:hint="eastAsia" w:ascii="宋体" w:hAnsi="宋体"/>
                <w:sz w:val="24"/>
                <w:szCs w:val="24"/>
              </w:rPr>
              <w:t>业绩说明会</w:t>
            </w:r>
          </w:p>
          <w:p w14:paraId="737E1686">
            <w:pPr>
              <w:spacing w:line="480" w:lineRule="atLeast"/>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新闻发布会          </w:t>
            </w:r>
            <w:r>
              <w:rPr>
                <w:rFonts w:hint="eastAsia" w:ascii="宋体" w:hAnsi="宋体"/>
                <w:bCs/>
                <w:iCs/>
                <w:sz w:val="24"/>
                <w:szCs w:val="24"/>
              </w:rPr>
              <w:t>□</w:t>
            </w:r>
            <w:r>
              <w:rPr>
                <w:rFonts w:hint="eastAsia" w:ascii="宋体" w:hAnsi="宋体"/>
                <w:sz w:val="24"/>
                <w:szCs w:val="24"/>
              </w:rPr>
              <w:t>路演活动</w:t>
            </w:r>
          </w:p>
          <w:p w14:paraId="4732FAE8">
            <w:pPr>
              <w:tabs>
                <w:tab w:val="left" w:pos="2805"/>
                <w:tab w:val="center" w:pos="3199"/>
              </w:tabs>
              <w:spacing w:line="480" w:lineRule="atLeast"/>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现场参观</w:t>
            </w:r>
            <w:r>
              <w:rPr>
                <w:rFonts w:hint="eastAsia" w:ascii="宋体" w:hAnsi="宋体"/>
                <w:bCs/>
                <w:iCs/>
                <w:sz w:val="24"/>
                <w:szCs w:val="24"/>
              </w:rPr>
              <w:t xml:space="preserve">            □</w:t>
            </w:r>
            <w:r>
              <w:rPr>
                <w:rFonts w:hint="eastAsia" w:ascii="宋体" w:hAnsi="宋体"/>
                <w:sz w:val="24"/>
                <w:szCs w:val="24"/>
              </w:rPr>
              <w:t xml:space="preserve">其他 </w:t>
            </w:r>
          </w:p>
        </w:tc>
      </w:tr>
      <w:tr w14:paraId="051E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shd w:val="clear" w:color="auto" w:fill="auto"/>
          </w:tcPr>
          <w:p w14:paraId="1A7BBD2E">
            <w:pPr>
              <w:spacing w:line="480" w:lineRule="atLeast"/>
              <w:rPr>
                <w:rFonts w:hint="eastAsia" w:ascii="宋体" w:hAnsi="宋体"/>
                <w:b/>
                <w:bCs/>
                <w:iCs/>
                <w:sz w:val="24"/>
                <w:szCs w:val="24"/>
              </w:rPr>
            </w:pPr>
            <w:r>
              <w:rPr>
                <w:rFonts w:hint="eastAsia" w:ascii="宋体" w:hAnsi="宋体"/>
                <w:b/>
                <w:bCs/>
                <w:iCs/>
                <w:sz w:val="24"/>
                <w:szCs w:val="24"/>
              </w:rPr>
              <w:t>参与单位名称</w:t>
            </w:r>
          </w:p>
        </w:tc>
        <w:tc>
          <w:tcPr>
            <w:tcW w:w="5943" w:type="dxa"/>
            <w:shd w:val="clear" w:color="auto" w:fill="auto"/>
          </w:tcPr>
          <w:p w14:paraId="18155306">
            <w:pPr>
              <w:spacing w:line="480" w:lineRule="atLeas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排名不分先后</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申万宏源、华夏基金、广发证券、招商证券、国金证券、东吴证券、东北证券、国联基金、中信证券、中金公司、</w:t>
            </w:r>
            <w:r>
              <w:rPr>
                <w:rFonts w:hint="eastAsia" w:asciiTheme="minorEastAsia" w:hAnsiTheme="minorEastAsia" w:eastAsiaTheme="minorEastAsia"/>
                <w:sz w:val="24"/>
                <w:szCs w:val="24"/>
                <w:lang w:val="en-US" w:eastAsia="zh-CN"/>
              </w:rPr>
              <w:t>银河证券、</w:t>
            </w:r>
            <w:r>
              <w:rPr>
                <w:rFonts w:hint="eastAsia" w:asciiTheme="minorEastAsia" w:hAnsiTheme="minorEastAsia" w:eastAsiaTheme="minorEastAsia"/>
                <w:sz w:val="24"/>
                <w:szCs w:val="24"/>
              </w:rPr>
              <w:t>天风证券、财通证券、华泰证券、方正证券、宁银理财、粤财中垠、五矿证券</w:t>
            </w:r>
            <w:r>
              <w:rPr>
                <w:rFonts w:hint="eastAsia" w:asciiTheme="minorEastAsia" w:hAnsiTheme="minorEastAsia" w:eastAsiaTheme="minorEastAsia"/>
                <w:sz w:val="24"/>
                <w:szCs w:val="24"/>
                <w:lang w:eastAsia="zh-CN"/>
              </w:rPr>
              <w:t>、榕树投资、怀新资本、安盈私募、博时资本、鹏华资产、国投证券、瀚鑫基金</w:t>
            </w:r>
            <w:r>
              <w:rPr>
                <w:rFonts w:hint="eastAsia" w:asciiTheme="minorEastAsia" w:hAnsiTheme="minorEastAsia" w:eastAsiaTheme="minorEastAsia"/>
                <w:sz w:val="24"/>
                <w:szCs w:val="24"/>
              </w:rPr>
              <w:t>以及其他参与活动的机构、个人投资者</w:t>
            </w:r>
          </w:p>
        </w:tc>
      </w:tr>
      <w:tr w14:paraId="3E71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shd w:val="clear" w:color="auto" w:fill="auto"/>
          </w:tcPr>
          <w:p w14:paraId="07EB9D8B">
            <w:pPr>
              <w:spacing w:line="480" w:lineRule="atLeast"/>
              <w:rPr>
                <w:rFonts w:hint="eastAsia" w:ascii="宋体" w:hAnsi="宋体"/>
                <w:b/>
                <w:bCs/>
                <w:iCs/>
                <w:sz w:val="24"/>
                <w:szCs w:val="24"/>
              </w:rPr>
            </w:pPr>
            <w:r>
              <w:rPr>
                <w:rFonts w:hint="eastAsia" w:ascii="宋体" w:hAnsi="宋体"/>
                <w:b/>
                <w:bCs/>
                <w:iCs/>
                <w:sz w:val="24"/>
                <w:szCs w:val="24"/>
              </w:rPr>
              <w:t>时间</w:t>
            </w:r>
          </w:p>
        </w:tc>
        <w:tc>
          <w:tcPr>
            <w:tcW w:w="5943" w:type="dxa"/>
            <w:shd w:val="clear" w:color="auto" w:fill="auto"/>
          </w:tcPr>
          <w:p w14:paraId="750791CB">
            <w:pPr>
              <w:spacing w:line="480" w:lineRule="atLeast"/>
              <w:rPr>
                <w:rFonts w:hint="eastAsia" w:ascii="宋体" w:hAnsi="宋体"/>
                <w:bCs/>
                <w:iCs/>
                <w:sz w:val="24"/>
                <w:szCs w:val="24"/>
              </w:rPr>
            </w:pPr>
            <w:r>
              <w:rPr>
                <w:rFonts w:hint="eastAsia" w:ascii="宋体" w:hAnsi="宋体"/>
                <w:bCs/>
                <w:iCs/>
                <w:sz w:val="24"/>
                <w:szCs w:val="24"/>
              </w:rPr>
              <w:t>2025年4月18日</w:t>
            </w:r>
          </w:p>
        </w:tc>
      </w:tr>
      <w:tr w14:paraId="61A5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shd w:val="clear" w:color="auto" w:fill="auto"/>
          </w:tcPr>
          <w:p w14:paraId="129AC241">
            <w:pPr>
              <w:spacing w:line="480" w:lineRule="atLeast"/>
              <w:rPr>
                <w:rFonts w:hint="eastAsia" w:ascii="宋体" w:hAnsi="宋体"/>
                <w:b/>
                <w:bCs/>
                <w:iCs/>
                <w:sz w:val="24"/>
                <w:szCs w:val="24"/>
              </w:rPr>
            </w:pPr>
            <w:r>
              <w:rPr>
                <w:rFonts w:hint="eastAsia" w:ascii="宋体" w:hAnsi="宋体"/>
                <w:b/>
                <w:bCs/>
                <w:iCs/>
                <w:sz w:val="24"/>
                <w:szCs w:val="24"/>
              </w:rPr>
              <w:t>地点</w:t>
            </w:r>
          </w:p>
        </w:tc>
        <w:tc>
          <w:tcPr>
            <w:tcW w:w="5943" w:type="dxa"/>
            <w:shd w:val="clear" w:color="auto" w:fill="auto"/>
          </w:tcPr>
          <w:p w14:paraId="561AEA90">
            <w:pPr>
              <w:spacing w:line="480" w:lineRule="atLeast"/>
              <w:rPr>
                <w:rFonts w:hint="eastAsia" w:ascii="宋体" w:hAnsi="宋体"/>
                <w:bCs/>
                <w:iCs/>
                <w:sz w:val="24"/>
                <w:szCs w:val="24"/>
              </w:rPr>
            </w:pPr>
            <w:r>
              <w:rPr>
                <w:rFonts w:hint="eastAsia"/>
                <w:sz w:val="24"/>
                <w:szCs w:val="24"/>
              </w:rPr>
              <w:t>广东天安新材料股份有限公司鹰创园鹰牌展馆</w:t>
            </w:r>
          </w:p>
        </w:tc>
      </w:tr>
      <w:tr w14:paraId="0CD8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shd w:val="clear" w:color="auto" w:fill="auto"/>
          </w:tcPr>
          <w:p w14:paraId="25C337B3">
            <w:pPr>
              <w:spacing w:line="480" w:lineRule="atLeast"/>
              <w:rPr>
                <w:rFonts w:hint="eastAsia" w:ascii="宋体" w:hAnsi="宋体"/>
                <w:b/>
                <w:bCs/>
                <w:iCs/>
                <w:sz w:val="24"/>
                <w:szCs w:val="24"/>
              </w:rPr>
            </w:pPr>
            <w:r>
              <w:rPr>
                <w:rFonts w:hint="eastAsia" w:ascii="宋体" w:hAnsi="宋体"/>
                <w:b/>
                <w:bCs/>
                <w:iCs/>
                <w:sz w:val="24"/>
                <w:szCs w:val="24"/>
              </w:rPr>
              <w:t>上市公司接待人员姓名</w:t>
            </w:r>
          </w:p>
        </w:tc>
        <w:tc>
          <w:tcPr>
            <w:tcW w:w="5943" w:type="dxa"/>
            <w:shd w:val="clear" w:color="auto" w:fill="auto"/>
          </w:tcPr>
          <w:p w14:paraId="293F798E">
            <w:pPr>
              <w:spacing w:line="480" w:lineRule="atLeast"/>
              <w:rPr>
                <w:rFonts w:hint="eastAsia" w:ascii="宋体" w:hAnsi="宋体"/>
                <w:bCs/>
                <w:iCs/>
                <w:sz w:val="24"/>
                <w:szCs w:val="24"/>
              </w:rPr>
            </w:pPr>
            <w:r>
              <w:rPr>
                <w:rFonts w:hint="eastAsia" w:ascii="宋体" w:hAnsi="宋体"/>
                <w:bCs/>
                <w:iCs/>
                <w:sz w:val="24"/>
                <w:szCs w:val="24"/>
              </w:rPr>
              <w:t>董事长、总经理吴启超</w:t>
            </w:r>
          </w:p>
          <w:p w14:paraId="258278CF">
            <w:pPr>
              <w:spacing w:line="480" w:lineRule="atLeast"/>
              <w:rPr>
                <w:rFonts w:ascii="宋体" w:hAnsi="宋体"/>
                <w:bCs/>
                <w:iCs/>
                <w:sz w:val="24"/>
                <w:szCs w:val="24"/>
              </w:rPr>
            </w:pPr>
            <w:r>
              <w:rPr>
                <w:rFonts w:hint="eastAsia" w:ascii="宋体" w:hAnsi="宋体"/>
                <w:bCs/>
                <w:iCs/>
                <w:sz w:val="24"/>
                <w:szCs w:val="24"/>
              </w:rPr>
              <w:t>董事、控股子公司鹰牌集团总裁陈贤伟</w:t>
            </w:r>
          </w:p>
          <w:p w14:paraId="51F0D216">
            <w:pPr>
              <w:spacing w:line="480" w:lineRule="atLeast"/>
              <w:rPr>
                <w:rFonts w:hint="eastAsia" w:ascii="宋体" w:hAnsi="宋体"/>
                <w:bCs/>
                <w:iCs/>
                <w:sz w:val="24"/>
                <w:szCs w:val="24"/>
              </w:rPr>
            </w:pPr>
            <w:r>
              <w:rPr>
                <w:rFonts w:hint="eastAsia" w:ascii="宋体" w:hAnsi="宋体"/>
                <w:bCs/>
                <w:iCs/>
                <w:sz w:val="24"/>
                <w:szCs w:val="24"/>
              </w:rPr>
              <w:t>控股子公司天汇建科总裁王兵</w:t>
            </w:r>
          </w:p>
          <w:p w14:paraId="4734FD77">
            <w:pPr>
              <w:spacing w:line="480" w:lineRule="atLeast"/>
              <w:rPr>
                <w:rFonts w:hint="eastAsia" w:ascii="宋体" w:hAnsi="宋体"/>
                <w:bCs/>
                <w:iCs/>
                <w:sz w:val="24"/>
                <w:szCs w:val="24"/>
              </w:rPr>
            </w:pPr>
            <w:r>
              <w:rPr>
                <w:rFonts w:hint="eastAsia" w:ascii="宋体" w:hAnsi="宋体"/>
                <w:bCs/>
                <w:iCs/>
                <w:sz w:val="24"/>
                <w:szCs w:val="24"/>
              </w:rPr>
              <w:t>董事、副总经理、董事会秘书曾艳华</w:t>
            </w:r>
          </w:p>
          <w:p w14:paraId="7EC2A8F3">
            <w:pPr>
              <w:spacing w:line="480" w:lineRule="atLeast"/>
              <w:rPr>
                <w:rFonts w:hint="eastAsia" w:ascii="宋体" w:hAnsi="宋体"/>
                <w:bCs/>
                <w:iCs/>
                <w:sz w:val="24"/>
                <w:szCs w:val="24"/>
              </w:rPr>
            </w:pPr>
            <w:r>
              <w:rPr>
                <w:rFonts w:hint="eastAsia" w:ascii="宋体" w:hAnsi="宋体"/>
                <w:bCs/>
                <w:iCs/>
                <w:sz w:val="24"/>
                <w:szCs w:val="24"/>
              </w:rPr>
              <w:t>副总经理、财务总监刘巧云</w:t>
            </w:r>
          </w:p>
        </w:tc>
      </w:tr>
      <w:tr w14:paraId="1184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730" w:type="dxa"/>
            <w:shd w:val="clear" w:color="auto" w:fill="auto"/>
            <w:vAlign w:val="center"/>
          </w:tcPr>
          <w:p w14:paraId="65C3D4FB">
            <w:pPr>
              <w:spacing w:line="480" w:lineRule="atLeast"/>
              <w:rPr>
                <w:rFonts w:hint="eastAsia" w:ascii="宋体" w:hAnsi="宋体"/>
                <w:b/>
                <w:bCs/>
                <w:iCs/>
                <w:sz w:val="24"/>
                <w:szCs w:val="24"/>
              </w:rPr>
            </w:pPr>
            <w:r>
              <w:rPr>
                <w:rFonts w:hint="eastAsia" w:ascii="宋体" w:hAnsi="宋体"/>
                <w:b/>
                <w:bCs/>
                <w:iCs/>
                <w:sz w:val="24"/>
                <w:szCs w:val="24"/>
              </w:rPr>
              <w:t>投资者关系活动主要内容介绍</w:t>
            </w:r>
          </w:p>
          <w:p w14:paraId="24CE7D0C">
            <w:pPr>
              <w:spacing w:line="480" w:lineRule="atLeast"/>
              <w:rPr>
                <w:rFonts w:hint="eastAsia" w:ascii="宋体" w:hAnsi="宋体"/>
                <w:b/>
                <w:bCs/>
                <w:iCs/>
                <w:sz w:val="24"/>
                <w:szCs w:val="24"/>
              </w:rPr>
            </w:pPr>
          </w:p>
        </w:tc>
        <w:tc>
          <w:tcPr>
            <w:tcW w:w="5943" w:type="dxa"/>
            <w:shd w:val="clear" w:color="auto" w:fill="auto"/>
          </w:tcPr>
          <w:p w14:paraId="20A0035D">
            <w:pPr>
              <w:pStyle w:val="10"/>
              <w:widowControl/>
              <w:numPr>
                <w:ilvl w:val="0"/>
                <w:numId w:val="1"/>
              </w:numPr>
              <w:ind w:firstLineChars="0"/>
              <w:jc w:val="left"/>
              <w:rPr>
                <w:b/>
                <w:sz w:val="24"/>
                <w:szCs w:val="24"/>
              </w:rPr>
            </w:pPr>
            <w:r>
              <w:rPr>
                <w:rFonts w:hint="eastAsia"/>
                <w:b/>
                <w:sz w:val="24"/>
                <w:szCs w:val="24"/>
              </w:rPr>
              <w:t>参观公司展厅鹰牌展馆；</w:t>
            </w:r>
          </w:p>
          <w:p w14:paraId="2F929AAA">
            <w:pPr>
              <w:pStyle w:val="10"/>
              <w:widowControl/>
              <w:numPr>
                <w:ilvl w:val="0"/>
                <w:numId w:val="1"/>
              </w:numPr>
              <w:ind w:firstLineChars="0"/>
              <w:jc w:val="left"/>
              <w:rPr>
                <w:b/>
                <w:sz w:val="24"/>
                <w:szCs w:val="24"/>
              </w:rPr>
            </w:pPr>
            <w:r>
              <w:rPr>
                <w:rFonts w:hint="eastAsia"/>
                <w:b/>
                <w:sz w:val="24"/>
                <w:szCs w:val="24"/>
              </w:rPr>
              <w:t>公司基本情况介绍；</w:t>
            </w:r>
          </w:p>
          <w:p w14:paraId="6550C831">
            <w:pPr>
              <w:widowControl/>
              <w:jc w:val="left"/>
              <w:rPr>
                <w:b/>
                <w:sz w:val="24"/>
                <w:szCs w:val="24"/>
              </w:rPr>
            </w:pPr>
            <w:r>
              <w:rPr>
                <w:rFonts w:hint="eastAsia"/>
                <w:b/>
                <w:sz w:val="24"/>
                <w:szCs w:val="24"/>
              </w:rPr>
              <w:t>三、与投资者进行交流，主要内容如下：</w:t>
            </w:r>
          </w:p>
          <w:p w14:paraId="48711F88">
            <w:pPr>
              <w:widowControl/>
              <w:jc w:val="left"/>
              <w:rPr>
                <w:rFonts w:hint="eastAsia"/>
                <w:b/>
                <w:sz w:val="24"/>
                <w:szCs w:val="24"/>
              </w:rPr>
            </w:pPr>
            <w:r>
              <w:rPr>
                <w:rFonts w:hint="eastAsia"/>
                <w:b/>
                <w:sz w:val="24"/>
                <w:szCs w:val="24"/>
              </w:rPr>
              <w:t>（一）202</w:t>
            </w:r>
            <w:r>
              <w:rPr>
                <w:rFonts w:hint="eastAsia"/>
                <w:b/>
                <w:sz w:val="24"/>
                <w:szCs w:val="24"/>
                <w:lang w:val="en-US" w:eastAsia="zh-CN"/>
              </w:rPr>
              <w:t>4</w:t>
            </w:r>
            <w:r>
              <w:rPr>
                <w:rFonts w:hint="eastAsia"/>
                <w:b/>
                <w:sz w:val="24"/>
                <w:szCs w:val="24"/>
              </w:rPr>
              <w:t>年度</w:t>
            </w:r>
            <w:r>
              <w:rPr>
                <w:rFonts w:hint="eastAsia"/>
                <w:b/>
                <w:sz w:val="24"/>
                <w:szCs w:val="24"/>
                <w:lang w:val="en-US" w:eastAsia="zh-CN"/>
              </w:rPr>
              <w:t>及</w:t>
            </w:r>
            <w:r>
              <w:rPr>
                <w:rFonts w:hint="eastAsia"/>
                <w:b/>
                <w:sz w:val="24"/>
                <w:szCs w:val="24"/>
                <w:lang w:eastAsia="zh-CN"/>
              </w:rPr>
              <w:t>2025年第一季度</w:t>
            </w:r>
            <w:r>
              <w:rPr>
                <w:rFonts w:hint="eastAsia"/>
                <w:b/>
                <w:sz w:val="24"/>
                <w:szCs w:val="24"/>
              </w:rPr>
              <w:t>公司主要经营情况</w:t>
            </w:r>
          </w:p>
          <w:p w14:paraId="409CFDA8">
            <w:pPr>
              <w:widowControl/>
              <w:ind w:firstLine="480" w:firstLineChars="200"/>
              <w:jc w:val="left"/>
              <w:rPr>
                <w:rFonts w:hint="eastAsia"/>
                <w:b w:val="0"/>
                <w:bCs/>
                <w:sz w:val="24"/>
                <w:szCs w:val="24"/>
              </w:rPr>
            </w:pPr>
            <w:r>
              <w:rPr>
                <w:rFonts w:hint="eastAsia"/>
                <w:b w:val="0"/>
                <w:bCs/>
                <w:sz w:val="24"/>
                <w:szCs w:val="24"/>
              </w:rPr>
              <w:t>2024年，公司实现营业收入310,030.37万元，同比略降1.32%；实现归属于上市公司股东的净利润10,100.49万元，同比降低16.49%；实现归属于上市公司股东的扣除非经常性损益的净利润为9,049.33万元，同比增加23.40%。2025年第一季度公司实现营业收入58,017.42万元，同比增加10.31%；归母净利润1,517.24万元，同比增加23.70%；扣非净利润1,379万元，同比增加36.97%。公司坚持夯实建筑陶瓷和高分子复合饰面材料两大基业，以“构建泛家居产业生态圈”为战略目标，以市场需求为导向，充分发挥产业集群优势，多措并举提高公司管理效率和经营效益。</w:t>
            </w:r>
          </w:p>
          <w:p w14:paraId="271026D0">
            <w:pPr>
              <w:widowControl/>
              <w:ind w:firstLine="480" w:firstLineChars="200"/>
              <w:jc w:val="left"/>
              <w:rPr>
                <w:rFonts w:hint="eastAsia"/>
                <w:b w:val="0"/>
                <w:bCs/>
                <w:sz w:val="24"/>
                <w:szCs w:val="24"/>
              </w:rPr>
            </w:pPr>
          </w:p>
          <w:p w14:paraId="5C956FBD">
            <w:pPr>
              <w:widowControl/>
              <w:jc w:val="left"/>
              <w:rPr>
                <w:sz w:val="24"/>
                <w:szCs w:val="24"/>
              </w:rPr>
            </w:pPr>
            <w:r>
              <w:rPr>
                <w:rFonts w:hint="eastAsia"/>
                <w:b/>
                <w:sz w:val="24"/>
                <w:szCs w:val="24"/>
              </w:rPr>
              <w:t>（</w:t>
            </w:r>
            <w:r>
              <w:rPr>
                <w:rFonts w:hint="eastAsia"/>
                <w:b/>
                <w:sz w:val="24"/>
                <w:szCs w:val="24"/>
                <w:lang w:val="en-US" w:eastAsia="zh-CN"/>
              </w:rPr>
              <w:t>二</w:t>
            </w:r>
            <w:r>
              <w:rPr>
                <w:rFonts w:hint="eastAsia"/>
                <w:b/>
                <w:sz w:val="24"/>
                <w:szCs w:val="24"/>
              </w:rPr>
              <w:t>）提问交流环节：</w:t>
            </w:r>
          </w:p>
          <w:p w14:paraId="7DC7C509">
            <w:pPr>
              <w:widowControl/>
              <w:ind w:firstLine="480" w:firstLineChars="200"/>
              <w:jc w:val="left"/>
              <w:rPr>
                <w:rFonts w:hint="default" w:eastAsia="宋体"/>
                <w:sz w:val="24"/>
                <w:szCs w:val="24"/>
                <w:lang w:val="en-US" w:eastAsia="zh-CN"/>
              </w:rPr>
            </w:pPr>
            <w:r>
              <w:rPr>
                <w:rFonts w:hint="eastAsia"/>
                <w:sz w:val="24"/>
                <w:szCs w:val="24"/>
              </w:rPr>
              <w:t>1、</w:t>
            </w:r>
            <w:r>
              <w:rPr>
                <w:rFonts w:hint="eastAsia"/>
                <w:sz w:val="24"/>
                <w:szCs w:val="24"/>
                <w:lang w:val="en-US" w:eastAsia="zh-CN"/>
              </w:rPr>
              <w:t>在当前的行业背景下，鹰牌公司如何通过赋能经销商等举措实现转型？</w:t>
            </w:r>
          </w:p>
          <w:p w14:paraId="37CB9C6C">
            <w:pPr>
              <w:widowControl/>
              <w:ind w:firstLine="480" w:firstLineChars="200"/>
              <w:jc w:val="left"/>
              <w:rPr>
                <w:rFonts w:hint="eastAsia"/>
                <w:sz w:val="24"/>
                <w:szCs w:val="24"/>
                <w:lang w:val="en-US" w:eastAsia="zh-CN"/>
              </w:rPr>
            </w:pPr>
            <w:r>
              <w:rPr>
                <w:rFonts w:hint="eastAsia"/>
                <w:sz w:val="24"/>
                <w:szCs w:val="24"/>
              </w:rPr>
              <w:t>答：</w:t>
            </w:r>
            <w:r>
              <w:rPr>
                <w:rFonts w:hint="eastAsia"/>
                <w:sz w:val="24"/>
                <w:szCs w:val="24"/>
                <w:lang w:val="en-US" w:eastAsia="zh-CN"/>
              </w:rPr>
              <w:t>在建筑陶瓷产能出清的行业背景下，公司从认识论、方法论、实践论三个层面出发，紧抓研发设计与品牌营销，以“价值驱动”为主导，不断提升综合竞争力。在研发设计方面，公司推出多款高环保性能与美学兼具的中国瓷、石晶地板、软质墙衣等产品，满足市场差异化需求；在品牌营销方面，公司在完善经销商渠道建设、加强渠道管理与赋能、推进渠道下沉的同时，积极拥抱新媒体时代，深化新媒体传播矩阵建设，通过短视频、直播、社交媒体等新兴渠道，精准触达目标用户，进一步扩大了品牌的影响力和覆盖面，使五十年积淀的鹰牌品牌更加深入人心，成为品质与口碑的代名词。公司将产品与消费者的生活场景紧密结合，构建了以客户为中心的生态系统，深度挖掘客户需求，激发消费者的共鸣与认同，持续提升品牌价值。在各项举措的积极推动下，报告期内，公司建筑陶瓷产品销量同比增加，市场占有率实现提升。</w:t>
            </w:r>
          </w:p>
          <w:p w14:paraId="16058217">
            <w:pPr>
              <w:widowControl/>
              <w:ind w:firstLine="480" w:firstLineChars="200"/>
              <w:jc w:val="left"/>
              <w:rPr>
                <w:rFonts w:hint="eastAsia"/>
                <w:sz w:val="24"/>
                <w:szCs w:val="24"/>
                <w:lang w:val="en-US" w:eastAsia="zh-CN"/>
              </w:rPr>
            </w:pPr>
          </w:p>
          <w:p w14:paraId="7D1D057D">
            <w:pPr>
              <w:widowControl/>
              <w:ind w:firstLine="480" w:firstLineChars="200"/>
              <w:jc w:val="left"/>
              <w:rPr>
                <w:rFonts w:hint="default" w:eastAsia="宋体"/>
                <w:sz w:val="24"/>
                <w:szCs w:val="24"/>
                <w:lang w:val="en-US" w:eastAsia="zh-CN"/>
              </w:rPr>
            </w:pPr>
            <w:r>
              <w:rPr>
                <w:rFonts w:hint="eastAsia"/>
                <w:sz w:val="24"/>
                <w:szCs w:val="24"/>
              </w:rPr>
              <w:t>2、</w:t>
            </w:r>
            <w:r>
              <w:rPr>
                <w:rFonts w:hint="eastAsia"/>
                <w:sz w:val="24"/>
                <w:szCs w:val="24"/>
                <w:lang w:val="en-US" w:eastAsia="zh-CN"/>
              </w:rPr>
              <w:t>公司如何做好生产管理、利用供应链端优势？</w:t>
            </w:r>
          </w:p>
          <w:p w14:paraId="06F97A3E">
            <w:pPr>
              <w:widowControl/>
              <w:ind w:firstLine="480" w:firstLineChars="200"/>
              <w:jc w:val="left"/>
              <w:rPr>
                <w:rFonts w:hint="eastAsia"/>
                <w:sz w:val="24"/>
                <w:szCs w:val="24"/>
              </w:rPr>
            </w:pPr>
            <w:r>
              <w:rPr>
                <w:rFonts w:hint="eastAsia"/>
                <w:sz w:val="24"/>
                <w:szCs w:val="24"/>
              </w:rPr>
              <w:t>答：公司深入推进精细化管理、发挥供应链优势，</w:t>
            </w:r>
            <w:r>
              <w:rPr>
                <w:rFonts w:hint="eastAsia"/>
                <w:sz w:val="24"/>
                <w:szCs w:val="24"/>
                <w:lang w:val="en-US" w:eastAsia="zh-CN"/>
              </w:rPr>
              <w:t>通过品牌输出、全流程数字化、属地化生产、生产管理提升、优化仓储物流等各项举措，最终实现全方位提质增效。公司通过品牌授权模式，实现品牌平台化</w:t>
            </w:r>
            <w:r>
              <w:rPr>
                <w:rFonts w:hint="eastAsia"/>
                <w:sz w:val="24"/>
                <w:szCs w:val="24"/>
                <w:lang w:eastAsia="zh-CN"/>
              </w:rPr>
              <w:t>，</w:t>
            </w:r>
            <w:r>
              <w:rPr>
                <w:rFonts w:hint="eastAsia"/>
                <w:sz w:val="24"/>
                <w:szCs w:val="24"/>
                <w:lang w:val="en-US" w:eastAsia="zh-CN"/>
              </w:rPr>
              <w:t>打通从消费端到营销端到供应商的全数据链条。</w:t>
            </w:r>
            <w:r>
              <w:rPr>
                <w:rFonts w:hint="eastAsia"/>
                <w:sz w:val="24"/>
                <w:szCs w:val="24"/>
              </w:rPr>
              <w:t>公司通过对生产过程的全面梳理和优化，提高了资源配置效率，人效得到了显著提升，同时通过技术改造和工艺流程优化，设备利用率进一步提升。此外，公司通过深化标准化、精细化的培训和管理，员工的操作规范性和效率提高，有效提高产品良率。在供应链管理方面，公司持续强化供应链管理优势，通过供应商结构优化与提升议价能力等举措，实现采购成本有效管控。鹰牌公司有针对性地调整仓储布局，</w:t>
            </w:r>
            <w:r>
              <w:rPr>
                <w:rFonts w:hint="eastAsia"/>
                <w:sz w:val="24"/>
                <w:szCs w:val="24"/>
                <w:lang w:val="en-US" w:eastAsia="zh-CN"/>
              </w:rPr>
              <w:t>发展区域大商，</w:t>
            </w:r>
            <w:r>
              <w:rPr>
                <w:rFonts w:hint="eastAsia"/>
                <w:sz w:val="24"/>
                <w:szCs w:val="24"/>
              </w:rPr>
              <w:t>持续推进属地化生产、中心仓建设，通过集中管理和库存优化，降低物流成本，</w:t>
            </w:r>
            <w:r>
              <w:rPr>
                <w:rFonts w:hint="eastAsia"/>
                <w:sz w:val="24"/>
                <w:szCs w:val="24"/>
                <w:lang w:val="en-US" w:eastAsia="zh-CN"/>
              </w:rPr>
              <w:t>提高响应效率，</w:t>
            </w:r>
            <w:r>
              <w:rPr>
                <w:rFonts w:hint="eastAsia"/>
                <w:sz w:val="24"/>
                <w:szCs w:val="24"/>
              </w:rPr>
              <w:t>同时提高供应链运营效率，存货周转率处于行业领先水平。</w:t>
            </w:r>
          </w:p>
          <w:p w14:paraId="613BF1FF">
            <w:pPr>
              <w:widowControl/>
              <w:ind w:firstLine="480" w:firstLineChars="200"/>
              <w:jc w:val="left"/>
              <w:rPr>
                <w:rFonts w:hint="eastAsia"/>
                <w:sz w:val="24"/>
                <w:szCs w:val="24"/>
              </w:rPr>
            </w:pPr>
            <w:r>
              <w:rPr>
                <w:rFonts w:hint="eastAsia"/>
                <w:sz w:val="24"/>
                <w:szCs w:val="24"/>
              </w:rPr>
              <w:t>公司通过深化精细管理、发挥供应链优势，实现了降本增效和质量优化的双重目标，公司的经营成效不仅体现在财务指标的提升上，更体现在管理水平和竞争力的全面提升，为未来可持续健康发展奠定了坚实基础。</w:t>
            </w:r>
          </w:p>
          <w:p w14:paraId="41B55325">
            <w:pPr>
              <w:widowControl/>
              <w:ind w:firstLine="480" w:firstLineChars="200"/>
              <w:jc w:val="left"/>
              <w:rPr>
                <w:rFonts w:hint="eastAsia"/>
                <w:sz w:val="24"/>
                <w:szCs w:val="24"/>
              </w:rPr>
            </w:pPr>
          </w:p>
          <w:p w14:paraId="14FE3A8A">
            <w:pPr>
              <w:widowControl/>
              <w:ind w:firstLine="480" w:firstLineChars="200"/>
              <w:jc w:val="left"/>
              <w:rPr>
                <w:rFonts w:hint="default" w:eastAsia="宋体"/>
                <w:sz w:val="24"/>
                <w:szCs w:val="24"/>
                <w:lang w:val="en-US" w:eastAsia="zh-CN"/>
              </w:rPr>
            </w:pPr>
            <w:r>
              <w:rPr>
                <w:rFonts w:hint="eastAsia"/>
                <w:sz w:val="24"/>
                <w:szCs w:val="24"/>
              </w:rPr>
              <w:t>3、</w:t>
            </w:r>
            <w:r>
              <w:rPr>
                <w:rFonts w:hint="eastAsia"/>
                <w:sz w:val="24"/>
                <w:szCs w:val="24"/>
                <w:lang w:val="en-US" w:eastAsia="zh-CN"/>
              </w:rPr>
              <w:t>未来鹰牌公司是否会扩大产能？</w:t>
            </w:r>
          </w:p>
          <w:p w14:paraId="567FA6F3">
            <w:pPr>
              <w:widowControl/>
              <w:ind w:firstLine="480" w:firstLineChars="200"/>
              <w:jc w:val="left"/>
              <w:rPr>
                <w:rFonts w:hint="eastAsia"/>
                <w:sz w:val="24"/>
                <w:szCs w:val="24"/>
                <w:lang w:val="en-US" w:eastAsia="zh-CN"/>
              </w:rPr>
            </w:pPr>
            <w:r>
              <w:rPr>
                <w:rFonts w:hint="eastAsia"/>
                <w:sz w:val="24"/>
                <w:szCs w:val="24"/>
                <w:lang w:val="en-US" w:eastAsia="zh-CN"/>
              </w:rPr>
              <w:t>答：鹰牌公司将有针对性地调整仓储布局，持续推进属地化生产、中心仓建设，同时鹰牌公司将与制造能力处于行业领先地位的制造商合作打造联营工厂，通过输出核心技术、品牌标准、严格把控产品质量，深度挖掘供应链潜力，提升成本控制能力，提升产品运转效率，降低运输成本。</w:t>
            </w:r>
          </w:p>
          <w:p w14:paraId="42C1DCB9">
            <w:pPr>
              <w:widowControl/>
              <w:ind w:firstLine="480" w:firstLineChars="200"/>
              <w:jc w:val="left"/>
              <w:rPr>
                <w:rFonts w:hint="default"/>
                <w:sz w:val="24"/>
                <w:szCs w:val="24"/>
                <w:lang w:val="en-US" w:eastAsia="zh-CN"/>
              </w:rPr>
            </w:pPr>
          </w:p>
          <w:p w14:paraId="7001A864">
            <w:pPr>
              <w:widowControl/>
              <w:ind w:firstLine="480" w:firstLineChars="200"/>
              <w:jc w:val="left"/>
              <w:rPr>
                <w:rFonts w:hint="default"/>
                <w:sz w:val="24"/>
                <w:szCs w:val="24"/>
                <w:lang w:val="en-US" w:eastAsia="zh-CN"/>
              </w:rPr>
            </w:pPr>
            <w:r>
              <w:rPr>
                <w:rFonts w:hint="default"/>
                <w:sz w:val="24"/>
                <w:szCs w:val="24"/>
                <w:lang w:val="en-US" w:eastAsia="zh-CN"/>
              </w:rPr>
              <w:t>4、</w:t>
            </w:r>
            <w:r>
              <w:rPr>
                <w:rFonts w:hint="eastAsia"/>
                <w:sz w:val="24"/>
                <w:szCs w:val="24"/>
                <w:lang w:val="en-US" w:eastAsia="zh-CN"/>
              </w:rPr>
              <w:t>未来公司是否会继续深化出海战略？</w:t>
            </w:r>
          </w:p>
          <w:p w14:paraId="460DA954">
            <w:pPr>
              <w:widowControl/>
              <w:ind w:firstLine="480" w:firstLineChars="200"/>
              <w:jc w:val="left"/>
              <w:rPr>
                <w:rFonts w:hint="default"/>
                <w:sz w:val="24"/>
                <w:szCs w:val="24"/>
                <w:lang w:val="en-US" w:eastAsia="zh-CN"/>
              </w:rPr>
            </w:pPr>
            <w:r>
              <w:rPr>
                <w:rFonts w:hint="default"/>
                <w:sz w:val="24"/>
                <w:szCs w:val="24"/>
                <w:lang w:val="en-US" w:eastAsia="zh-CN"/>
              </w:rPr>
              <w:t>答：公司将继续深化国际合作，拓展全球市场，致力于在家居建材生产力相对落后的经济发达地区实现技术、服务、品牌出海，实现从区域化发展向全球化布局的跨越式发展，打造具有全球竞争力的泛家居品牌。</w:t>
            </w:r>
          </w:p>
          <w:p w14:paraId="49097517">
            <w:pPr>
              <w:widowControl/>
              <w:ind w:firstLine="480" w:firstLineChars="200"/>
              <w:jc w:val="left"/>
              <w:rPr>
                <w:rFonts w:hint="default"/>
                <w:sz w:val="24"/>
                <w:szCs w:val="24"/>
                <w:lang w:val="en-US" w:eastAsia="zh-CN"/>
              </w:rPr>
            </w:pPr>
          </w:p>
          <w:p w14:paraId="289C3E4A">
            <w:pPr>
              <w:widowControl/>
              <w:ind w:firstLine="480" w:firstLineChars="200"/>
              <w:jc w:val="left"/>
              <w:rPr>
                <w:rFonts w:hint="default"/>
                <w:sz w:val="24"/>
                <w:szCs w:val="24"/>
                <w:lang w:val="en-US" w:eastAsia="zh-CN"/>
              </w:rPr>
            </w:pPr>
            <w:r>
              <w:rPr>
                <w:rFonts w:hint="default"/>
                <w:sz w:val="24"/>
                <w:szCs w:val="24"/>
                <w:lang w:val="en-US" w:eastAsia="zh-CN"/>
              </w:rPr>
              <w:t>5、</w:t>
            </w:r>
            <w:r>
              <w:rPr>
                <w:rFonts w:hint="eastAsia"/>
                <w:sz w:val="24"/>
                <w:szCs w:val="24"/>
                <w:lang w:val="en-US" w:eastAsia="zh-CN"/>
              </w:rPr>
              <w:t>公司下一步是否有其他的并购计划？</w:t>
            </w:r>
          </w:p>
          <w:p w14:paraId="38F458A4">
            <w:pPr>
              <w:widowControl/>
              <w:ind w:firstLine="480" w:firstLineChars="200"/>
              <w:jc w:val="left"/>
              <w:rPr>
                <w:rFonts w:hint="default"/>
                <w:sz w:val="24"/>
                <w:szCs w:val="24"/>
                <w:lang w:val="en-US" w:eastAsia="zh-CN"/>
              </w:rPr>
            </w:pPr>
            <w:r>
              <w:rPr>
                <w:rFonts w:hint="default"/>
                <w:sz w:val="24"/>
                <w:szCs w:val="24"/>
                <w:lang w:val="en-US" w:eastAsia="zh-CN"/>
              </w:rPr>
              <w:t>答：</w:t>
            </w:r>
            <w:r>
              <w:rPr>
                <w:rFonts w:hint="eastAsia"/>
                <w:sz w:val="24"/>
                <w:szCs w:val="24"/>
                <w:lang w:val="en-US" w:eastAsia="zh-CN"/>
              </w:rPr>
              <w:t>目前公司的经营重心在于提高既有的泛家居产业链的转化效果。</w:t>
            </w:r>
            <w:r>
              <w:rPr>
                <w:rFonts w:hint="default"/>
                <w:sz w:val="24"/>
                <w:szCs w:val="24"/>
                <w:lang w:val="en-US" w:eastAsia="zh-CN"/>
              </w:rPr>
              <w:t>公司</w:t>
            </w:r>
            <w:r>
              <w:rPr>
                <w:rFonts w:hint="eastAsia"/>
                <w:sz w:val="24"/>
                <w:szCs w:val="24"/>
                <w:lang w:val="en-US" w:eastAsia="zh-CN"/>
              </w:rPr>
              <w:t>将</w:t>
            </w:r>
            <w:r>
              <w:rPr>
                <w:rFonts w:hint="default"/>
                <w:sz w:val="24"/>
                <w:szCs w:val="24"/>
                <w:lang w:val="en-US" w:eastAsia="zh-CN"/>
              </w:rPr>
              <w:t>立足建筑陶瓷和饰面材料两大基业，通过材料板块与EPC板块相互赋能，以终端整装需求带动对前端建材产品的销售提量，全面构建材料端技术领先、产业链闭环融合、各子公司各业务板块关联度极强的泛家居生态圈，以强化集团产业链优势增量，不断优化资源配置，寻求新的业绩增长点，推动公司高质量发展。</w:t>
            </w:r>
            <w:r>
              <w:rPr>
                <w:rFonts w:hint="eastAsia"/>
                <w:sz w:val="24"/>
                <w:szCs w:val="24"/>
                <w:lang w:val="en-US" w:eastAsia="zh-CN"/>
              </w:rPr>
              <w:t>公司将积极拥抱前沿技术和产业，未来，公司不排除通过并购、自研等方式开拓渠道和市场，引进更多先进的技术、人才、品牌，拓宽产业领域。</w:t>
            </w:r>
            <w:bookmarkStart w:id="0" w:name="_GoBack"/>
            <w:bookmarkEnd w:id="0"/>
          </w:p>
          <w:p w14:paraId="61BB737E">
            <w:pPr>
              <w:widowControl/>
              <w:ind w:firstLine="480" w:firstLineChars="200"/>
              <w:jc w:val="left"/>
              <w:rPr>
                <w:rFonts w:hint="default"/>
                <w:sz w:val="24"/>
                <w:szCs w:val="24"/>
                <w:lang w:val="en-US" w:eastAsia="zh-CN"/>
              </w:rPr>
            </w:pPr>
          </w:p>
          <w:p w14:paraId="74C3159F">
            <w:pPr>
              <w:widowControl/>
              <w:ind w:firstLine="480" w:firstLineChars="200"/>
              <w:jc w:val="left"/>
              <w:rPr>
                <w:rFonts w:hint="default"/>
                <w:sz w:val="24"/>
                <w:szCs w:val="24"/>
                <w:lang w:val="en-US" w:eastAsia="zh-CN"/>
              </w:rPr>
            </w:pPr>
            <w:r>
              <w:rPr>
                <w:rFonts w:hint="default"/>
                <w:sz w:val="24"/>
                <w:szCs w:val="24"/>
                <w:lang w:val="en-US" w:eastAsia="zh-CN"/>
              </w:rPr>
              <w:t>6、</w:t>
            </w:r>
            <w:r>
              <w:rPr>
                <w:rFonts w:hint="eastAsia"/>
                <w:sz w:val="24"/>
                <w:szCs w:val="24"/>
                <w:lang w:val="en-US" w:eastAsia="zh-CN"/>
              </w:rPr>
              <w:t>请介绍一下公司在装配式公装领域的布局情况。</w:t>
            </w:r>
          </w:p>
          <w:p w14:paraId="268A51D9">
            <w:pPr>
              <w:widowControl/>
              <w:ind w:firstLine="480" w:firstLineChars="200"/>
              <w:jc w:val="left"/>
              <w:rPr>
                <w:rFonts w:hint="default"/>
                <w:sz w:val="24"/>
                <w:szCs w:val="24"/>
                <w:lang w:val="en-US" w:eastAsia="zh-CN"/>
              </w:rPr>
            </w:pPr>
            <w:r>
              <w:rPr>
                <w:rFonts w:hint="default"/>
                <w:sz w:val="24"/>
                <w:szCs w:val="24"/>
                <w:lang w:val="en-US" w:eastAsia="zh-CN"/>
              </w:rPr>
              <w:t>答：天安新材坚持泛家居发展战略，近年来通过内生增长以及收并购，推动公司业务点线面体多维发展，以多品牌多渠道多品类产品，逐步实现从材料供应商转型为环保艺术空间综合服务商，打造闭环的家居产业生态圈。</w:t>
            </w:r>
            <w:r>
              <w:rPr>
                <w:rFonts w:hint="eastAsia"/>
                <w:sz w:val="24"/>
                <w:szCs w:val="24"/>
                <w:lang w:val="en-US" w:eastAsia="zh-CN"/>
              </w:rPr>
              <w:t>2024年</w:t>
            </w:r>
            <w:r>
              <w:rPr>
                <w:rFonts w:hint="default"/>
                <w:sz w:val="24"/>
                <w:szCs w:val="24"/>
                <w:lang w:val="en-US" w:eastAsia="zh-CN"/>
              </w:rPr>
              <w:t>，公司通过收购南方设计院、参股佛山隽业，布局EPC公装领域。公司通过收购南方设计院，泛家居战略布局实现产业链闭环，补强公司建筑设计和室内装饰等业务范围，丰富公司触达终端市场的切入点，为公司向装配式内装EPC和健康人居品牌的方向发展提供助力，实现为客户提供高性价比一站式环保、艺术空间解决方案；公司通过参股佛山隽业，进一步完善泛家居产业链生态圈，构建装配式公装的重要输出端口，整合国企优质资源，打开公装市场渠道，紧抓旧城改造、城市更新、保障性住房等政策窗口期，把握市场机遇，提高在公共建筑装饰领域的综合竞争力，打通公司各板块产业链条。在装配式公装领域，公司实现了从建筑设计、建筑施工、室内整装到建材材料的全产业链闭环。天汇建科经营管理团队基于装配式集成整装技术，在医疗空间旧改领域积累了丰富的研发经验及项目交付案例，该技术体系通过标准化作业流程实现成本优化与工期压缩，在确保建筑空间持续运营的前提下完成品质化改造，兼具设计美学表现、施工质量管控与环保标准达成的综合效能。天汇建科以全专业技术能力，完成了医疗空间内装总承包核心竞争力的自研技术和护城河搭建。</w:t>
            </w:r>
          </w:p>
          <w:p w14:paraId="7BE39DC3">
            <w:pPr>
              <w:widowControl/>
              <w:ind w:firstLine="480" w:firstLineChars="200"/>
              <w:jc w:val="left"/>
              <w:rPr>
                <w:rFonts w:hint="default"/>
                <w:sz w:val="24"/>
                <w:szCs w:val="24"/>
                <w:lang w:val="en-US" w:eastAsia="zh-CN"/>
              </w:rPr>
            </w:pPr>
          </w:p>
          <w:p w14:paraId="62CC3A7A">
            <w:pPr>
              <w:widowControl/>
              <w:ind w:firstLine="480" w:firstLineChars="200"/>
              <w:jc w:val="left"/>
              <w:rPr>
                <w:rFonts w:hint="default"/>
                <w:sz w:val="24"/>
                <w:szCs w:val="24"/>
                <w:lang w:val="en-US" w:eastAsia="zh-CN"/>
              </w:rPr>
            </w:pPr>
            <w:r>
              <w:rPr>
                <w:rFonts w:hint="default"/>
                <w:sz w:val="24"/>
                <w:szCs w:val="24"/>
                <w:lang w:val="en-US" w:eastAsia="zh-CN"/>
              </w:rPr>
              <w:t>7、</w:t>
            </w:r>
            <w:r>
              <w:rPr>
                <w:rFonts w:hint="eastAsia"/>
                <w:sz w:val="24"/>
                <w:szCs w:val="24"/>
                <w:lang w:val="en-US" w:eastAsia="zh-CN"/>
              </w:rPr>
              <w:t>公司将如何加强EPC板块和材料板块的关联度？</w:t>
            </w:r>
          </w:p>
          <w:p w14:paraId="29BA0219">
            <w:pPr>
              <w:widowControl/>
              <w:ind w:firstLine="480" w:firstLineChars="200"/>
              <w:jc w:val="left"/>
              <w:rPr>
                <w:rFonts w:hint="default"/>
                <w:sz w:val="24"/>
                <w:szCs w:val="24"/>
                <w:lang w:val="en-US" w:eastAsia="zh-CN"/>
              </w:rPr>
            </w:pPr>
            <w:r>
              <w:rPr>
                <w:rFonts w:hint="default"/>
                <w:sz w:val="24"/>
                <w:szCs w:val="24"/>
                <w:lang w:val="en-US" w:eastAsia="zh-CN"/>
              </w:rPr>
              <w:t>答：未来公司将继续坚持泛家居发展战略，立足建筑陶瓷和饰面材料两大基业，以科技创新驱动产业升级，以产业链资源优势推动材料板块与EPC板块的协同发展。2025年，公司将秉承“健康家，天安造”的核心理念，全面推进战略发展。在佛山核心地段，公司将以装配式内装技术打造符合国际LEED和WELL双认证标准的城市会客厅，充分利用产业链优势，集中展示从建筑设计、建筑施工、室内整装到建材材料的全产业链生态圈，通过装配式内装技术的创新应用，充分践行绿色建筑理念。同时，公司将加大对新质生产力的投入，全面构建材料端技术领先、产业链闭环融合、各子公司各业务板块关联度极强的泛家居生态圈。</w:t>
            </w:r>
          </w:p>
          <w:p w14:paraId="2F9B106C">
            <w:pPr>
              <w:widowControl/>
              <w:ind w:firstLine="480" w:firstLineChars="200"/>
              <w:jc w:val="left"/>
              <w:rPr>
                <w:rFonts w:hint="default"/>
                <w:sz w:val="24"/>
                <w:szCs w:val="24"/>
                <w:lang w:val="en-US" w:eastAsia="zh-CN"/>
              </w:rPr>
            </w:pPr>
          </w:p>
          <w:p w14:paraId="72B7CDC3">
            <w:pPr>
              <w:widowControl/>
              <w:ind w:firstLine="480" w:firstLineChars="200"/>
              <w:jc w:val="left"/>
              <w:rPr>
                <w:rFonts w:hint="default"/>
                <w:sz w:val="24"/>
                <w:szCs w:val="24"/>
                <w:lang w:val="en-US" w:eastAsia="zh-CN"/>
              </w:rPr>
            </w:pPr>
            <w:r>
              <w:rPr>
                <w:rFonts w:hint="default"/>
                <w:sz w:val="24"/>
                <w:szCs w:val="24"/>
                <w:lang w:val="en-US" w:eastAsia="zh-CN"/>
              </w:rPr>
              <w:t>8、</w:t>
            </w:r>
            <w:r>
              <w:rPr>
                <w:rFonts w:hint="eastAsia"/>
                <w:sz w:val="24"/>
                <w:szCs w:val="24"/>
                <w:lang w:val="en-US" w:eastAsia="zh-CN"/>
              </w:rPr>
              <w:t>2024年公司实施了股份回购，用于员工股权激励的比例有多大？</w:t>
            </w:r>
          </w:p>
          <w:p w14:paraId="31AC1EB6">
            <w:pPr>
              <w:widowControl/>
              <w:ind w:firstLine="480" w:firstLineChars="200"/>
              <w:jc w:val="left"/>
              <w:rPr>
                <w:sz w:val="24"/>
                <w:szCs w:val="24"/>
              </w:rPr>
            </w:pPr>
            <w:r>
              <w:rPr>
                <w:rFonts w:hint="default"/>
                <w:sz w:val="24"/>
                <w:szCs w:val="24"/>
                <w:lang w:val="en-US" w:eastAsia="zh-CN"/>
              </w:rPr>
              <w:t>答：2024年</w:t>
            </w:r>
            <w:r>
              <w:rPr>
                <w:rFonts w:hint="eastAsia"/>
                <w:sz w:val="24"/>
                <w:szCs w:val="24"/>
                <w:lang w:val="en-US" w:eastAsia="zh-CN"/>
              </w:rPr>
              <w:t>公司</w:t>
            </w:r>
            <w:r>
              <w:rPr>
                <w:rFonts w:hint="default"/>
                <w:sz w:val="24"/>
                <w:szCs w:val="24"/>
                <w:lang w:val="en-US" w:eastAsia="zh-CN"/>
              </w:rPr>
              <w:t>以现金为对价，采用集中竞价方式实施的股份回购金额合计3,002.76万元</w:t>
            </w:r>
            <w:r>
              <w:rPr>
                <w:rFonts w:hint="eastAsia"/>
                <w:sz w:val="24"/>
                <w:szCs w:val="24"/>
                <w:lang w:val="en-US" w:eastAsia="zh-CN"/>
              </w:rPr>
              <w:t>，其中</w:t>
            </w:r>
            <w:r>
              <w:rPr>
                <w:rFonts w:hint="default"/>
                <w:sz w:val="24"/>
                <w:szCs w:val="24"/>
                <w:lang w:val="en-US" w:eastAsia="zh-CN"/>
              </w:rPr>
              <w:t>不低于人民币1,000万元（含）、不超过人民币2,000万元（含）用于维护公司价值及股东权益所必需（出售），剩余股份将用于股权激励或员工持股计划</w:t>
            </w:r>
            <w:r>
              <w:rPr>
                <w:rFonts w:hint="eastAsia"/>
                <w:sz w:val="24"/>
                <w:szCs w:val="24"/>
                <w:lang w:val="en-US" w:eastAsia="zh-CN"/>
              </w:rPr>
              <w:t>。</w:t>
            </w:r>
            <w:r>
              <w:rPr>
                <w:sz w:val="24"/>
                <w:szCs w:val="24"/>
              </w:rPr>
              <w:t xml:space="preserve"> </w:t>
            </w:r>
          </w:p>
          <w:p w14:paraId="12B6FFE8">
            <w:pPr>
              <w:widowControl/>
              <w:jc w:val="left"/>
              <w:rPr>
                <w:sz w:val="24"/>
                <w:szCs w:val="24"/>
              </w:rPr>
            </w:pPr>
          </w:p>
        </w:tc>
      </w:tr>
      <w:tr w14:paraId="623B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shd w:val="clear" w:color="auto" w:fill="auto"/>
            <w:vAlign w:val="center"/>
          </w:tcPr>
          <w:p w14:paraId="2CBAFEF1">
            <w:pPr>
              <w:spacing w:line="480" w:lineRule="atLeast"/>
              <w:rPr>
                <w:rFonts w:hint="eastAsia" w:ascii="宋体" w:hAnsi="宋体"/>
                <w:b/>
                <w:bCs/>
                <w:iCs/>
                <w:sz w:val="24"/>
                <w:szCs w:val="24"/>
              </w:rPr>
            </w:pPr>
            <w:r>
              <w:rPr>
                <w:rFonts w:hint="eastAsia" w:ascii="宋体" w:hAnsi="宋体"/>
                <w:b/>
                <w:bCs/>
                <w:iCs/>
                <w:sz w:val="24"/>
                <w:szCs w:val="24"/>
              </w:rPr>
              <w:t>附件清单</w:t>
            </w:r>
          </w:p>
          <w:p w14:paraId="14C10D9E">
            <w:pPr>
              <w:spacing w:line="480" w:lineRule="atLeast"/>
              <w:rPr>
                <w:rFonts w:hint="eastAsia" w:ascii="宋体" w:hAnsi="宋体"/>
                <w:b/>
                <w:bCs/>
                <w:iCs/>
                <w:sz w:val="24"/>
                <w:szCs w:val="24"/>
              </w:rPr>
            </w:pPr>
            <w:r>
              <w:rPr>
                <w:rFonts w:hint="eastAsia" w:ascii="宋体" w:hAnsi="宋体"/>
                <w:b/>
                <w:bCs/>
                <w:iCs/>
                <w:sz w:val="24"/>
                <w:szCs w:val="24"/>
              </w:rPr>
              <w:t>（如有）</w:t>
            </w:r>
          </w:p>
        </w:tc>
        <w:tc>
          <w:tcPr>
            <w:tcW w:w="5943" w:type="dxa"/>
            <w:shd w:val="clear" w:color="auto" w:fill="auto"/>
          </w:tcPr>
          <w:p w14:paraId="4D3415FA">
            <w:pPr>
              <w:spacing w:line="480" w:lineRule="atLeast"/>
              <w:rPr>
                <w:rFonts w:hint="eastAsia" w:ascii="宋体" w:hAnsi="宋体"/>
                <w:bCs/>
                <w:iCs/>
                <w:sz w:val="24"/>
                <w:szCs w:val="24"/>
              </w:rPr>
            </w:pPr>
            <w:r>
              <w:rPr>
                <w:rFonts w:ascii="宋体" w:hAnsi="宋体"/>
                <w:bCs/>
                <w:iCs/>
                <w:sz w:val="24"/>
                <w:szCs w:val="24"/>
              </w:rPr>
              <w:t>无</w:t>
            </w:r>
          </w:p>
        </w:tc>
      </w:tr>
      <w:tr w14:paraId="719A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shd w:val="clear" w:color="auto" w:fill="auto"/>
            <w:vAlign w:val="center"/>
          </w:tcPr>
          <w:p w14:paraId="32A9BB6F">
            <w:pPr>
              <w:spacing w:line="480" w:lineRule="atLeast"/>
              <w:rPr>
                <w:rFonts w:hint="eastAsia" w:ascii="宋体" w:hAnsi="宋体"/>
                <w:b/>
                <w:bCs/>
                <w:iCs/>
                <w:sz w:val="24"/>
                <w:szCs w:val="24"/>
              </w:rPr>
            </w:pPr>
            <w:r>
              <w:rPr>
                <w:rFonts w:hint="eastAsia" w:ascii="宋体" w:hAnsi="宋体"/>
                <w:b/>
                <w:bCs/>
                <w:iCs/>
                <w:sz w:val="24"/>
                <w:szCs w:val="24"/>
              </w:rPr>
              <w:t>日期</w:t>
            </w:r>
          </w:p>
        </w:tc>
        <w:tc>
          <w:tcPr>
            <w:tcW w:w="5943" w:type="dxa"/>
            <w:shd w:val="clear" w:color="auto" w:fill="auto"/>
          </w:tcPr>
          <w:p w14:paraId="3488726F">
            <w:pPr>
              <w:spacing w:line="480" w:lineRule="atLeast"/>
              <w:rPr>
                <w:rFonts w:hint="eastAsia" w:ascii="宋体" w:hAnsi="宋体"/>
                <w:bCs/>
                <w:iCs/>
                <w:sz w:val="24"/>
                <w:szCs w:val="24"/>
              </w:rPr>
            </w:pPr>
            <w:r>
              <w:rPr>
                <w:rFonts w:hint="eastAsia" w:ascii="宋体" w:hAnsi="宋体"/>
                <w:bCs/>
                <w:iCs/>
                <w:sz w:val="24"/>
                <w:szCs w:val="24"/>
              </w:rPr>
              <w:t>2025年4月</w:t>
            </w:r>
            <w:r>
              <w:rPr>
                <w:rFonts w:hint="eastAsia" w:ascii="宋体" w:hAnsi="宋体"/>
                <w:bCs/>
                <w:iCs/>
                <w:sz w:val="24"/>
                <w:szCs w:val="24"/>
                <w:lang w:val="en-US" w:eastAsia="zh-CN"/>
              </w:rPr>
              <w:t>21</w:t>
            </w:r>
            <w:r>
              <w:rPr>
                <w:rFonts w:hint="eastAsia" w:ascii="宋体" w:hAnsi="宋体"/>
                <w:bCs/>
                <w:iCs/>
                <w:sz w:val="24"/>
                <w:szCs w:val="24"/>
              </w:rPr>
              <w:t>日</w:t>
            </w:r>
          </w:p>
        </w:tc>
      </w:tr>
    </w:tbl>
    <w:p w14:paraId="5B12D23E"/>
    <w:sectPr>
      <w:headerReference r:id="rId3" w:type="default"/>
      <w:pgSz w:w="11907" w:h="16839"/>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392EF">
    <w:pPr>
      <w:pStyle w:val="4"/>
      <w:rPr>
        <w:rFonts w:hint="eastAsia" w:ascii="宋体" w:hAnsi="宋体"/>
        <w:bCs/>
        <w:iCs/>
        <w:sz w:val="21"/>
        <w:szCs w:val="21"/>
      </w:rPr>
    </w:pPr>
    <w:r>
      <w:rPr>
        <w:rFonts w:hint="eastAsia" w:ascii="宋体" w:hAnsi="宋体"/>
        <w:bCs/>
        <w:iCs/>
        <w:sz w:val="21"/>
        <w:szCs w:val="21"/>
      </w:rPr>
      <w:t>证券代码：60</w:t>
    </w:r>
    <w:r>
      <w:rPr>
        <w:rFonts w:ascii="宋体" w:hAnsi="宋体"/>
        <w:bCs/>
        <w:iCs/>
        <w:sz w:val="21"/>
        <w:szCs w:val="21"/>
      </w:rPr>
      <w:t>3</w:t>
    </w:r>
    <w:r>
      <w:rPr>
        <w:rFonts w:hint="eastAsia" w:ascii="宋体" w:hAnsi="宋体"/>
        <w:bCs/>
        <w:iCs/>
        <w:sz w:val="21"/>
        <w:szCs w:val="21"/>
      </w:rPr>
      <w:t xml:space="preserve">725  </w:t>
    </w:r>
    <w:r>
      <w:rPr>
        <w:rFonts w:ascii="宋体" w:hAnsi="宋体"/>
        <w:bCs/>
        <w:iCs/>
        <w:sz w:val="21"/>
        <w:szCs w:val="21"/>
      </w:rPr>
      <w:t xml:space="preserve">                         </w:t>
    </w:r>
    <w:r>
      <w:rPr>
        <w:rFonts w:hint="eastAsia" w:ascii="宋体" w:hAnsi="宋体"/>
        <w:bCs/>
        <w:iCs/>
        <w:sz w:val="21"/>
        <w:szCs w:val="21"/>
      </w:rPr>
      <w:t xml:space="preserve">         证券简称：天安新材</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A57A49"/>
    <w:multiLevelType w:val="multilevel"/>
    <w:tmpl w:val="5CA57A49"/>
    <w:lvl w:ilvl="0" w:tentative="0">
      <w:start w:val="1"/>
      <w:numFmt w:val="japaneseCounting"/>
      <w:lvlText w:val="%1、"/>
      <w:lvlJc w:val="left"/>
      <w:pPr>
        <w:ind w:left="510" w:hanging="51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8"/>
    <w:rsid w:val="000157FD"/>
    <w:rsid w:val="000245CA"/>
    <w:rsid w:val="000450A9"/>
    <w:rsid w:val="00063073"/>
    <w:rsid w:val="000754B4"/>
    <w:rsid w:val="0007568B"/>
    <w:rsid w:val="00080F2B"/>
    <w:rsid w:val="000849BA"/>
    <w:rsid w:val="000A31DA"/>
    <w:rsid w:val="000A79FB"/>
    <w:rsid w:val="000A7E4A"/>
    <w:rsid w:val="000B1C14"/>
    <w:rsid w:val="000B75A7"/>
    <w:rsid w:val="000D00C7"/>
    <w:rsid w:val="000D3A79"/>
    <w:rsid w:val="000D56FE"/>
    <w:rsid w:val="000F18AF"/>
    <w:rsid w:val="000F4DD6"/>
    <w:rsid w:val="001024E5"/>
    <w:rsid w:val="00106147"/>
    <w:rsid w:val="00113B34"/>
    <w:rsid w:val="00130C40"/>
    <w:rsid w:val="001337F9"/>
    <w:rsid w:val="0013500E"/>
    <w:rsid w:val="001439BE"/>
    <w:rsid w:val="00143F94"/>
    <w:rsid w:val="001502E6"/>
    <w:rsid w:val="00155B3C"/>
    <w:rsid w:val="001722F3"/>
    <w:rsid w:val="00173E13"/>
    <w:rsid w:val="00174F18"/>
    <w:rsid w:val="00175757"/>
    <w:rsid w:val="00192E4E"/>
    <w:rsid w:val="00194834"/>
    <w:rsid w:val="001A467E"/>
    <w:rsid w:val="001B1A53"/>
    <w:rsid w:val="001C3480"/>
    <w:rsid w:val="001C6A4B"/>
    <w:rsid w:val="001D2DB1"/>
    <w:rsid w:val="001D369A"/>
    <w:rsid w:val="001D3916"/>
    <w:rsid w:val="001D4AAE"/>
    <w:rsid w:val="001D6BFE"/>
    <w:rsid w:val="001F10A8"/>
    <w:rsid w:val="001F4DDD"/>
    <w:rsid w:val="00214491"/>
    <w:rsid w:val="00220AEA"/>
    <w:rsid w:val="00225393"/>
    <w:rsid w:val="002312D7"/>
    <w:rsid w:val="00231727"/>
    <w:rsid w:val="00232BC1"/>
    <w:rsid w:val="00246187"/>
    <w:rsid w:val="0025317F"/>
    <w:rsid w:val="00273315"/>
    <w:rsid w:val="002C5EEF"/>
    <w:rsid w:val="002D1265"/>
    <w:rsid w:val="002D200D"/>
    <w:rsid w:val="002D39A7"/>
    <w:rsid w:val="002D7DA7"/>
    <w:rsid w:val="003063E5"/>
    <w:rsid w:val="00312F15"/>
    <w:rsid w:val="00320994"/>
    <w:rsid w:val="003262D5"/>
    <w:rsid w:val="00333001"/>
    <w:rsid w:val="0033336C"/>
    <w:rsid w:val="00340B1B"/>
    <w:rsid w:val="0035062B"/>
    <w:rsid w:val="00352F7F"/>
    <w:rsid w:val="003542D7"/>
    <w:rsid w:val="00371229"/>
    <w:rsid w:val="00374563"/>
    <w:rsid w:val="00395D4D"/>
    <w:rsid w:val="003B1E53"/>
    <w:rsid w:val="003B5E23"/>
    <w:rsid w:val="003E102C"/>
    <w:rsid w:val="003E2689"/>
    <w:rsid w:val="003E59F4"/>
    <w:rsid w:val="003F122F"/>
    <w:rsid w:val="003F4018"/>
    <w:rsid w:val="003F43A4"/>
    <w:rsid w:val="003F4561"/>
    <w:rsid w:val="00404F68"/>
    <w:rsid w:val="00415156"/>
    <w:rsid w:val="004425B5"/>
    <w:rsid w:val="00444B9F"/>
    <w:rsid w:val="00465489"/>
    <w:rsid w:val="00474FCD"/>
    <w:rsid w:val="0047613C"/>
    <w:rsid w:val="00497936"/>
    <w:rsid w:val="004B1A37"/>
    <w:rsid w:val="004B1BED"/>
    <w:rsid w:val="004D363E"/>
    <w:rsid w:val="004E2B0F"/>
    <w:rsid w:val="004F55D1"/>
    <w:rsid w:val="004F612C"/>
    <w:rsid w:val="00512B00"/>
    <w:rsid w:val="005266F5"/>
    <w:rsid w:val="005275C3"/>
    <w:rsid w:val="00532CF0"/>
    <w:rsid w:val="0054754D"/>
    <w:rsid w:val="00547B0C"/>
    <w:rsid w:val="00550366"/>
    <w:rsid w:val="00572AFC"/>
    <w:rsid w:val="005736DE"/>
    <w:rsid w:val="00575FE1"/>
    <w:rsid w:val="005821BB"/>
    <w:rsid w:val="005846A6"/>
    <w:rsid w:val="0058766F"/>
    <w:rsid w:val="0059105E"/>
    <w:rsid w:val="005A47A2"/>
    <w:rsid w:val="005B17F9"/>
    <w:rsid w:val="005C77BC"/>
    <w:rsid w:val="005D293A"/>
    <w:rsid w:val="005E7547"/>
    <w:rsid w:val="005F359B"/>
    <w:rsid w:val="005F503A"/>
    <w:rsid w:val="00611486"/>
    <w:rsid w:val="00612EFB"/>
    <w:rsid w:val="0061358F"/>
    <w:rsid w:val="00613C16"/>
    <w:rsid w:val="00627797"/>
    <w:rsid w:val="00640A3C"/>
    <w:rsid w:val="00642CF8"/>
    <w:rsid w:val="00645FCE"/>
    <w:rsid w:val="006468F7"/>
    <w:rsid w:val="00654A0F"/>
    <w:rsid w:val="00667A84"/>
    <w:rsid w:val="00684FFB"/>
    <w:rsid w:val="00686ADF"/>
    <w:rsid w:val="006870FD"/>
    <w:rsid w:val="006C0777"/>
    <w:rsid w:val="006C2175"/>
    <w:rsid w:val="006D524A"/>
    <w:rsid w:val="006D58E8"/>
    <w:rsid w:val="006E7E43"/>
    <w:rsid w:val="006F0CFA"/>
    <w:rsid w:val="006F0D58"/>
    <w:rsid w:val="006F5D79"/>
    <w:rsid w:val="0072048B"/>
    <w:rsid w:val="00736D7F"/>
    <w:rsid w:val="00752C09"/>
    <w:rsid w:val="00762AF4"/>
    <w:rsid w:val="00774DCC"/>
    <w:rsid w:val="00775F2E"/>
    <w:rsid w:val="007819D5"/>
    <w:rsid w:val="00786334"/>
    <w:rsid w:val="00786BC2"/>
    <w:rsid w:val="007919B0"/>
    <w:rsid w:val="007A786C"/>
    <w:rsid w:val="007C57FF"/>
    <w:rsid w:val="007D371E"/>
    <w:rsid w:val="007E334D"/>
    <w:rsid w:val="007E6C40"/>
    <w:rsid w:val="00807DF7"/>
    <w:rsid w:val="00812FFA"/>
    <w:rsid w:val="00817A24"/>
    <w:rsid w:val="00821EFA"/>
    <w:rsid w:val="008403C3"/>
    <w:rsid w:val="00851660"/>
    <w:rsid w:val="00860925"/>
    <w:rsid w:val="0086439C"/>
    <w:rsid w:val="008713D8"/>
    <w:rsid w:val="00872CDE"/>
    <w:rsid w:val="0087466F"/>
    <w:rsid w:val="00877D67"/>
    <w:rsid w:val="00883B7B"/>
    <w:rsid w:val="008865DC"/>
    <w:rsid w:val="0089641D"/>
    <w:rsid w:val="008A0B53"/>
    <w:rsid w:val="008A17AA"/>
    <w:rsid w:val="008A7858"/>
    <w:rsid w:val="008B255D"/>
    <w:rsid w:val="008F1A7E"/>
    <w:rsid w:val="008F31B0"/>
    <w:rsid w:val="008F3A0C"/>
    <w:rsid w:val="0090042E"/>
    <w:rsid w:val="0091762C"/>
    <w:rsid w:val="009234B9"/>
    <w:rsid w:val="00923FA7"/>
    <w:rsid w:val="00941E2C"/>
    <w:rsid w:val="00947DE7"/>
    <w:rsid w:val="00957F83"/>
    <w:rsid w:val="009648A3"/>
    <w:rsid w:val="0098031D"/>
    <w:rsid w:val="009829C7"/>
    <w:rsid w:val="0099128B"/>
    <w:rsid w:val="00992438"/>
    <w:rsid w:val="00993947"/>
    <w:rsid w:val="009B06B8"/>
    <w:rsid w:val="009B0E89"/>
    <w:rsid w:val="009B52CC"/>
    <w:rsid w:val="009D6411"/>
    <w:rsid w:val="009E11A3"/>
    <w:rsid w:val="009F00AB"/>
    <w:rsid w:val="00A001F8"/>
    <w:rsid w:val="00A0553C"/>
    <w:rsid w:val="00A1617C"/>
    <w:rsid w:val="00A2592E"/>
    <w:rsid w:val="00A34AF5"/>
    <w:rsid w:val="00A374E6"/>
    <w:rsid w:val="00A37B2D"/>
    <w:rsid w:val="00A51181"/>
    <w:rsid w:val="00A607A4"/>
    <w:rsid w:val="00A60AEF"/>
    <w:rsid w:val="00A641FB"/>
    <w:rsid w:val="00A767D4"/>
    <w:rsid w:val="00A7755E"/>
    <w:rsid w:val="00A7759C"/>
    <w:rsid w:val="00A82C5F"/>
    <w:rsid w:val="00A8341B"/>
    <w:rsid w:val="00A90EC7"/>
    <w:rsid w:val="00A91C76"/>
    <w:rsid w:val="00AC0959"/>
    <w:rsid w:val="00AD039E"/>
    <w:rsid w:val="00AD0F41"/>
    <w:rsid w:val="00AE4E56"/>
    <w:rsid w:val="00AF0224"/>
    <w:rsid w:val="00AF7C3D"/>
    <w:rsid w:val="00AF7F31"/>
    <w:rsid w:val="00B0652E"/>
    <w:rsid w:val="00B07A7E"/>
    <w:rsid w:val="00B241D3"/>
    <w:rsid w:val="00B27C5C"/>
    <w:rsid w:val="00B352B6"/>
    <w:rsid w:val="00B37C8E"/>
    <w:rsid w:val="00B37D1E"/>
    <w:rsid w:val="00B504EB"/>
    <w:rsid w:val="00B54BB7"/>
    <w:rsid w:val="00B54D2F"/>
    <w:rsid w:val="00B65713"/>
    <w:rsid w:val="00B7542F"/>
    <w:rsid w:val="00BA1952"/>
    <w:rsid w:val="00BA1A55"/>
    <w:rsid w:val="00BA78D9"/>
    <w:rsid w:val="00BD0516"/>
    <w:rsid w:val="00BD096D"/>
    <w:rsid w:val="00BD2277"/>
    <w:rsid w:val="00C140EC"/>
    <w:rsid w:val="00C17D24"/>
    <w:rsid w:val="00C25E7A"/>
    <w:rsid w:val="00C44A3A"/>
    <w:rsid w:val="00C50940"/>
    <w:rsid w:val="00C52AF1"/>
    <w:rsid w:val="00C56033"/>
    <w:rsid w:val="00C65777"/>
    <w:rsid w:val="00C66E2E"/>
    <w:rsid w:val="00C73448"/>
    <w:rsid w:val="00C84344"/>
    <w:rsid w:val="00CB7B99"/>
    <w:rsid w:val="00CC384A"/>
    <w:rsid w:val="00CD4E73"/>
    <w:rsid w:val="00CD74DE"/>
    <w:rsid w:val="00CF19F9"/>
    <w:rsid w:val="00CF6EB7"/>
    <w:rsid w:val="00D13A50"/>
    <w:rsid w:val="00D1672D"/>
    <w:rsid w:val="00D239AB"/>
    <w:rsid w:val="00D25FC2"/>
    <w:rsid w:val="00D336F2"/>
    <w:rsid w:val="00D35953"/>
    <w:rsid w:val="00D35C2F"/>
    <w:rsid w:val="00D56E9D"/>
    <w:rsid w:val="00D66034"/>
    <w:rsid w:val="00D70F87"/>
    <w:rsid w:val="00D80003"/>
    <w:rsid w:val="00D87A9B"/>
    <w:rsid w:val="00DA1244"/>
    <w:rsid w:val="00DA214C"/>
    <w:rsid w:val="00DA75A1"/>
    <w:rsid w:val="00DB0AE8"/>
    <w:rsid w:val="00DC3BE2"/>
    <w:rsid w:val="00DC6C00"/>
    <w:rsid w:val="00DD2324"/>
    <w:rsid w:val="00DD4F16"/>
    <w:rsid w:val="00DF0471"/>
    <w:rsid w:val="00DF4543"/>
    <w:rsid w:val="00DF7207"/>
    <w:rsid w:val="00DF77E6"/>
    <w:rsid w:val="00E02D30"/>
    <w:rsid w:val="00E0677D"/>
    <w:rsid w:val="00E109A7"/>
    <w:rsid w:val="00E11054"/>
    <w:rsid w:val="00E1547C"/>
    <w:rsid w:val="00E40C1C"/>
    <w:rsid w:val="00E44458"/>
    <w:rsid w:val="00E50677"/>
    <w:rsid w:val="00E52047"/>
    <w:rsid w:val="00E62974"/>
    <w:rsid w:val="00E763EC"/>
    <w:rsid w:val="00E81BEF"/>
    <w:rsid w:val="00E84B35"/>
    <w:rsid w:val="00E906D5"/>
    <w:rsid w:val="00EC6CF7"/>
    <w:rsid w:val="00EF2C4F"/>
    <w:rsid w:val="00F006DC"/>
    <w:rsid w:val="00F069B6"/>
    <w:rsid w:val="00F24EE3"/>
    <w:rsid w:val="00F30B51"/>
    <w:rsid w:val="00F46166"/>
    <w:rsid w:val="00F54E81"/>
    <w:rsid w:val="00F564A0"/>
    <w:rsid w:val="00F60C0E"/>
    <w:rsid w:val="00F733B4"/>
    <w:rsid w:val="00F737B7"/>
    <w:rsid w:val="00F77FD2"/>
    <w:rsid w:val="00F82D1E"/>
    <w:rsid w:val="00F83012"/>
    <w:rsid w:val="00F83D23"/>
    <w:rsid w:val="00F85525"/>
    <w:rsid w:val="00F934AD"/>
    <w:rsid w:val="00FA3967"/>
    <w:rsid w:val="00FB5EE6"/>
    <w:rsid w:val="00FC29B2"/>
    <w:rsid w:val="00FC51E6"/>
    <w:rsid w:val="00FD03A8"/>
    <w:rsid w:val="00FD3B33"/>
    <w:rsid w:val="00FD68D8"/>
    <w:rsid w:val="00FF321C"/>
    <w:rsid w:val="01A87AFF"/>
    <w:rsid w:val="01AC619B"/>
    <w:rsid w:val="02BB6852"/>
    <w:rsid w:val="03536EC3"/>
    <w:rsid w:val="03681C3C"/>
    <w:rsid w:val="037B54CB"/>
    <w:rsid w:val="043B10FF"/>
    <w:rsid w:val="046425BE"/>
    <w:rsid w:val="04785EAF"/>
    <w:rsid w:val="04D806FC"/>
    <w:rsid w:val="05446477"/>
    <w:rsid w:val="05942874"/>
    <w:rsid w:val="068C65AB"/>
    <w:rsid w:val="073360BD"/>
    <w:rsid w:val="07397B77"/>
    <w:rsid w:val="074262C5"/>
    <w:rsid w:val="07697D31"/>
    <w:rsid w:val="079923C4"/>
    <w:rsid w:val="07A019A5"/>
    <w:rsid w:val="07A174CB"/>
    <w:rsid w:val="07C30AFD"/>
    <w:rsid w:val="07F7533D"/>
    <w:rsid w:val="08057A5A"/>
    <w:rsid w:val="08A74FB5"/>
    <w:rsid w:val="08C16076"/>
    <w:rsid w:val="08F24482"/>
    <w:rsid w:val="09075A53"/>
    <w:rsid w:val="091C4F8C"/>
    <w:rsid w:val="09436A8B"/>
    <w:rsid w:val="0973209F"/>
    <w:rsid w:val="098827C8"/>
    <w:rsid w:val="0A474359"/>
    <w:rsid w:val="0A6B58A5"/>
    <w:rsid w:val="0AB3379D"/>
    <w:rsid w:val="0B0D1E69"/>
    <w:rsid w:val="0C831895"/>
    <w:rsid w:val="0CC02A05"/>
    <w:rsid w:val="0CC5375D"/>
    <w:rsid w:val="0CDD0FA5"/>
    <w:rsid w:val="0D662534"/>
    <w:rsid w:val="0D763030"/>
    <w:rsid w:val="0D8C0298"/>
    <w:rsid w:val="0DCB0A0E"/>
    <w:rsid w:val="0E2D3866"/>
    <w:rsid w:val="0E682AF0"/>
    <w:rsid w:val="0F1D392A"/>
    <w:rsid w:val="0F5355AE"/>
    <w:rsid w:val="0F696B20"/>
    <w:rsid w:val="0FB5289B"/>
    <w:rsid w:val="0FBB2F4F"/>
    <w:rsid w:val="0FCE0E92"/>
    <w:rsid w:val="11AB1672"/>
    <w:rsid w:val="11B00A36"/>
    <w:rsid w:val="11DF30C9"/>
    <w:rsid w:val="12B27644"/>
    <w:rsid w:val="130D1EB8"/>
    <w:rsid w:val="150A2B53"/>
    <w:rsid w:val="15DB629E"/>
    <w:rsid w:val="16337E88"/>
    <w:rsid w:val="163D2AB4"/>
    <w:rsid w:val="16565924"/>
    <w:rsid w:val="165A3666"/>
    <w:rsid w:val="16836428"/>
    <w:rsid w:val="173043C7"/>
    <w:rsid w:val="17B9468F"/>
    <w:rsid w:val="17D82A95"/>
    <w:rsid w:val="18D55226"/>
    <w:rsid w:val="194D300E"/>
    <w:rsid w:val="19BD0194"/>
    <w:rsid w:val="1A3C637F"/>
    <w:rsid w:val="1AFF47DC"/>
    <w:rsid w:val="1B2B3823"/>
    <w:rsid w:val="1B3E5305"/>
    <w:rsid w:val="1B733202"/>
    <w:rsid w:val="1B8371BB"/>
    <w:rsid w:val="1C3B2397"/>
    <w:rsid w:val="1C6C5EA1"/>
    <w:rsid w:val="1CD51C99"/>
    <w:rsid w:val="1D3A5FA0"/>
    <w:rsid w:val="1EA062D6"/>
    <w:rsid w:val="1EB17343"/>
    <w:rsid w:val="1F6E1F30"/>
    <w:rsid w:val="1F8A78EA"/>
    <w:rsid w:val="20601879"/>
    <w:rsid w:val="20BB0071"/>
    <w:rsid w:val="20DF30E6"/>
    <w:rsid w:val="20F84E09"/>
    <w:rsid w:val="211C2557"/>
    <w:rsid w:val="21333432"/>
    <w:rsid w:val="22205764"/>
    <w:rsid w:val="2305495A"/>
    <w:rsid w:val="23137077"/>
    <w:rsid w:val="23AE6D9F"/>
    <w:rsid w:val="23B31F24"/>
    <w:rsid w:val="23CD7676"/>
    <w:rsid w:val="25407ECB"/>
    <w:rsid w:val="25A4045A"/>
    <w:rsid w:val="25FD7B6A"/>
    <w:rsid w:val="262E03B6"/>
    <w:rsid w:val="26493BE3"/>
    <w:rsid w:val="26527EB6"/>
    <w:rsid w:val="266F2816"/>
    <w:rsid w:val="269D41C7"/>
    <w:rsid w:val="26A5448A"/>
    <w:rsid w:val="26AB5818"/>
    <w:rsid w:val="26C64400"/>
    <w:rsid w:val="27092D0A"/>
    <w:rsid w:val="27930786"/>
    <w:rsid w:val="279A0157"/>
    <w:rsid w:val="28172612"/>
    <w:rsid w:val="289B0BA8"/>
    <w:rsid w:val="28E6709C"/>
    <w:rsid w:val="29254939"/>
    <w:rsid w:val="29946A38"/>
    <w:rsid w:val="29CF181E"/>
    <w:rsid w:val="29EC3DAC"/>
    <w:rsid w:val="2A264090"/>
    <w:rsid w:val="2A355B25"/>
    <w:rsid w:val="2A5C7555"/>
    <w:rsid w:val="2A6C52BE"/>
    <w:rsid w:val="2B520958"/>
    <w:rsid w:val="2B6F28F5"/>
    <w:rsid w:val="2B6F55CF"/>
    <w:rsid w:val="2BD466CA"/>
    <w:rsid w:val="2BEB6DE3"/>
    <w:rsid w:val="2C043A01"/>
    <w:rsid w:val="2CA07839"/>
    <w:rsid w:val="2D047A30"/>
    <w:rsid w:val="2D2D6F87"/>
    <w:rsid w:val="2DA76D39"/>
    <w:rsid w:val="2DEC6DA9"/>
    <w:rsid w:val="2E2C5491"/>
    <w:rsid w:val="2E9D1A0C"/>
    <w:rsid w:val="2F5C0D51"/>
    <w:rsid w:val="2FDA77E1"/>
    <w:rsid w:val="30405223"/>
    <w:rsid w:val="30B978AD"/>
    <w:rsid w:val="31081922"/>
    <w:rsid w:val="314174A5"/>
    <w:rsid w:val="31464ABB"/>
    <w:rsid w:val="31A11CF2"/>
    <w:rsid w:val="31BD23A5"/>
    <w:rsid w:val="31CD6F8B"/>
    <w:rsid w:val="323E5792"/>
    <w:rsid w:val="32B02AEC"/>
    <w:rsid w:val="332E1CAB"/>
    <w:rsid w:val="337726A7"/>
    <w:rsid w:val="338D077F"/>
    <w:rsid w:val="33C30645"/>
    <w:rsid w:val="34044EE1"/>
    <w:rsid w:val="34207846"/>
    <w:rsid w:val="35BC359E"/>
    <w:rsid w:val="365E4F6F"/>
    <w:rsid w:val="36D6243D"/>
    <w:rsid w:val="3747259D"/>
    <w:rsid w:val="37620175"/>
    <w:rsid w:val="37950099"/>
    <w:rsid w:val="379D2F5B"/>
    <w:rsid w:val="37AE4A52"/>
    <w:rsid w:val="38C40AA6"/>
    <w:rsid w:val="39194863"/>
    <w:rsid w:val="39822409"/>
    <w:rsid w:val="3A045513"/>
    <w:rsid w:val="3A576901"/>
    <w:rsid w:val="3A663AD8"/>
    <w:rsid w:val="3B3140E6"/>
    <w:rsid w:val="3BDC04F6"/>
    <w:rsid w:val="3BF764BC"/>
    <w:rsid w:val="3C522566"/>
    <w:rsid w:val="3C7624CD"/>
    <w:rsid w:val="3CC1149A"/>
    <w:rsid w:val="3D032B65"/>
    <w:rsid w:val="3EE80F60"/>
    <w:rsid w:val="3F073ADC"/>
    <w:rsid w:val="4027003D"/>
    <w:rsid w:val="40642868"/>
    <w:rsid w:val="40D4373D"/>
    <w:rsid w:val="40D5502B"/>
    <w:rsid w:val="41A53138"/>
    <w:rsid w:val="41EA3241"/>
    <w:rsid w:val="425D1C65"/>
    <w:rsid w:val="4262727B"/>
    <w:rsid w:val="42674EE5"/>
    <w:rsid w:val="42D42037"/>
    <w:rsid w:val="42DC0504"/>
    <w:rsid w:val="42E303BC"/>
    <w:rsid w:val="43616E7D"/>
    <w:rsid w:val="43747266"/>
    <w:rsid w:val="438F661B"/>
    <w:rsid w:val="439518B3"/>
    <w:rsid w:val="43B458B4"/>
    <w:rsid w:val="446F063A"/>
    <w:rsid w:val="44B6499C"/>
    <w:rsid w:val="4542345E"/>
    <w:rsid w:val="45570BED"/>
    <w:rsid w:val="45AA51C1"/>
    <w:rsid w:val="462036D5"/>
    <w:rsid w:val="46C24BA5"/>
    <w:rsid w:val="474A3B9E"/>
    <w:rsid w:val="47C003E5"/>
    <w:rsid w:val="483671E0"/>
    <w:rsid w:val="4848391D"/>
    <w:rsid w:val="48BB1493"/>
    <w:rsid w:val="48D16F09"/>
    <w:rsid w:val="48EF7956"/>
    <w:rsid w:val="4A8F0E29"/>
    <w:rsid w:val="4AD056CA"/>
    <w:rsid w:val="4BC87E8A"/>
    <w:rsid w:val="4CA67C81"/>
    <w:rsid w:val="4CEA7E6E"/>
    <w:rsid w:val="4D151ABA"/>
    <w:rsid w:val="4D461C73"/>
    <w:rsid w:val="4E345F70"/>
    <w:rsid w:val="4E946A0E"/>
    <w:rsid w:val="4EDD2163"/>
    <w:rsid w:val="4F1F277C"/>
    <w:rsid w:val="4FB355BA"/>
    <w:rsid w:val="503404A9"/>
    <w:rsid w:val="50504A55"/>
    <w:rsid w:val="50874A7C"/>
    <w:rsid w:val="50B11AF9"/>
    <w:rsid w:val="511856D5"/>
    <w:rsid w:val="51A74EF3"/>
    <w:rsid w:val="523F3135"/>
    <w:rsid w:val="526D18EF"/>
    <w:rsid w:val="52913E6A"/>
    <w:rsid w:val="529C5288"/>
    <w:rsid w:val="52A95399"/>
    <w:rsid w:val="541C54DC"/>
    <w:rsid w:val="54C448CE"/>
    <w:rsid w:val="54E3249D"/>
    <w:rsid w:val="551663CF"/>
    <w:rsid w:val="5578402A"/>
    <w:rsid w:val="559612BE"/>
    <w:rsid w:val="55B0580B"/>
    <w:rsid w:val="55E26BF6"/>
    <w:rsid w:val="56C02A96"/>
    <w:rsid w:val="56FE536D"/>
    <w:rsid w:val="57824451"/>
    <w:rsid w:val="581035A9"/>
    <w:rsid w:val="584063F0"/>
    <w:rsid w:val="58F85DEC"/>
    <w:rsid w:val="59013441"/>
    <w:rsid w:val="5909268A"/>
    <w:rsid w:val="59853B23"/>
    <w:rsid w:val="5A997C79"/>
    <w:rsid w:val="5AD7215D"/>
    <w:rsid w:val="5B0647F0"/>
    <w:rsid w:val="5B19266E"/>
    <w:rsid w:val="5B8B1199"/>
    <w:rsid w:val="5BB04C2C"/>
    <w:rsid w:val="5BC53F6F"/>
    <w:rsid w:val="5C2313D1"/>
    <w:rsid w:val="5C867FAD"/>
    <w:rsid w:val="5D647EF4"/>
    <w:rsid w:val="5E197728"/>
    <w:rsid w:val="5E4E6523"/>
    <w:rsid w:val="5F313E05"/>
    <w:rsid w:val="5F4B4EC7"/>
    <w:rsid w:val="5FBC2EAC"/>
    <w:rsid w:val="5FC77BFC"/>
    <w:rsid w:val="606A72E3"/>
    <w:rsid w:val="614147D4"/>
    <w:rsid w:val="618525F4"/>
    <w:rsid w:val="61E909C7"/>
    <w:rsid w:val="61F665F1"/>
    <w:rsid w:val="622F287E"/>
    <w:rsid w:val="624A590A"/>
    <w:rsid w:val="6256605D"/>
    <w:rsid w:val="62681703"/>
    <w:rsid w:val="62C31A1B"/>
    <w:rsid w:val="62F810E9"/>
    <w:rsid w:val="63204010"/>
    <w:rsid w:val="63442359"/>
    <w:rsid w:val="635822A8"/>
    <w:rsid w:val="63F7386F"/>
    <w:rsid w:val="648D1ADE"/>
    <w:rsid w:val="651A2071"/>
    <w:rsid w:val="66546D57"/>
    <w:rsid w:val="67277FC8"/>
    <w:rsid w:val="67535261"/>
    <w:rsid w:val="677956E9"/>
    <w:rsid w:val="67952A23"/>
    <w:rsid w:val="67A54D96"/>
    <w:rsid w:val="68905759"/>
    <w:rsid w:val="68EB3277"/>
    <w:rsid w:val="693966D8"/>
    <w:rsid w:val="69450B30"/>
    <w:rsid w:val="695D5F23"/>
    <w:rsid w:val="698A0CE2"/>
    <w:rsid w:val="698E7C07"/>
    <w:rsid w:val="699C2263"/>
    <w:rsid w:val="69FC44B0"/>
    <w:rsid w:val="6A221CCC"/>
    <w:rsid w:val="6AA12AE5"/>
    <w:rsid w:val="6B457299"/>
    <w:rsid w:val="6B713F07"/>
    <w:rsid w:val="6B924C11"/>
    <w:rsid w:val="6C3D64DF"/>
    <w:rsid w:val="6CA634AC"/>
    <w:rsid w:val="6CEE3336"/>
    <w:rsid w:val="6D257B8B"/>
    <w:rsid w:val="6DE035C6"/>
    <w:rsid w:val="6E0A777F"/>
    <w:rsid w:val="6E427DDD"/>
    <w:rsid w:val="6E527FB0"/>
    <w:rsid w:val="6EE60768"/>
    <w:rsid w:val="6F135C71"/>
    <w:rsid w:val="6F1572A0"/>
    <w:rsid w:val="6F1D0EF1"/>
    <w:rsid w:val="6F467459"/>
    <w:rsid w:val="6F80296B"/>
    <w:rsid w:val="6FCF744E"/>
    <w:rsid w:val="6FFB1610"/>
    <w:rsid w:val="700A0487"/>
    <w:rsid w:val="70FA6D46"/>
    <w:rsid w:val="71213CDA"/>
    <w:rsid w:val="716B31A7"/>
    <w:rsid w:val="717643E7"/>
    <w:rsid w:val="726273B2"/>
    <w:rsid w:val="72802C82"/>
    <w:rsid w:val="72897D89"/>
    <w:rsid w:val="72E2393D"/>
    <w:rsid w:val="72E707EF"/>
    <w:rsid w:val="730B69EF"/>
    <w:rsid w:val="733C6F85"/>
    <w:rsid w:val="738238D4"/>
    <w:rsid w:val="73D9089C"/>
    <w:rsid w:val="7488443F"/>
    <w:rsid w:val="75151DA7"/>
    <w:rsid w:val="755F4997"/>
    <w:rsid w:val="765468FF"/>
    <w:rsid w:val="76634D94"/>
    <w:rsid w:val="768F7AF6"/>
    <w:rsid w:val="76D4314C"/>
    <w:rsid w:val="76F31C74"/>
    <w:rsid w:val="7761127E"/>
    <w:rsid w:val="77794C6D"/>
    <w:rsid w:val="781D71EE"/>
    <w:rsid w:val="78686692"/>
    <w:rsid w:val="78FD327E"/>
    <w:rsid w:val="79652BD2"/>
    <w:rsid w:val="7A066163"/>
    <w:rsid w:val="7A2605B3"/>
    <w:rsid w:val="7B0D7956"/>
    <w:rsid w:val="7BEE6EAE"/>
    <w:rsid w:val="7BF5648F"/>
    <w:rsid w:val="7BF62924"/>
    <w:rsid w:val="7C6210BC"/>
    <w:rsid w:val="7C7750F6"/>
    <w:rsid w:val="7C977546"/>
    <w:rsid w:val="7D690EE2"/>
    <w:rsid w:val="7DC9372F"/>
    <w:rsid w:val="7DDD0F99"/>
    <w:rsid w:val="7DFD162B"/>
    <w:rsid w:val="7E880E0B"/>
    <w:rsid w:val="7ED625A7"/>
    <w:rsid w:val="7F4C0323"/>
    <w:rsid w:val="7F4C4618"/>
    <w:rsid w:val="7F92054D"/>
    <w:rsid w:val="7F9B4C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字符"/>
    <w:basedOn w:val="7"/>
    <w:link w:val="4"/>
    <w:qFormat/>
    <w:uiPriority w:val="99"/>
    <w:rPr>
      <w:rFonts w:ascii="Times New Roman" w:hAnsi="Times New Roman" w:eastAsia="宋体" w:cs="Times New Roman"/>
      <w:sz w:val="18"/>
      <w:szCs w:val="18"/>
    </w:rPr>
  </w:style>
  <w:style w:type="character" w:customStyle="1" w:styleId="9">
    <w:name w:val="页脚 字符"/>
    <w:basedOn w:val="7"/>
    <w:link w:val="3"/>
    <w:qFormat/>
    <w:uiPriority w:val="99"/>
    <w:rPr>
      <w:rFonts w:ascii="Times New Roman" w:hAnsi="Times New Roman"/>
      <w:kern w:val="2"/>
      <w:sz w:val="18"/>
      <w:szCs w:val="18"/>
    </w:rPr>
  </w:style>
  <w:style w:type="paragraph" w:styleId="10">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1">
    <w:name w:val="批注框文本 字符"/>
    <w:basedOn w:val="7"/>
    <w:link w:val="2"/>
    <w:semiHidden/>
    <w:qFormat/>
    <w:uiPriority w:val="99"/>
    <w:rPr>
      <w:rFonts w:ascii="Times New Roman" w:hAnsi="Times New Roman"/>
      <w:kern w:val="2"/>
      <w:sz w:val="18"/>
      <w:szCs w:val="18"/>
    </w:rPr>
  </w:style>
  <w:style w:type="paragraph" w:customStyle="1" w:styleId="12">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3043</Words>
  <Characters>3187</Characters>
  <Lines>8</Lines>
  <Paragraphs>2</Paragraphs>
  <TotalTime>321</TotalTime>
  <ScaleCrop>false</ScaleCrop>
  <LinksUpToDate>false</LinksUpToDate>
  <CharactersWithSpaces>3282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2023-09-22T00:44:00Z</dcterms:created>
  <dc:creator>pc</dc:creator>
  <cp:lastModifiedBy>WZ</cp:lastModifiedBy>
  <cp:lastPrinted>2017-11-06T02:12:00Z</cp:lastPrinted>
  <dcterms:modified xsi:type="dcterms:W3CDTF">2025-04-21T09:02:56Z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0F8B9BFDE05D4B62967F67DD66F7EAE7</vt:lpwstr>
  </property>
  <property fmtid="{D5CDD505-2E9C-101B-9397-08002B2CF9AE}" pid="4" name="KSOTemplateDocerSaveRecord">
    <vt:lpwstr>eyJoZGlkIjoiZmJlNTRkODU4Mzc2YjVhMzdlN2ZiN2EyZjE2YWUxN2EiLCJ1c2VySWQiOiI0MTgwNTk0NTEifQ==</vt:lpwstr>
  </property>
</Properties>
</file>