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72D1D">
      <w:pPr>
        <w:spacing w:before="156" w:beforeLines="50" w:after="156" w:afterLines="50" w:line="400" w:lineRule="exact"/>
        <w:rPr>
          <w:rFonts w:hint="eastAsia" w:ascii="宋体" w:hAnsi="宋体"/>
          <w:bCs/>
          <w:iCs/>
          <w:color w:val="000000"/>
          <w:sz w:val="24"/>
        </w:rPr>
      </w:pPr>
      <w:r>
        <w:rPr>
          <w:rFonts w:hint="eastAsia" w:ascii="宋体" w:hAnsi="宋体"/>
          <w:bCs/>
          <w:iCs/>
          <w:color w:val="000000"/>
          <w:sz w:val="24"/>
        </w:rPr>
        <w:t>证券代码：</w:t>
      </w:r>
      <w:r>
        <w:rPr>
          <w:rFonts w:ascii="宋体" w:hAnsi="宋体"/>
          <w:bCs/>
          <w:iCs/>
          <w:color w:val="000000"/>
          <w:sz w:val="24"/>
        </w:rPr>
        <w:t>600361</w:t>
      </w:r>
      <w:r>
        <w:rPr>
          <w:rFonts w:hint="eastAsia" w:ascii="宋体" w:hAnsi="宋体"/>
          <w:bCs/>
          <w:iCs/>
          <w:color w:val="000000"/>
          <w:sz w:val="24"/>
        </w:rPr>
        <w:t xml:space="preserve">                                  证券简称：创新新材</w:t>
      </w:r>
    </w:p>
    <w:p w14:paraId="7E348B8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创新新材料科技股份有限公司投资者关系活动记录表</w:t>
      </w:r>
    </w:p>
    <w:p w14:paraId="00FA3BD4">
      <w:pPr>
        <w:spacing w:line="400" w:lineRule="exact"/>
        <w:rPr>
          <w:rFonts w:hint="eastAsia" w:ascii="宋体" w:hAnsi="宋体" w:eastAsiaTheme="minorEastAsia"/>
          <w:bCs/>
          <w:iCs/>
          <w:color w:val="000000"/>
          <w:sz w:val="24"/>
          <w:lang w:val="en-US" w:eastAsia="zh-CN"/>
        </w:rPr>
      </w:pPr>
      <w:r>
        <w:rPr>
          <w:rFonts w:hint="eastAsia" w:ascii="宋体" w:hAnsi="宋体"/>
          <w:bCs/>
          <w:iCs/>
          <w:color w:val="000000"/>
          <w:sz w:val="24"/>
        </w:rPr>
        <w:t xml:space="preserve">                                                       编号：2025-0</w:t>
      </w:r>
      <w:r>
        <w:rPr>
          <w:rFonts w:hint="eastAsia" w:ascii="宋体" w:hAnsi="宋体"/>
          <w:bCs/>
          <w:iCs/>
          <w:color w:val="000000"/>
          <w:sz w:val="24"/>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C4A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2E69373">
            <w:pPr>
              <w:spacing w:line="480" w:lineRule="atLeast"/>
              <w:rPr>
                <w:rFonts w:hint="eastAsia" w:ascii="宋体" w:hAnsi="宋体"/>
                <w:bCs/>
                <w:iCs/>
                <w:color w:val="000000"/>
                <w:sz w:val="24"/>
              </w:rPr>
            </w:pPr>
            <w:r>
              <w:rPr>
                <w:rFonts w:hint="eastAsia" w:ascii="宋体" w:hAnsi="宋体"/>
                <w:bCs/>
                <w:iCs/>
                <w:color w:val="000000"/>
                <w:sz w:val="24"/>
              </w:rPr>
              <w:t>投资者关系活动类别</w:t>
            </w:r>
          </w:p>
          <w:p w14:paraId="7FDDAFCF">
            <w:pPr>
              <w:spacing w:line="480" w:lineRule="atLeast"/>
              <w:rPr>
                <w:rFonts w:hint="eastAsia"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tcPr>
          <w:p w14:paraId="37FEB484">
            <w:pPr>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8"/>
                <w:szCs w:val="28"/>
              </w:rPr>
              <w:t xml:space="preserve">特定对象调研        </w:t>
            </w:r>
            <w:r>
              <w:rPr>
                <w:rFonts w:hint="eastAsia" w:ascii="宋体" w:hAnsi="宋体"/>
                <w:bCs/>
                <w:iCs/>
                <w:color w:val="000000"/>
                <w:sz w:val="24"/>
              </w:rPr>
              <w:t>□</w:t>
            </w:r>
            <w:r>
              <w:rPr>
                <w:rFonts w:hint="eastAsia" w:ascii="宋体" w:hAnsi="宋体"/>
                <w:sz w:val="28"/>
                <w:szCs w:val="28"/>
              </w:rPr>
              <w:t>分析师会议</w:t>
            </w:r>
          </w:p>
          <w:p w14:paraId="292557AA">
            <w:pPr>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8"/>
                <w:szCs w:val="28"/>
              </w:rPr>
              <w:t>媒体采访            √业绩说明会</w:t>
            </w:r>
          </w:p>
          <w:p w14:paraId="29FA061C">
            <w:pPr>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8"/>
                <w:szCs w:val="28"/>
              </w:rPr>
              <w:t xml:space="preserve">新闻发布会          </w:t>
            </w:r>
            <w:r>
              <w:rPr>
                <w:rFonts w:hint="eastAsia" w:ascii="宋体" w:hAnsi="宋体"/>
                <w:bCs/>
                <w:iCs/>
                <w:color w:val="000000"/>
                <w:sz w:val="24"/>
              </w:rPr>
              <w:t>□</w:t>
            </w:r>
            <w:r>
              <w:rPr>
                <w:rFonts w:hint="eastAsia" w:ascii="宋体" w:hAnsi="宋体"/>
                <w:sz w:val="28"/>
                <w:szCs w:val="28"/>
              </w:rPr>
              <w:t>路演活动</w:t>
            </w:r>
          </w:p>
          <w:p w14:paraId="55845AFF">
            <w:pPr>
              <w:tabs>
                <w:tab w:val="left" w:pos="3045"/>
                <w:tab w:val="center" w:pos="3199"/>
              </w:tabs>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8"/>
                <w:szCs w:val="28"/>
              </w:rPr>
              <w:t>现场参观</w:t>
            </w:r>
            <w:r>
              <w:rPr>
                <w:rFonts w:hint="eastAsia" w:ascii="宋体" w:hAnsi="宋体"/>
                <w:bCs/>
                <w:iCs/>
                <w:color w:val="000000"/>
                <w:sz w:val="24"/>
              </w:rPr>
              <w:tab/>
            </w:r>
          </w:p>
        </w:tc>
      </w:tr>
      <w:tr w14:paraId="2AC8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5758EEE">
            <w:pPr>
              <w:spacing w:line="480" w:lineRule="atLeast"/>
              <w:rPr>
                <w:rFonts w:hint="eastAsia" w:ascii="宋体" w:hAnsi="宋体"/>
                <w:bCs/>
                <w:iCs/>
                <w:color w:val="000000"/>
                <w:sz w:val="24"/>
              </w:rPr>
            </w:pPr>
            <w:r>
              <w:rPr>
                <w:rFonts w:hint="eastAsia" w:ascii="宋体" w:hAnsi="宋体"/>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68F6CF01">
            <w:pPr>
              <w:spacing w:line="480" w:lineRule="atLeast"/>
              <w:rPr>
                <w:rFonts w:hint="eastAsia" w:ascii="宋体" w:hAnsi="宋体"/>
                <w:bCs/>
                <w:iCs/>
                <w:color w:val="000000"/>
                <w:sz w:val="24"/>
              </w:rPr>
            </w:pPr>
            <w:r>
              <w:rPr>
                <w:rFonts w:hint="eastAsia" w:ascii="宋体" w:hAnsi="宋体"/>
                <w:bCs/>
                <w:iCs/>
                <w:color w:val="000000"/>
                <w:sz w:val="24"/>
              </w:rPr>
              <w:t>机构投资者（具体参会名单详见附件）</w:t>
            </w:r>
          </w:p>
        </w:tc>
      </w:tr>
      <w:tr w14:paraId="516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EC89F11">
            <w:pPr>
              <w:spacing w:line="480" w:lineRule="atLeast"/>
              <w:rPr>
                <w:rFonts w:hint="eastAsia" w:ascii="宋体" w:hAnsi="宋体"/>
                <w:bCs/>
                <w:iCs/>
                <w:color w:val="000000"/>
                <w:sz w:val="24"/>
              </w:rPr>
            </w:pPr>
            <w:r>
              <w:rPr>
                <w:rFonts w:hint="eastAsia" w:ascii="宋体" w:hAnsi="宋体"/>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189FAEBF">
            <w:pPr>
              <w:spacing w:line="480" w:lineRule="atLeast"/>
              <w:rPr>
                <w:rFonts w:hint="eastAsia" w:ascii="宋体" w:hAnsi="宋体"/>
                <w:bCs/>
                <w:iCs/>
                <w:color w:val="000000"/>
                <w:sz w:val="24"/>
              </w:rPr>
            </w:pPr>
            <w:r>
              <w:rPr>
                <w:rFonts w:hint="eastAsia" w:ascii="宋体" w:hAnsi="宋体"/>
                <w:bCs/>
                <w:iCs/>
                <w:color w:val="000000"/>
                <w:sz w:val="24"/>
              </w:rPr>
              <w:t>20</w:t>
            </w:r>
            <w:r>
              <w:rPr>
                <w:rFonts w:ascii="宋体" w:hAnsi="宋体"/>
                <w:bCs/>
                <w:iCs/>
                <w:color w:val="000000"/>
                <w:sz w:val="24"/>
              </w:rPr>
              <w:t>2</w:t>
            </w:r>
            <w:r>
              <w:rPr>
                <w:rFonts w:hint="eastAsia" w:ascii="宋体" w:hAnsi="宋体"/>
                <w:bCs/>
                <w:iCs/>
                <w:color w:val="000000"/>
                <w:sz w:val="24"/>
              </w:rPr>
              <w:t>5年</w:t>
            </w:r>
            <w:r>
              <w:rPr>
                <w:rFonts w:hint="eastAsia" w:ascii="宋体" w:hAnsi="宋体"/>
                <w:bCs/>
                <w:iCs/>
                <w:color w:val="000000"/>
                <w:sz w:val="24"/>
                <w:lang w:val="en-US" w:eastAsia="zh-CN"/>
              </w:rPr>
              <w:t>4</w:t>
            </w:r>
            <w:r>
              <w:rPr>
                <w:rFonts w:hint="eastAsia" w:ascii="宋体" w:hAnsi="宋体"/>
                <w:bCs/>
                <w:iCs/>
                <w:color w:val="000000"/>
                <w:sz w:val="24"/>
              </w:rPr>
              <w:t>月</w:t>
            </w:r>
            <w:r>
              <w:rPr>
                <w:rFonts w:hint="eastAsia" w:ascii="宋体" w:hAnsi="宋体"/>
                <w:bCs/>
                <w:iCs/>
                <w:color w:val="000000"/>
                <w:sz w:val="24"/>
                <w:lang w:val="en-US" w:eastAsia="zh-CN"/>
              </w:rPr>
              <w:t>25</w:t>
            </w:r>
            <w:r>
              <w:rPr>
                <w:rFonts w:hint="eastAsia" w:ascii="宋体" w:hAnsi="宋体"/>
                <w:bCs/>
                <w:iCs/>
                <w:color w:val="000000"/>
                <w:sz w:val="24"/>
              </w:rPr>
              <w:t>日 9：0</w:t>
            </w:r>
            <w:r>
              <w:rPr>
                <w:rFonts w:ascii="宋体" w:hAnsi="宋体"/>
                <w:bCs/>
                <w:iCs/>
                <w:color w:val="000000"/>
                <w:sz w:val="24"/>
              </w:rPr>
              <w:t>0-</w:t>
            </w:r>
            <w:r>
              <w:rPr>
                <w:rFonts w:hint="eastAsia" w:ascii="宋体" w:hAnsi="宋体"/>
                <w:bCs/>
                <w:iCs/>
                <w:color w:val="000000"/>
                <w:sz w:val="24"/>
              </w:rPr>
              <w:t>10：0</w:t>
            </w:r>
            <w:r>
              <w:rPr>
                <w:rFonts w:ascii="宋体" w:hAnsi="宋体"/>
                <w:bCs/>
                <w:iCs/>
                <w:color w:val="000000"/>
                <w:sz w:val="24"/>
              </w:rPr>
              <w:t>0</w:t>
            </w:r>
          </w:p>
        </w:tc>
      </w:tr>
      <w:tr w14:paraId="307D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4182414">
            <w:pPr>
              <w:spacing w:line="480" w:lineRule="atLeast"/>
              <w:rPr>
                <w:rFonts w:hint="eastAsia" w:ascii="宋体" w:hAnsi="宋体"/>
                <w:bCs/>
                <w:iCs/>
                <w:color w:val="000000"/>
                <w:sz w:val="24"/>
              </w:rPr>
            </w:pPr>
            <w:r>
              <w:rPr>
                <w:rFonts w:hint="eastAsia" w:ascii="宋体" w:hAnsi="宋体"/>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4C8B13EF">
            <w:pPr>
              <w:spacing w:line="480" w:lineRule="atLeast"/>
              <w:rPr>
                <w:rFonts w:hint="eastAsia" w:ascii="宋体" w:hAnsi="宋体"/>
                <w:bCs/>
                <w:iCs/>
                <w:color w:val="000000"/>
                <w:sz w:val="24"/>
              </w:rPr>
            </w:pPr>
            <w:r>
              <w:rPr>
                <w:rFonts w:hint="eastAsia" w:ascii="宋体" w:hAnsi="宋体"/>
                <w:bCs/>
                <w:iCs/>
                <w:color w:val="000000"/>
                <w:sz w:val="24"/>
              </w:rPr>
              <w:t>电话会议</w:t>
            </w:r>
          </w:p>
        </w:tc>
      </w:tr>
      <w:tr w14:paraId="226F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CBEE5B4">
            <w:pPr>
              <w:spacing w:line="480" w:lineRule="atLeast"/>
              <w:rPr>
                <w:rFonts w:hint="eastAsia" w:ascii="宋体" w:hAnsi="宋体"/>
                <w:bCs/>
                <w:iCs/>
                <w:color w:val="000000"/>
                <w:sz w:val="24"/>
              </w:rPr>
            </w:pPr>
            <w:r>
              <w:rPr>
                <w:rFonts w:hint="eastAsia" w:ascii="宋体" w:hAnsi="宋体"/>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55B8A19B">
            <w:pPr>
              <w:spacing w:line="480" w:lineRule="atLeast"/>
              <w:rPr>
                <w:rFonts w:hint="default" w:ascii="宋体" w:hAnsi="宋体" w:eastAsiaTheme="minorEastAsia"/>
                <w:bCs/>
                <w:iCs/>
                <w:color w:val="000000"/>
                <w:sz w:val="24"/>
                <w:lang w:val="en-US" w:eastAsia="zh-CN"/>
              </w:rPr>
            </w:pPr>
            <w:r>
              <w:rPr>
                <w:rFonts w:hint="eastAsia" w:ascii="宋体" w:hAnsi="宋体"/>
                <w:bCs/>
                <w:iCs/>
                <w:color w:val="000000"/>
                <w:sz w:val="24"/>
                <w:lang w:val="en-US" w:eastAsia="zh-CN"/>
              </w:rPr>
              <w:t>董事、副总经理、财务负责人：许峰</w:t>
            </w:r>
          </w:p>
          <w:p w14:paraId="16590D95">
            <w:pPr>
              <w:spacing w:line="480" w:lineRule="atLeast"/>
              <w:rPr>
                <w:rFonts w:hint="eastAsia" w:ascii="宋体" w:hAnsi="宋体"/>
                <w:bCs/>
                <w:iCs/>
                <w:color w:val="000000"/>
                <w:sz w:val="24"/>
              </w:rPr>
            </w:pPr>
            <w:r>
              <w:rPr>
                <w:rFonts w:hint="eastAsia" w:ascii="宋体" w:hAnsi="宋体"/>
                <w:bCs/>
                <w:iCs/>
                <w:color w:val="000000"/>
                <w:sz w:val="24"/>
              </w:rPr>
              <w:t>副总经理、董事会秘书：王科芳女士</w:t>
            </w:r>
          </w:p>
        </w:tc>
      </w:tr>
      <w:tr w14:paraId="1733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D3D3EBF">
            <w:pPr>
              <w:spacing w:line="480" w:lineRule="atLeast"/>
              <w:rPr>
                <w:rFonts w:hint="eastAsia" w:ascii="宋体" w:hAnsi="宋体"/>
                <w:bCs/>
                <w:iCs/>
                <w:color w:val="000000"/>
                <w:sz w:val="24"/>
              </w:rPr>
            </w:pPr>
            <w:r>
              <w:rPr>
                <w:rFonts w:hint="eastAsia" w:ascii="宋体" w:hAnsi="宋体"/>
                <w:bCs/>
                <w:iCs/>
                <w:color w:val="000000"/>
                <w:sz w:val="24"/>
              </w:rPr>
              <w:t>投资者关系活动主要内容介绍</w:t>
            </w:r>
          </w:p>
          <w:p w14:paraId="413042B8">
            <w:pPr>
              <w:spacing w:line="480" w:lineRule="atLeast"/>
              <w:rPr>
                <w:rFonts w:hint="eastAsia"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tcPr>
          <w:p w14:paraId="3512DAC8">
            <w:pPr>
              <w:spacing w:line="480" w:lineRule="atLeast"/>
              <w:ind w:firstLine="482" w:firstLineChars="200"/>
              <w:rPr>
                <w:rFonts w:hint="eastAsia" w:ascii="宋体" w:hAnsi="宋体"/>
                <w:b/>
                <w:iCs/>
                <w:color w:val="000000"/>
                <w:sz w:val="24"/>
              </w:rPr>
            </w:pPr>
            <w:r>
              <w:rPr>
                <w:rFonts w:hint="eastAsia" w:ascii="宋体" w:hAnsi="宋体"/>
                <w:b/>
                <w:iCs/>
                <w:color w:val="000000"/>
                <w:sz w:val="24"/>
              </w:rPr>
              <w:t>一、交流</w:t>
            </w:r>
            <w:r>
              <w:rPr>
                <w:rFonts w:ascii="宋体" w:hAnsi="宋体"/>
                <w:b/>
                <w:iCs/>
                <w:color w:val="000000"/>
                <w:sz w:val="24"/>
              </w:rPr>
              <w:t>问答</w:t>
            </w:r>
          </w:p>
          <w:p w14:paraId="5A26B5C9">
            <w:pPr>
              <w:spacing w:line="480" w:lineRule="atLeast"/>
              <w:ind w:firstLine="482" w:firstLineChars="200"/>
              <w:rPr>
                <w:rFonts w:hint="eastAsia" w:ascii="宋体" w:hAnsi="宋体"/>
                <w:b/>
                <w:iCs/>
                <w:color w:val="000000"/>
                <w:sz w:val="24"/>
              </w:rPr>
            </w:pPr>
            <w:r>
              <w:rPr>
                <w:rFonts w:ascii="宋体" w:hAnsi="宋体"/>
                <w:b/>
                <w:iCs/>
                <w:color w:val="000000"/>
                <w:sz w:val="24"/>
              </w:rPr>
              <w:t>Q1</w:t>
            </w:r>
            <w:r>
              <w:rPr>
                <w:rFonts w:hint="eastAsia" w:ascii="宋体" w:hAnsi="宋体"/>
                <w:b/>
                <w:iCs/>
                <w:color w:val="000000"/>
                <w:sz w:val="24"/>
              </w:rPr>
              <w:t>、</w:t>
            </w:r>
            <w:r>
              <w:rPr>
                <w:rFonts w:hint="eastAsia" w:ascii="宋体" w:hAnsi="宋体"/>
                <w:b/>
                <w:iCs/>
                <w:color w:val="000000"/>
                <w:sz w:val="24"/>
                <w:lang w:val="en-US" w:eastAsia="zh-CN"/>
              </w:rPr>
              <w:t>公司2024年整体经营情况表现如何</w:t>
            </w:r>
            <w:r>
              <w:rPr>
                <w:rFonts w:hint="eastAsia" w:ascii="宋体" w:hAnsi="宋体"/>
                <w:b/>
                <w:iCs/>
                <w:color w:val="000000"/>
                <w:sz w:val="24"/>
              </w:rPr>
              <w:t>？</w:t>
            </w:r>
          </w:p>
          <w:p w14:paraId="65410496">
            <w:pPr>
              <w:spacing w:line="480" w:lineRule="atLeast"/>
              <w:ind w:firstLine="480" w:firstLineChars="200"/>
              <w:rPr>
                <w:rFonts w:hint="eastAsia" w:ascii="宋体" w:hAnsi="宋体"/>
                <w:bCs/>
                <w:iCs/>
                <w:color w:val="000000"/>
                <w:sz w:val="24"/>
              </w:rPr>
            </w:pPr>
            <w:r>
              <w:rPr>
                <w:rFonts w:hint="eastAsia" w:ascii="宋体" w:hAnsi="宋体"/>
                <w:bCs/>
                <w:iCs/>
                <w:color w:val="000000"/>
                <w:sz w:val="24"/>
              </w:rPr>
              <w:t>A：尊敬的投资者您好，2024年</w:t>
            </w:r>
            <w:r>
              <w:rPr>
                <w:rFonts w:hint="eastAsia" w:ascii="宋体" w:hAnsi="宋体"/>
                <w:bCs/>
                <w:iCs/>
                <w:color w:val="000000"/>
                <w:sz w:val="24"/>
                <w:lang w:val="en-US" w:eastAsia="zh-CN"/>
              </w:rPr>
              <w:t>公司</w:t>
            </w:r>
            <w:r>
              <w:rPr>
                <w:rFonts w:hint="eastAsia" w:ascii="宋体" w:hAnsi="宋体"/>
                <w:bCs/>
                <w:iCs/>
                <w:color w:val="000000"/>
                <w:sz w:val="24"/>
              </w:rPr>
              <w:t>砥砺前行，凭借战略聚焦与精准布局，实现了多业务板块的突破性进展。报告期内，公司业务稳步发展，实现产量、盈利齐增长。2024年公司实现营业收入809.42亿元，同比增长11.12%；归属于上市公司股东净利润10.10亿元，同比增长5.48%；公司2024年产量达488.05万吨，较上年增长3.41%。感谢您的关注！</w:t>
            </w:r>
          </w:p>
          <w:p w14:paraId="7B6C6D20">
            <w:pPr>
              <w:spacing w:line="480" w:lineRule="atLeast"/>
              <w:ind w:firstLine="482" w:firstLineChars="200"/>
              <w:rPr>
                <w:rFonts w:hint="eastAsia" w:ascii="宋体" w:hAnsi="宋体"/>
                <w:b/>
                <w:iCs/>
                <w:color w:val="000000"/>
                <w:sz w:val="24"/>
              </w:rPr>
            </w:pPr>
            <w:r>
              <w:rPr>
                <w:rFonts w:hint="eastAsia" w:ascii="宋体" w:hAnsi="宋体"/>
                <w:b/>
                <w:iCs/>
                <w:color w:val="000000"/>
                <w:sz w:val="24"/>
              </w:rPr>
              <w:t>Q2、</w:t>
            </w:r>
            <w:r>
              <w:rPr>
                <w:rFonts w:hint="eastAsia" w:ascii="宋体" w:hAnsi="宋体"/>
                <w:b/>
                <w:iCs/>
                <w:color w:val="000000"/>
                <w:sz w:val="24"/>
                <w:lang w:val="en-US" w:eastAsia="zh-CN"/>
              </w:rPr>
              <w:t>公司各产品的市场占有率是多少</w:t>
            </w:r>
            <w:r>
              <w:rPr>
                <w:rFonts w:hint="eastAsia" w:ascii="宋体" w:hAnsi="宋体"/>
                <w:b/>
                <w:iCs/>
                <w:color w:val="000000"/>
                <w:sz w:val="24"/>
              </w:rPr>
              <w:t>？</w:t>
            </w:r>
          </w:p>
          <w:p w14:paraId="54F5EE82">
            <w:pPr>
              <w:spacing w:line="480" w:lineRule="atLeast"/>
              <w:ind w:firstLine="480" w:firstLineChars="200"/>
              <w:rPr>
                <w:rFonts w:hint="eastAsia" w:ascii="宋体" w:hAnsi="宋体"/>
                <w:bCs/>
                <w:iCs/>
                <w:color w:val="000000"/>
                <w:sz w:val="24"/>
              </w:rPr>
            </w:pPr>
            <w:r>
              <w:rPr>
                <w:rFonts w:hint="eastAsia" w:ascii="宋体" w:hAnsi="宋体"/>
                <w:bCs/>
                <w:iCs/>
                <w:color w:val="000000"/>
                <w:sz w:val="24"/>
              </w:rPr>
              <w:t>A：尊敬的投资者您好，根据中国有色金属加工工业协会数据，2024年，公司铝线材（即：铝杆线缆）销量为94.31万吨，国内和全球市场占有率分别为18.6%和16.0%，均排名第一；公司铝合金圆铸锭（即：棒材）销量为314.3万吨，国内和全球市场占有率分别为10.8%和8.3%，均排名第一；公司3C电子铝型材全国市场占有率8.3%（排名前三）；公司铝板带材国内市场占有率为3.4%（排名前十）。感谢您的关注！</w:t>
            </w:r>
          </w:p>
          <w:p w14:paraId="082FB966">
            <w:pPr>
              <w:spacing w:line="480" w:lineRule="atLeast"/>
              <w:ind w:firstLine="482" w:firstLineChars="200"/>
              <w:rPr>
                <w:rFonts w:hint="eastAsia" w:ascii="宋体" w:hAnsi="宋体"/>
                <w:b/>
                <w:iCs/>
                <w:color w:val="000000"/>
                <w:sz w:val="24"/>
              </w:rPr>
            </w:pPr>
            <w:r>
              <w:rPr>
                <w:rFonts w:hint="eastAsia" w:ascii="宋体" w:hAnsi="宋体"/>
                <w:b/>
                <w:iCs/>
                <w:color w:val="000000"/>
                <w:sz w:val="24"/>
              </w:rPr>
              <w:t>Q3：</w:t>
            </w:r>
            <w:r>
              <w:rPr>
                <w:rFonts w:hint="eastAsia" w:ascii="宋体" w:hAnsi="宋体"/>
                <w:b/>
                <w:iCs/>
                <w:color w:val="000000"/>
                <w:sz w:val="24"/>
                <w:lang w:val="en-US" w:eastAsia="zh-CN"/>
              </w:rPr>
              <w:t>公司2024年的增长来自于哪里</w:t>
            </w:r>
            <w:r>
              <w:rPr>
                <w:rFonts w:hint="eastAsia" w:ascii="宋体" w:hAnsi="宋体"/>
                <w:b/>
                <w:iCs/>
                <w:color w:val="000000"/>
                <w:sz w:val="24"/>
              </w:rPr>
              <w:t>？</w:t>
            </w:r>
          </w:p>
          <w:p w14:paraId="4AD47A42">
            <w:pPr>
              <w:spacing w:line="480" w:lineRule="atLeast"/>
              <w:ind w:firstLine="480" w:firstLineChars="200"/>
              <w:rPr>
                <w:rFonts w:hint="eastAsia" w:ascii="宋体" w:hAnsi="宋体"/>
                <w:bCs/>
                <w:iCs/>
                <w:color w:val="000000"/>
                <w:sz w:val="24"/>
              </w:rPr>
            </w:pPr>
            <w:r>
              <w:rPr>
                <w:rFonts w:hint="eastAsia" w:ascii="宋体" w:hAnsi="宋体"/>
                <w:bCs/>
                <w:iCs/>
                <w:color w:val="000000"/>
                <w:sz w:val="24"/>
              </w:rPr>
              <w:t>A：尊敬的投资者您好，2024年，公司深化产业结构调整，持续深耕高端化产品领域，不断提高型材、铝杆线缆等高端产品比重，加速业务板块产能爬坡；“拳头产品”3C消费电子型材业务持续发力，以同比34.15%的销量增速彰显市场竞争力；汽车轻量化加速产能爬坡和材料认证进度，新进入多家知名汽车品牌供应商序列，销量实现72.73%的高速增长；铝杆线缆板块凭借技术优势与市场拓展能力，在国家对超强高导线缆及新能源基站建设领域的政策推动与行业增长趋势的双重作用下，销量实现40.79%的高速增长，成为2024年度公司业绩增长的重要引擎。</w:t>
            </w:r>
          </w:p>
          <w:p w14:paraId="618EF239">
            <w:pPr>
              <w:spacing w:line="480" w:lineRule="atLeast"/>
              <w:ind w:firstLine="480" w:firstLineChars="200"/>
              <w:rPr>
                <w:rFonts w:hint="eastAsia" w:ascii="宋体" w:hAnsi="宋体"/>
                <w:bCs/>
                <w:iCs/>
                <w:color w:val="000000"/>
                <w:sz w:val="24"/>
              </w:rPr>
            </w:pPr>
            <w:r>
              <w:rPr>
                <w:rFonts w:hint="eastAsia" w:ascii="宋体" w:hAnsi="宋体"/>
                <w:bCs/>
                <w:iCs/>
                <w:color w:val="000000"/>
                <w:sz w:val="24"/>
              </w:rPr>
              <w:t>此外，公司在资源利用与成本管控方面成效显著，报告期内，公司综合循环利用再生铝121.09万吨，同比增长19.43%，再生铝用量的增加不仅优化了成本结构，更契合公司“绿色化战略”与可持续发展理念；降本增效举措的持续推进，拓宽融资渠道、优化融资结构、降低融资成本的策略实施，全方位提升了公司的运营效率与财务健康度。感谢您的关注！</w:t>
            </w:r>
          </w:p>
          <w:p w14:paraId="43EF70CA">
            <w:pPr>
              <w:spacing w:line="480" w:lineRule="atLeast"/>
              <w:ind w:firstLine="482" w:firstLineChars="200"/>
              <w:rPr>
                <w:rFonts w:hint="eastAsia" w:ascii="宋体" w:hAnsi="宋体"/>
                <w:b/>
                <w:iCs/>
                <w:color w:val="000000"/>
                <w:sz w:val="24"/>
              </w:rPr>
            </w:pPr>
            <w:r>
              <w:rPr>
                <w:rFonts w:hint="eastAsia" w:ascii="宋体" w:hAnsi="宋体"/>
                <w:b/>
                <w:iCs/>
                <w:color w:val="000000"/>
                <w:sz w:val="24"/>
              </w:rPr>
              <w:t>Q4：</w:t>
            </w:r>
            <w:r>
              <w:rPr>
                <w:rFonts w:hint="eastAsia" w:ascii="宋体" w:hAnsi="宋体"/>
                <w:b/>
                <w:iCs/>
                <w:color w:val="000000"/>
                <w:sz w:val="24"/>
                <w:lang w:val="en-US" w:eastAsia="zh-CN"/>
              </w:rPr>
              <w:t>2024年公司再生铝的使用情况如何</w:t>
            </w:r>
            <w:r>
              <w:rPr>
                <w:rFonts w:hint="eastAsia" w:ascii="宋体" w:hAnsi="宋体"/>
                <w:b/>
                <w:iCs/>
                <w:color w:val="000000"/>
                <w:sz w:val="24"/>
              </w:rPr>
              <w:t>？</w:t>
            </w:r>
          </w:p>
          <w:p w14:paraId="39035F12">
            <w:pPr>
              <w:spacing w:line="480" w:lineRule="atLeast"/>
              <w:ind w:firstLine="480" w:firstLineChars="200"/>
              <w:rPr>
                <w:rFonts w:hint="eastAsia" w:ascii="宋体" w:hAnsi="宋体"/>
                <w:bCs/>
                <w:iCs/>
                <w:color w:val="000000"/>
                <w:sz w:val="24"/>
              </w:rPr>
            </w:pPr>
            <w:r>
              <w:rPr>
                <w:rFonts w:hint="eastAsia" w:ascii="宋体" w:hAnsi="宋体"/>
                <w:bCs/>
                <w:iCs/>
                <w:color w:val="000000"/>
                <w:sz w:val="24"/>
              </w:rPr>
              <w:t>A：尊敬的投资者您好，2024年，公司综合循环利用再生铝121.09万吨，同比增长19.43%，其中：公司回收再生铝80.79万吨，使用自有产线回用铝40.30万吨，为行业领先水平。公司自2022年开始引进14条智能化进口再生铝回收处理生产线，截至2024年底，公司已有6个再生铝项目投产，年产能达170万吨。未来，公司再生铝的处理能力将突破200万吨。感谢您的关注！</w:t>
            </w:r>
          </w:p>
          <w:p w14:paraId="1536D5F0">
            <w:pPr>
              <w:spacing w:line="480" w:lineRule="atLeast"/>
              <w:ind w:firstLine="482" w:firstLineChars="200"/>
              <w:rPr>
                <w:rFonts w:hint="eastAsia" w:ascii="宋体" w:hAnsi="宋体"/>
                <w:b/>
                <w:iCs/>
                <w:color w:val="000000"/>
                <w:sz w:val="24"/>
              </w:rPr>
            </w:pPr>
            <w:r>
              <w:rPr>
                <w:rFonts w:hint="eastAsia" w:ascii="宋体" w:hAnsi="宋体"/>
                <w:b/>
                <w:iCs/>
                <w:color w:val="000000"/>
                <w:sz w:val="24"/>
              </w:rPr>
              <w:t>Q</w:t>
            </w:r>
            <w:r>
              <w:rPr>
                <w:rFonts w:hint="eastAsia" w:ascii="宋体" w:hAnsi="宋体"/>
                <w:b/>
                <w:iCs/>
                <w:color w:val="000000"/>
                <w:sz w:val="24"/>
                <w:lang w:val="en-US" w:eastAsia="zh-CN"/>
              </w:rPr>
              <w:t>5</w:t>
            </w:r>
            <w:r>
              <w:rPr>
                <w:rFonts w:hint="eastAsia" w:ascii="宋体" w:hAnsi="宋体"/>
                <w:b/>
                <w:iCs/>
                <w:color w:val="000000"/>
                <w:sz w:val="24"/>
              </w:rPr>
              <w:t>：</w:t>
            </w:r>
            <w:r>
              <w:rPr>
                <w:rFonts w:hint="eastAsia" w:ascii="宋体" w:hAnsi="宋体"/>
                <w:b/>
                <w:iCs/>
                <w:color w:val="000000"/>
                <w:sz w:val="24"/>
                <w:lang w:val="en-US" w:eastAsia="zh-CN"/>
              </w:rPr>
              <w:t>公司全球化战略的推进情况是怎么样的</w:t>
            </w:r>
            <w:r>
              <w:rPr>
                <w:rFonts w:hint="eastAsia" w:ascii="宋体" w:hAnsi="宋体"/>
                <w:b/>
                <w:iCs/>
                <w:color w:val="000000"/>
                <w:sz w:val="24"/>
              </w:rPr>
              <w:t>？</w:t>
            </w:r>
          </w:p>
          <w:p w14:paraId="65FCAAD1">
            <w:pPr>
              <w:spacing w:line="480" w:lineRule="atLeast"/>
              <w:ind w:firstLine="480" w:firstLineChars="200"/>
              <w:rPr>
                <w:rFonts w:hint="eastAsia" w:ascii="宋体" w:hAnsi="宋体"/>
                <w:bCs/>
                <w:iCs/>
                <w:color w:val="000000"/>
                <w:sz w:val="24"/>
              </w:rPr>
            </w:pPr>
            <w:r>
              <w:rPr>
                <w:rFonts w:hint="eastAsia" w:ascii="宋体" w:hAnsi="宋体"/>
                <w:bCs/>
                <w:iCs/>
                <w:color w:val="000000"/>
                <w:sz w:val="24"/>
              </w:rPr>
              <w:t>A：尊敬的投资者您好，公司顺应市场发展，积极响应国家“一带一路”的政策号召，贯彻落实公司全球化战略，海外产能建设有序推进。2025年公司计划投资不超过2.09亿美元，通过参股方式与控股股东及实际控制人共同投资“沙特红海铝产业链综合项目”，该项目涵盖铝产业链的全链路产品，预期产出合计年产能50万吨电解铝及50万吨高精度铝棒、铝板带箔作为主要产品。公司在越南投资1.93亿美元开展 3C 消费电子型材等项目，建设全球性 3C消费电子型材供应链工厂，目前公司越南3C 消费电子型材项目稳步推进中，2024年底陆续试产。公司在墨西哥投资1.97亿美元计划开展的汽车轻量化铝合金材料等项目。目前，公司已完成墨西哥项目的土地购买，其他相关准备工作正在进行。未来，公司将继续积极响应国家“一带一路”走出去的大方针，在巩固国内市场领先优势的同时持续加大海外市场拓展力度，推动公司经营业务平稳快速发展，打造全球化铝合金材料供应商。感谢您的关注！</w:t>
            </w:r>
          </w:p>
        </w:tc>
      </w:tr>
      <w:tr w14:paraId="31DC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ECD60D9">
            <w:pPr>
              <w:spacing w:line="480" w:lineRule="atLeast"/>
              <w:rPr>
                <w:rFonts w:hint="eastAsia" w:ascii="宋体" w:hAnsi="宋体"/>
                <w:bCs/>
                <w:iCs/>
                <w:color w:val="000000"/>
                <w:sz w:val="24"/>
              </w:rPr>
            </w:pPr>
            <w:r>
              <w:rPr>
                <w:rFonts w:hint="eastAsia" w:ascii="宋体" w:hAnsi="宋体"/>
                <w:bCs/>
                <w:iCs/>
                <w:color w:val="000000"/>
                <w:sz w:val="24"/>
              </w:rPr>
              <w:t>业务附件清单（如有）</w:t>
            </w:r>
          </w:p>
        </w:tc>
        <w:tc>
          <w:tcPr>
            <w:tcW w:w="6614" w:type="dxa"/>
            <w:tcBorders>
              <w:top w:val="single" w:color="auto" w:sz="4" w:space="0"/>
              <w:left w:val="single" w:color="auto" w:sz="4" w:space="0"/>
              <w:bottom w:val="single" w:color="auto" w:sz="4" w:space="0"/>
              <w:right w:val="single" w:color="auto" w:sz="4" w:space="0"/>
            </w:tcBorders>
            <w:vAlign w:val="center"/>
          </w:tcPr>
          <w:p w14:paraId="1315A516">
            <w:pPr>
              <w:spacing w:line="480" w:lineRule="atLeast"/>
              <w:ind w:firstLine="480" w:firstLineChars="200"/>
              <w:rPr>
                <w:sz w:val="20"/>
              </w:rPr>
            </w:pPr>
            <w:r>
              <w:rPr>
                <w:rFonts w:hint="eastAsia" w:ascii="宋体" w:hAnsi="宋体"/>
                <w:bCs/>
                <w:iCs/>
                <w:color w:val="000000"/>
                <w:sz w:val="24"/>
              </w:rPr>
              <w:t>无</w:t>
            </w:r>
          </w:p>
        </w:tc>
      </w:tr>
      <w:tr w14:paraId="719C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98F68D9">
            <w:pPr>
              <w:spacing w:line="480" w:lineRule="atLeast"/>
              <w:rPr>
                <w:rFonts w:hint="eastAsia" w:ascii="宋体" w:hAnsi="宋体"/>
                <w:bCs/>
                <w:iCs/>
                <w:color w:val="000000"/>
                <w:sz w:val="24"/>
              </w:rPr>
            </w:pPr>
            <w:r>
              <w:rPr>
                <w:rFonts w:hint="eastAsia" w:ascii="宋体" w:hAnsi="宋体"/>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tcPr>
          <w:p w14:paraId="6788AE60">
            <w:pPr>
              <w:spacing w:line="480" w:lineRule="atLeast"/>
              <w:ind w:firstLine="480" w:firstLineChars="200"/>
              <w:rPr>
                <w:sz w:val="20"/>
              </w:rPr>
            </w:pPr>
            <w:r>
              <w:rPr>
                <w:rFonts w:hint="eastAsia" w:ascii="宋体" w:hAnsi="宋体"/>
                <w:bCs/>
                <w:iCs/>
                <w:color w:val="000000"/>
                <w:sz w:val="24"/>
              </w:rPr>
              <w:t>2025年</w:t>
            </w:r>
            <w:r>
              <w:rPr>
                <w:rFonts w:hint="eastAsia" w:ascii="宋体" w:hAnsi="宋体"/>
                <w:bCs/>
                <w:iCs/>
                <w:color w:val="000000"/>
                <w:sz w:val="24"/>
                <w:lang w:val="en-US" w:eastAsia="zh-CN"/>
              </w:rPr>
              <w:t>4</w:t>
            </w:r>
            <w:r>
              <w:rPr>
                <w:rFonts w:hint="eastAsia" w:ascii="宋体" w:hAnsi="宋体"/>
                <w:bCs/>
                <w:iCs/>
                <w:color w:val="000000"/>
                <w:sz w:val="24"/>
              </w:rPr>
              <w:t>月</w:t>
            </w:r>
            <w:r>
              <w:rPr>
                <w:rFonts w:hint="eastAsia" w:ascii="宋体" w:hAnsi="宋体"/>
                <w:bCs/>
                <w:iCs/>
                <w:color w:val="000000"/>
                <w:sz w:val="24"/>
                <w:lang w:val="en-US" w:eastAsia="zh-CN"/>
              </w:rPr>
              <w:t>25</w:t>
            </w:r>
            <w:r>
              <w:rPr>
                <w:rFonts w:hint="eastAsia" w:ascii="宋体" w:hAnsi="宋体"/>
                <w:bCs/>
                <w:iCs/>
                <w:color w:val="000000"/>
                <w:sz w:val="24"/>
              </w:rPr>
              <w:t>日</w:t>
            </w:r>
          </w:p>
        </w:tc>
      </w:tr>
    </w:tbl>
    <w:p w14:paraId="1A074F82"/>
    <w:p w14:paraId="60CACF01">
      <w:pPr>
        <w:widowControl/>
        <w:jc w:val="left"/>
      </w:pPr>
      <w:r>
        <w:br w:type="page"/>
      </w:r>
    </w:p>
    <w:p w14:paraId="5F7444E2">
      <w:pPr>
        <w:rPr>
          <w:rFonts w:ascii="Times New Roman" w:hAnsi="Times New Roman" w:cs="Times New Roman"/>
          <w:b/>
          <w:bCs/>
          <w:sz w:val="32"/>
          <w:szCs w:val="36"/>
        </w:rPr>
      </w:pPr>
      <w:r>
        <w:rPr>
          <w:rFonts w:ascii="Times New Roman" w:hAnsi="Times New Roman" w:cs="Times New Roman"/>
          <w:b/>
          <w:bCs/>
          <w:sz w:val="32"/>
          <w:szCs w:val="36"/>
        </w:rPr>
        <w:t>附件：参会人员名单</w:t>
      </w:r>
    </w:p>
    <w:tbl>
      <w:tblPr>
        <w:tblStyle w:val="7"/>
        <w:tblW w:w="8314" w:type="dxa"/>
        <w:tblInd w:w="98" w:type="dxa"/>
        <w:tblLayout w:type="fixed"/>
        <w:tblCellMar>
          <w:top w:w="0" w:type="dxa"/>
          <w:left w:w="108" w:type="dxa"/>
          <w:bottom w:w="0" w:type="dxa"/>
          <w:right w:w="108" w:type="dxa"/>
        </w:tblCellMar>
      </w:tblPr>
      <w:tblGrid>
        <w:gridCol w:w="2525"/>
        <w:gridCol w:w="5789"/>
      </w:tblGrid>
      <w:tr w14:paraId="29A8CB78">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83850C">
            <w:pPr>
              <w:widowControl/>
              <w:jc w:val="center"/>
              <w:textAlignment w:val="center"/>
              <w:rPr>
                <w:rFonts w:hint="eastAsia" w:cs="宋体" w:asciiTheme="minorEastAsia" w:hAnsiTheme="minorEastAsia"/>
                <w:b/>
                <w:bCs/>
                <w:color w:val="000000"/>
                <w:sz w:val="24"/>
                <w:szCs w:val="24"/>
                <w:lang w:bidi="ar"/>
              </w:rPr>
            </w:pPr>
            <w:r>
              <w:rPr>
                <w:rFonts w:hint="eastAsia" w:cs="宋体" w:asciiTheme="minorEastAsia" w:hAnsiTheme="minorEastAsia"/>
                <w:b/>
                <w:bCs/>
                <w:color w:val="000000"/>
                <w:sz w:val="24"/>
                <w:szCs w:val="24"/>
                <w:lang w:bidi="ar"/>
              </w:rPr>
              <w:t>参会者姓名</w:t>
            </w:r>
          </w:p>
        </w:tc>
        <w:tc>
          <w:tcPr>
            <w:tcW w:w="578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93C2E5">
            <w:pPr>
              <w:widowControl/>
              <w:jc w:val="center"/>
              <w:textAlignment w:val="center"/>
              <w:rPr>
                <w:rFonts w:hint="eastAsia" w:cs="宋体" w:asciiTheme="minorEastAsia" w:hAnsiTheme="minorEastAsia"/>
                <w:b/>
                <w:bCs/>
                <w:color w:val="000000"/>
                <w:sz w:val="24"/>
                <w:szCs w:val="24"/>
                <w:lang w:bidi="ar"/>
              </w:rPr>
            </w:pPr>
            <w:r>
              <w:rPr>
                <w:rFonts w:hint="eastAsia" w:cs="宋体" w:asciiTheme="minorEastAsia" w:hAnsiTheme="minorEastAsia"/>
                <w:b/>
                <w:bCs/>
                <w:color w:val="000000"/>
                <w:sz w:val="24"/>
                <w:szCs w:val="24"/>
                <w:lang w:bidi="ar"/>
              </w:rPr>
              <w:t>机构名称</w:t>
            </w:r>
          </w:p>
        </w:tc>
      </w:tr>
      <w:tr w14:paraId="68EB6CC6">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933C">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易轰</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3A11">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长江证券股份有限公司</w:t>
            </w:r>
          </w:p>
        </w:tc>
      </w:tr>
      <w:tr w14:paraId="051EB544">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D687">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肖勇</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B06B">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长江证券股份有限公司</w:t>
            </w:r>
          </w:p>
        </w:tc>
      </w:tr>
      <w:tr w14:paraId="28406978">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B49E">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陈剑凡</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CCBF">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中信证券股份有限公司</w:t>
            </w:r>
          </w:p>
        </w:tc>
      </w:tr>
      <w:tr w14:paraId="44BC7F5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EF45">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孙二春</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F945">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民生证券股份有限公司</w:t>
            </w:r>
          </w:p>
        </w:tc>
      </w:tr>
      <w:tr w14:paraId="0B2C60B6">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298F">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王作燊</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1258">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民生证券股份有限公司</w:t>
            </w:r>
          </w:p>
        </w:tc>
      </w:tr>
      <w:tr w14:paraId="1FD52C5C">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D612">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潘暕</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53F9">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天风证券股份有限公司</w:t>
            </w:r>
          </w:p>
        </w:tc>
      </w:tr>
      <w:tr w14:paraId="5488BE1F">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820A">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包恒星</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9174">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天风证券股份有限公司</w:t>
            </w:r>
          </w:p>
        </w:tc>
      </w:tr>
      <w:tr w14:paraId="5F3BAC85">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80D5">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王畅舟</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2F7E">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中国国际金融股份有限公司</w:t>
            </w:r>
          </w:p>
        </w:tc>
      </w:tr>
      <w:tr w14:paraId="36876069">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498E">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周古玥</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7AE3">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国投证券股份有限公司</w:t>
            </w:r>
          </w:p>
        </w:tc>
      </w:tr>
      <w:tr w14:paraId="307FA932">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5F0F">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何玉静</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7DCC">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浙商证券股份有限公司</w:t>
            </w:r>
          </w:p>
        </w:tc>
      </w:tr>
      <w:tr w14:paraId="47AD425D">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A27B">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初金娜</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0ED1">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国盛证券有限责任公司</w:t>
            </w:r>
          </w:p>
        </w:tc>
      </w:tr>
      <w:tr w14:paraId="12BA885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6F4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郭金香</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A8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北京磐茂投资管理有限公司</w:t>
            </w:r>
          </w:p>
        </w:tc>
      </w:tr>
      <w:tr w14:paraId="1494F913">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B71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李华芮</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11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富士康工业互联网股份有限公司</w:t>
            </w:r>
          </w:p>
        </w:tc>
      </w:tr>
      <w:tr w14:paraId="16DF260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CCD7">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谢雅婷</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32E3">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亚投基金管理有限公司</w:t>
            </w:r>
          </w:p>
        </w:tc>
      </w:tr>
      <w:tr w14:paraId="24A7B5A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96AB">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李永昊</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DEB6">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上海鼎晖百孚投资管理有限公司</w:t>
            </w:r>
          </w:p>
        </w:tc>
      </w:tr>
      <w:tr w14:paraId="760E352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75DE">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李根</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AF13">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上海鼎晖百孚投资管理有限公司</w:t>
            </w:r>
          </w:p>
        </w:tc>
      </w:tr>
      <w:tr w14:paraId="55ACAB5F">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1847">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蒋旭杰</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2B4B">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海富通基金管理有限公司</w:t>
            </w:r>
          </w:p>
        </w:tc>
      </w:tr>
      <w:tr w14:paraId="354F2D09">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2E28">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孙雪琪</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9BC8">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中国银河证券股份有限公司</w:t>
            </w:r>
          </w:p>
        </w:tc>
      </w:tr>
      <w:tr w14:paraId="3E795A4F">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82E5">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刘耀齐</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4FC0">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中泰证券股份有限公司</w:t>
            </w:r>
          </w:p>
        </w:tc>
      </w:tr>
      <w:tr w14:paraId="2DC7E938">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4F5B">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陈文敏</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3AE9">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敦和资产管理有限公司</w:t>
            </w:r>
          </w:p>
        </w:tc>
      </w:tr>
      <w:tr w14:paraId="2B5F9EB7">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C463">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郭中耀</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E8E5">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申万宏源证券有限公司</w:t>
            </w:r>
          </w:p>
        </w:tc>
      </w:tr>
      <w:tr w14:paraId="4FD834C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A056">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魏欣</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AC26">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中邮证券有限责任公司</w:t>
            </w:r>
          </w:p>
        </w:tc>
      </w:tr>
      <w:tr w14:paraId="64184DC7">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88D6">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Lavor</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407A">
            <w:pPr>
              <w:keepNext w:val="0"/>
              <w:keepLines w:val="0"/>
              <w:widowControl/>
              <w:suppressLineNumbers w:val="0"/>
              <w:jc w:val="left"/>
              <w:textAlignment w:val="center"/>
              <w:rPr>
                <w:rFonts w:hint="eastAsia"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As Aud Cap</w:t>
            </w:r>
          </w:p>
        </w:tc>
      </w:tr>
      <w:tr w14:paraId="2A0CF74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B3BF">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米宇</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61CE">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东吴证券股份有限公司</w:t>
            </w:r>
          </w:p>
        </w:tc>
      </w:tr>
      <w:tr w14:paraId="2736C43D">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1CCE">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刘依然</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DA69">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国联民生证券股份有限公司</w:t>
            </w:r>
          </w:p>
        </w:tc>
      </w:tr>
      <w:tr w14:paraId="66485975">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26AF">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梁琳</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EF34">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国泰海通证券股份有限公司</w:t>
            </w:r>
          </w:p>
        </w:tc>
      </w:tr>
      <w:tr w14:paraId="24CEE953">
        <w:tblPrEx>
          <w:tblCellMar>
            <w:top w:w="0" w:type="dxa"/>
            <w:left w:w="108" w:type="dxa"/>
            <w:bottom w:w="0" w:type="dxa"/>
            <w:right w:w="108" w:type="dxa"/>
          </w:tblCellMar>
        </w:tblPrEx>
        <w:trPr>
          <w:trHeight w:val="35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75CB">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焦方冉</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C712">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国信证券股份有限公司</w:t>
            </w:r>
          </w:p>
        </w:tc>
      </w:tr>
      <w:tr w14:paraId="4476760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E6FA">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谢丰</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C5C9">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征金资本控股有限公司</w:t>
            </w:r>
          </w:p>
        </w:tc>
      </w:tr>
      <w:tr w14:paraId="4E86C72A">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D0DE">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熊政</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9996">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广东邦政资产管理有限公司</w:t>
            </w:r>
          </w:p>
        </w:tc>
      </w:tr>
      <w:tr w14:paraId="323A55CD">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6E87">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李柔璇</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E378">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西部证券股份有限公司</w:t>
            </w:r>
          </w:p>
        </w:tc>
      </w:tr>
      <w:tr w14:paraId="2CC79B1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5FD6">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李一涛</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375C">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东方证券股份有限公司</w:t>
            </w:r>
          </w:p>
        </w:tc>
      </w:tr>
      <w:tr w14:paraId="72DC7ED3">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9E73">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覃静</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5F5F">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中信建投证券股份有限公司</w:t>
            </w:r>
          </w:p>
        </w:tc>
      </w:tr>
      <w:tr w14:paraId="192B90BC">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5CA7">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马俊</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356F">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光大证券股份有限公司</w:t>
            </w:r>
          </w:p>
        </w:tc>
      </w:tr>
      <w:tr w14:paraId="3DA8F52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329F">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肖锐</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CBAF">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泰康资产管理有限责任公司</w:t>
            </w:r>
          </w:p>
        </w:tc>
      </w:tr>
      <w:tr w14:paraId="4E8B85C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C22D">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卢大毛</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F15E">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西藏源乐晟资产管理有限公司</w:t>
            </w:r>
          </w:p>
        </w:tc>
      </w:tr>
      <w:tr w14:paraId="3AF3FC44">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1873">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王靖添</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DDBB">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中银国际证券股份有限公司</w:t>
            </w:r>
          </w:p>
        </w:tc>
      </w:tr>
      <w:tr w14:paraId="78EC9F05">
        <w:tblPrEx>
          <w:tblCellMar>
            <w:top w:w="0" w:type="dxa"/>
            <w:left w:w="108" w:type="dxa"/>
            <w:bottom w:w="0" w:type="dxa"/>
            <w:right w:w="108" w:type="dxa"/>
          </w:tblCellMar>
        </w:tblPrEx>
        <w:trPr>
          <w:trHeight w:val="9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926C">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饶欣莹</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0B48">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上海匀升投资管理有限公司</w:t>
            </w:r>
          </w:p>
        </w:tc>
      </w:tr>
      <w:tr w14:paraId="2F86E7B5">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892A">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王聪敏</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DDF5">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甬兴证券有限公司</w:t>
            </w:r>
          </w:p>
        </w:tc>
      </w:tr>
      <w:tr w14:paraId="2D2E3255">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CD37">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李超</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953E">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国金证券股份有限公司</w:t>
            </w:r>
          </w:p>
        </w:tc>
      </w:tr>
      <w:tr w14:paraId="2034AAEB">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B34E">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高嘉麒</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9BAB">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德邦证券股份有限公司</w:t>
            </w:r>
          </w:p>
        </w:tc>
      </w:tr>
      <w:tr w14:paraId="346DB719">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AAE7">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张冕雄</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15DE">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中信银行股份有限公司</w:t>
            </w:r>
          </w:p>
        </w:tc>
      </w:tr>
      <w:tr w14:paraId="588F8A68">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E90">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杨影菲</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DB44">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金元证券股份有限公司</w:t>
            </w:r>
          </w:p>
        </w:tc>
      </w:tr>
      <w:tr w14:paraId="38498A5B">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954B">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吕然</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2C19">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中银国际证券股份有限公司</w:t>
            </w:r>
          </w:p>
        </w:tc>
      </w:tr>
      <w:tr w14:paraId="6971579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A5A3">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温泉</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6396">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中信银行股份有限公司</w:t>
            </w:r>
          </w:p>
        </w:tc>
      </w:tr>
      <w:tr w14:paraId="18307D84">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3858">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刘伟洁</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49AE">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招商证券股份有限公司</w:t>
            </w:r>
          </w:p>
        </w:tc>
      </w:tr>
      <w:tr w14:paraId="3D8C8CE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FA9C">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张宇滨</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FB5A">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诺德基金管理有限公司</w:t>
            </w:r>
          </w:p>
        </w:tc>
      </w:tr>
      <w:tr w14:paraId="11609326">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5DC4">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曹国军</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13B9">
            <w:pPr>
              <w:keepNext w:val="0"/>
              <w:keepLines w:val="0"/>
              <w:widowControl/>
              <w:suppressLineNumbers w:val="0"/>
              <w:jc w:val="left"/>
              <w:textAlignment w:val="center"/>
              <w:rPr>
                <w:rFonts w:hint="eastAsia" w:cs="宋体" w:asciiTheme="minorEastAsia" w:hAnsiTheme="minorEastAsia"/>
                <w:bCs/>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上海天猊投资管理有限公司</w:t>
            </w:r>
          </w:p>
        </w:tc>
      </w:tr>
    </w:tbl>
    <w:p w14:paraId="07A924E6">
      <w:pPr>
        <w:rPr>
          <w:rFonts w:hint="eastAsia" w:cs="Times New Roman" w:asciiTheme="minorEastAsia" w:hAnsiTheme="minorEastAsia"/>
          <w:b/>
          <w:bCs/>
          <w:sz w:val="24"/>
          <w:szCs w:val="24"/>
        </w:rPr>
      </w:pPr>
    </w:p>
    <w:p w14:paraId="7EF9318A"/>
    <w:p w14:paraId="51C2BD2F">
      <w:bookmarkStart w:id="0" w:name="_GoBack"/>
      <w:bookmarkEnd w:id="0"/>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mUyYmQzZTc5Y2U4YTRkMThhYjFmYjIyNDYxMDIifQ=="/>
  </w:docVars>
  <w:rsids>
    <w:rsidRoot w:val="008A748A"/>
    <w:rsid w:val="0000365A"/>
    <w:rsid w:val="000122F7"/>
    <w:rsid w:val="00013FC1"/>
    <w:rsid w:val="00031734"/>
    <w:rsid w:val="00034019"/>
    <w:rsid w:val="0003536D"/>
    <w:rsid w:val="000437F7"/>
    <w:rsid w:val="00046EDD"/>
    <w:rsid w:val="00067147"/>
    <w:rsid w:val="0007522E"/>
    <w:rsid w:val="000C68FC"/>
    <w:rsid w:val="000E050D"/>
    <w:rsid w:val="000E415C"/>
    <w:rsid w:val="000E6F07"/>
    <w:rsid w:val="00102387"/>
    <w:rsid w:val="00132034"/>
    <w:rsid w:val="00140F83"/>
    <w:rsid w:val="001444C3"/>
    <w:rsid w:val="00163536"/>
    <w:rsid w:val="001733D8"/>
    <w:rsid w:val="00191E21"/>
    <w:rsid w:val="001A2456"/>
    <w:rsid w:val="001B0A84"/>
    <w:rsid w:val="001B5E28"/>
    <w:rsid w:val="001D1E27"/>
    <w:rsid w:val="001E439A"/>
    <w:rsid w:val="001E63BA"/>
    <w:rsid w:val="001F430F"/>
    <w:rsid w:val="001F7F12"/>
    <w:rsid w:val="00203230"/>
    <w:rsid w:val="00212BA3"/>
    <w:rsid w:val="00227180"/>
    <w:rsid w:val="00255C6A"/>
    <w:rsid w:val="0026063D"/>
    <w:rsid w:val="00263D71"/>
    <w:rsid w:val="00277CD7"/>
    <w:rsid w:val="002A1987"/>
    <w:rsid w:val="002A5386"/>
    <w:rsid w:val="002A5CBD"/>
    <w:rsid w:val="002A7F3A"/>
    <w:rsid w:val="002B1C89"/>
    <w:rsid w:val="002B3416"/>
    <w:rsid w:val="002B42D2"/>
    <w:rsid w:val="002F03B1"/>
    <w:rsid w:val="002F4D76"/>
    <w:rsid w:val="00321EF3"/>
    <w:rsid w:val="00323693"/>
    <w:rsid w:val="00325D47"/>
    <w:rsid w:val="0035619C"/>
    <w:rsid w:val="00383427"/>
    <w:rsid w:val="00394BC7"/>
    <w:rsid w:val="003A2B9D"/>
    <w:rsid w:val="003D5403"/>
    <w:rsid w:val="003E0C7D"/>
    <w:rsid w:val="00403805"/>
    <w:rsid w:val="00406A7A"/>
    <w:rsid w:val="00440DAB"/>
    <w:rsid w:val="0046261D"/>
    <w:rsid w:val="004734C0"/>
    <w:rsid w:val="00473A31"/>
    <w:rsid w:val="0049462F"/>
    <w:rsid w:val="004966A8"/>
    <w:rsid w:val="004A3760"/>
    <w:rsid w:val="004E016C"/>
    <w:rsid w:val="004F214F"/>
    <w:rsid w:val="005041F7"/>
    <w:rsid w:val="00523FE8"/>
    <w:rsid w:val="00531993"/>
    <w:rsid w:val="00537646"/>
    <w:rsid w:val="00550BC6"/>
    <w:rsid w:val="00557148"/>
    <w:rsid w:val="00564936"/>
    <w:rsid w:val="00565FAF"/>
    <w:rsid w:val="00566740"/>
    <w:rsid w:val="00570362"/>
    <w:rsid w:val="005C34D3"/>
    <w:rsid w:val="005F276B"/>
    <w:rsid w:val="00613794"/>
    <w:rsid w:val="006352F2"/>
    <w:rsid w:val="0065489B"/>
    <w:rsid w:val="00667144"/>
    <w:rsid w:val="006701BB"/>
    <w:rsid w:val="006731C7"/>
    <w:rsid w:val="00680595"/>
    <w:rsid w:val="006A3279"/>
    <w:rsid w:val="006B1DCC"/>
    <w:rsid w:val="006D2865"/>
    <w:rsid w:val="006E2D01"/>
    <w:rsid w:val="006F7DAD"/>
    <w:rsid w:val="00720665"/>
    <w:rsid w:val="00721EB7"/>
    <w:rsid w:val="00724648"/>
    <w:rsid w:val="00727158"/>
    <w:rsid w:val="00735644"/>
    <w:rsid w:val="00736EB3"/>
    <w:rsid w:val="00753734"/>
    <w:rsid w:val="00765A90"/>
    <w:rsid w:val="00767DA7"/>
    <w:rsid w:val="00784B07"/>
    <w:rsid w:val="0079519B"/>
    <w:rsid w:val="007A77BB"/>
    <w:rsid w:val="007B1BC3"/>
    <w:rsid w:val="007C1BD3"/>
    <w:rsid w:val="007E3AFD"/>
    <w:rsid w:val="00836F80"/>
    <w:rsid w:val="00853A4C"/>
    <w:rsid w:val="008576F5"/>
    <w:rsid w:val="008645DE"/>
    <w:rsid w:val="00871224"/>
    <w:rsid w:val="00883383"/>
    <w:rsid w:val="008900AA"/>
    <w:rsid w:val="008A4C18"/>
    <w:rsid w:val="008A748A"/>
    <w:rsid w:val="008C5C0E"/>
    <w:rsid w:val="008E04B2"/>
    <w:rsid w:val="008E0FF8"/>
    <w:rsid w:val="008E4F16"/>
    <w:rsid w:val="008F0386"/>
    <w:rsid w:val="008F44A5"/>
    <w:rsid w:val="00904085"/>
    <w:rsid w:val="00913880"/>
    <w:rsid w:val="00915435"/>
    <w:rsid w:val="00926710"/>
    <w:rsid w:val="00937768"/>
    <w:rsid w:val="00972284"/>
    <w:rsid w:val="00983C44"/>
    <w:rsid w:val="009963C9"/>
    <w:rsid w:val="00997460"/>
    <w:rsid w:val="009D7ABC"/>
    <w:rsid w:val="00A02E43"/>
    <w:rsid w:val="00A15357"/>
    <w:rsid w:val="00A175DB"/>
    <w:rsid w:val="00A178F8"/>
    <w:rsid w:val="00A24CC7"/>
    <w:rsid w:val="00A63475"/>
    <w:rsid w:val="00A8649A"/>
    <w:rsid w:val="00A902BF"/>
    <w:rsid w:val="00AC0755"/>
    <w:rsid w:val="00AE1140"/>
    <w:rsid w:val="00AE1842"/>
    <w:rsid w:val="00AF0550"/>
    <w:rsid w:val="00AF507B"/>
    <w:rsid w:val="00B05B16"/>
    <w:rsid w:val="00B2104F"/>
    <w:rsid w:val="00B27A1D"/>
    <w:rsid w:val="00B52618"/>
    <w:rsid w:val="00B555CA"/>
    <w:rsid w:val="00B67909"/>
    <w:rsid w:val="00B67BC2"/>
    <w:rsid w:val="00B72121"/>
    <w:rsid w:val="00BE62A9"/>
    <w:rsid w:val="00BE7DCE"/>
    <w:rsid w:val="00C01851"/>
    <w:rsid w:val="00C100EA"/>
    <w:rsid w:val="00C312D4"/>
    <w:rsid w:val="00C73C03"/>
    <w:rsid w:val="00C76EF2"/>
    <w:rsid w:val="00C80D4D"/>
    <w:rsid w:val="00C83323"/>
    <w:rsid w:val="00C83927"/>
    <w:rsid w:val="00C849C1"/>
    <w:rsid w:val="00CF00F7"/>
    <w:rsid w:val="00D003CE"/>
    <w:rsid w:val="00D81BBB"/>
    <w:rsid w:val="00D90D40"/>
    <w:rsid w:val="00D92513"/>
    <w:rsid w:val="00D9282A"/>
    <w:rsid w:val="00DA02DD"/>
    <w:rsid w:val="00DB3DEF"/>
    <w:rsid w:val="00DD2CF6"/>
    <w:rsid w:val="00E05D76"/>
    <w:rsid w:val="00E12A72"/>
    <w:rsid w:val="00E175C6"/>
    <w:rsid w:val="00E23343"/>
    <w:rsid w:val="00E30058"/>
    <w:rsid w:val="00E82FE5"/>
    <w:rsid w:val="00EA4D8D"/>
    <w:rsid w:val="00EB156A"/>
    <w:rsid w:val="00EB491F"/>
    <w:rsid w:val="00ED291D"/>
    <w:rsid w:val="00ED6CEE"/>
    <w:rsid w:val="00EE362E"/>
    <w:rsid w:val="00F161B7"/>
    <w:rsid w:val="00F535BD"/>
    <w:rsid w:val="00F61BAF"/>
    <w:rsid w:val="00F9501F"/>
    <w:rsid w:val="00FA711B"/>
    <w:rsid w:val="00FF1969"/>
    <w:rsid w:val="02005B8D"/>
    <w:rsid w:val="034807D7"/>
    <w:rsid w:val="03C96DF2"/>
    <w:rsid w:val="052D4EEB"/>
    <w:rsid w:val="062260D2"/>
    <w:rsid w:val="0A4A3E4A"/>
    <w:rsid w:val="0FAE6C29"/>
    <w:rsid w:val="0FC14BAE"/>
    <w:rsid w:val="148D5389"/>
    <w:rsid w:val="15467F0C"/>
    <w:rsid w:val="159C7321"/>
    <w:rsid w:val="16A576FF"/>
    <w:rsid w:val="17157A95"/>
    <w:rsid w:val="17C35253"/>
    <w:rsid w:val="1C611F6A"/>
    <w:rsid w:val="1CC33479"/>
    <w:rsid w:val="1EF16B46"/>
    <w:rsid w:val="20E701EC"/>
    <w:rsid w:val="23E1433B"/>
    <w:rsid w:val="243E118D"/>
    <w:rsid w:val="24743B45"/>
    <w:rsid w:val="2593449F"/>
    <w:rsid w:val="28446A3F"/>
    <w:rsid w:val="2A8A04DA"/>
    <w:rsid w:val="2C2416B4"/>
    <w:rsid w:val="2D0B37A7"/>
    <w:rsid w:val="2EEB70FA"/>
    <w:rsid w:val="3115220C"/>
    <w:rsid w:val="312D1C4B"/>
    <w:rsid w:val="31D245A1"/>
    <w:rsid w:val="36DE6B45"/>
    <w:rsid w:val="389820A0"/>
    <w:rsid w:val="3A1219DE"/>
    <w:rsid w:val="40DB5220"/>
    <w:rsid w:val="41F8269F"/>
    <w:rsid w:val="43DB1093"/>
    <w:rsid w:val="45D76C57"/>
    <w:rsid w:val="462558F9"/>
    <w:rsid w:val="46410341"/>
    <w:rsid w:val="4B3C1CC8"/>
    <w:rsid w:val="4D1F167F"/>
    <w:rsid w:val="4E4639B7"/>
    <w:rsid w:val="50CD66BC"/>
    <w:rsid w:val="525C226C"/>
    <w:rsid w:val="53AE2320"/>
    <w:rsid w:val="5B2B614D"/>
    <w:rsid w:val="5EAC5272"/>
    <w:rsid w:val="64CC2606"/>
    <w:rsid w:val="64CE38BC"/>
    <w:rsid w:val="66DB2FC1"/>
    <w:rsid w:val="678371C8"/>
    <w:rsid w:val="6DE775D0"/>
    <w:rsid w:val="70524F5E"/>
    <w:rsid w:val="70877018"/>
    <w:rsid w:val="72926AFF"/>
    <w:rsid w:val="73D732B2"/>
    <w:rsid w:val="77A94A29"/>
    <w:rsid w:val="7C854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批注框文本 字符"/>
    <w:basedOn w:val="8"/>
    <w:link w:val="3"/>
    <w:autoRedefine/>
    <w:semiHidden/>
    <w:qFormat/>
    <w:uiPriority w:val="99"/>
    <w:rPr>
      <w:sz w:val="18"/>
      <w:szCs w:val="18"/>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批注文字 字符"/>
    <w:basedOn w:val="8"/>
    <w:link w:val="2"/>
    <w:autoRedefine/>
    <w:semiHidden/>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6"/>
    <w:autoRedefine/>
    <w:semiHidden/>
    <w:qFormat/>
    <w:uiPriority w:val="99"/>
    <w:rPr>
      <w:rFonts w:asciiTheme="minorHAnsi" w:hAnsiTheme="minorHAnsi" w:eastAsiaTheme="minorEastAsia" w:cstheme="minorBidi"/>
      <w:b/>
      <w:bCs/>
      <w:kern w:val="2"/>
      <w:sz w:val="21"/>
      <w:szCs w:val="22"/>
    </w:rPr>
  </w:style>
  <w:style w:type="paragraph" w:styleId="15">
    <w:name w:val="List Paragraph"/>
    <w:basedOn w:val="1"/>
    <w:unhideWhenUsed/>
    <w:qFormat/>
    <w:uiPriority w:val="99"/>
    <w:pPr>
      <w:ind w:firstLine="420" w:firstLineChars="200"/>
    </w:p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3F1D-8717-4813-BDE3-5389298EE5EF}">
  <ds:schemaRefs/>
</ds:datastoreItem>
</file>

<file path=docProps/app.xml><?xml version="1.0" encoding="utf-8"?>
<Properties xmlns="http://schemas.openxmlformats.org/officeDocument/2006/extended-properties" xmlns:vt="http://schemas.openxmlformats.org/officeDocument/2006/docPropsVTypes">
  <Template>Normal</Template>
  <Pages>5</Pages>
  <Words>2173</Words>
  <Characters>2373</Characters>
  <Lines>17</Lines>
  <Paragraphs>4</Paragraphs>
  <TotalTime>9</TotalTime>
  <ScaleCrop>false</ScaleCrop>
  <LinksUpToDate>false</LinksUpToDate>
  <CharactersWithSpaces>2500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2025-03-07T07:51:00Z</dcterms:created>
  <dc:creator>Windows 用户</dc:creator>
  <cp:lastModifiedBy>李毅刚</cp:lastModifiedBy>
  <cp:lastPrinted>2021-09-16T08:26:00Z</cp:lastPrinted>
  <dcterms:modified xsi:type="dcterms:W3CDTF">2025-04-25T08:22:41Z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1EFB59E6331F4388A5FE381B6DD89852</vt:lpwstr>
  </property>
  <property fmtid="{D5CDD505-2E9C-101B-9397-08002B2CF9AE}" pid="4" name="KSOTemplateDocerSaveRecord">
    <vt:lpwstr>eyJoZGlkIjoiZjRjMWU4ZTk1ZDBmYTU3YWUzOWJjNDc4OWNkYjhiZTkiLCJ1c2VySWQiOiIyMzA2NDY2MjkifQ==</vt:lpwstr>
  </property>
</Properties>
</file>