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18D6598B" w:rsidR="00480E88" w:rsidRPr="00CB5B6B" w:rsidRDefault="00296D90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 w:rsidRPr="00CB5B6B"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证券代码：603075   </w:t>
      </w:r>
      <w:r w:rsidRPr="00CB5B6B"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</w:t>
      </w:r>
      <w:r w:rsidR="00A6049A" w:rsidRPr="00CB5B6B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 w:rsidRPr="00CB5B6B"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 w:rsidRPr="00CB5B6B">
        <w:rPr>
          <w:rFonts w:ascii="宋体" w:eastAsia="宋体" w:hAnsi="宋体" w:cs="宋体" w:hint="eastAsia"/>
          <w:sz w:val="20"/>
          <w:szCs w:val="20"/>
          <w:lang w:val="en-US"/>
        </w:rPr>
        <w:t>证券简称：热威股份</w:t>
      </w:r>
    </w:p>
    <w:p w14:paraId="714A6157" w14:textId="77777777" w:rsidR="00480E88" w:rsidRPr="00CB5B6B" w:rsidRDefault="00480E8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8F4FA6F" w14:textId="77777777" w:rsidR="00480E88" w:rsidRPr="00CB5B6B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CB5B6B">
        <w:rPr>
          <w:rFonts w:ascii="宋体" w:eastAsia="宋体" w:hAnsi="宋体" w:cs="宋体" w:hint="eastAsia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CB5B6B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CB5B6B">
        <w:rPr>
          <w:rFonts w:ascii="宋体" w:eastAsia="宋体" w:hAnsi="宋体" w:cs="宋体" w:hint="eastAsia"/>
          <w:b/>
          <w:bCs/>
          <w:sz w:val="36"/>
          <w:szCs w:val="44"/>
        </w:rPr>
        <w:t>投资者关系活动记录表</w:t>
      </w:r>
    </w:p>
    <w:p w14:paraId="4195EFCE" w14:textId="7235DC5F" w:rsidR="00480E88" w:rsidRPr="00CB5B6B" w:rsidRDefault="00A6049A" w:rsidP="00A6049A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 w:rsidRPr="00CB5B6B">
        <w:rPr>
          <w:rFonts w:ascii="宋体" w:eastAsia="宋体" w:hAnsi="宋体" w:cs="宋体" w:hint="eastAsia"/>
          <w:sz w:val="20"/>
          <w:szCs w:val="20"/>
        </w:rPr>
        <w:t xml:space="preserve"> </w:t>
      </w:r>
      <w:r w:rsidR="00296D90" w:rsidRPr="00CB5B6B">
        <w:rPr>
          <w:rFonts w:ascii="宋体" w:eastAsia="宋体" w:hAnsi="宋体" w:cs="宋体" w:hint="eastAsia"/>
          <w:sz w:val="20"/>
          <w:szCs w:val="20"/>
        </w:rPr>
        <w:t>编号：</w:t>
      </w:r>
      <w:r w:rsidR="00296D90" w:rsidRPr="00CB5B6B"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F5544B" w:rsidRPr="00CB5B6B">
        <w:rPr>
          <w:rFonts w:ascii="宋体" w:eastAsia="宋体" w:hAnsi="宋体" w:cs="宋体"/>
          <w:sz w:val="20"/>
          <w:szCs w:val="20"/>
          <w:lang w:val="en-US"/>
        </w:rPr>
        <w:t>5</w:t>
      </w:r>
      <w:r w:rsidR="00296D90" w:rsidRPr="00CB5B6B">
        <w:rPr>
          <w:rFonts w:ascii="宋体" w:eastAsia="宋体" w:hAnsi="宋体" w:cs="宋体" w:hint="eastAsia"/>
          <w:sz w:val="20"/>
          <w:szCs w:val="20"/>
        </w:rPr>
        <w:t>-</w:t>
      </w:r>
      <w:r w:rsidR="003F5B58" w:rsidRPr="00CB5B6B">
        <w:rPr>
          <w:rFonts w:ascii="宋体" w:eastAsia="宋体" w:hAnsi="宋体" w:cs="宋体"/>
          <w:sz w:val="20"/>
          <w:szCs w:val="20"/>
        </w:rPr>
        <w:t>00</w:t>
      </w:r>
      <w:r w:rsidRPr="00CB5B6B">
        <w:rPr>
          <w:rFonts w:ascii="宋体" w:eastAsia="宋体" w:hAnsi="宋体" w:cs="宋体"/>
          <w:sz w:val="20"/>
          <w:szCs w:val="20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480E88" w:rsidRPr="00CB5B6B" w14:paraId="447C1FAE" w14:textId="77777777" w:rsidTr="006128C0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Pr="00CB5B6B" w:rsidRDefault="00480E88" w:rsidP="006128C0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E77EFAB" w14:textId="77777777" w:rsidR="00480E88" w:rsidRPr="00CB5B6B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770B77D2" w14:textId="77777777" w:rsidR="00480E88" w:rsidRPr="00CB5B6B" w:rsidRDefault="00480E88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195B599" w14:textId="76B929CF" w:rsidR="00480E88" w:rsidRPr="00CB5B6B" w:rsidRDefault="00C01743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049A" w:rsidRPr="00CB5B6B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CB5B6B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8E6518D" w14:textId="77777777" w:rsidR="00480E88" w:rsidRPr="00CB5B6B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7F6876C" w14:textId="72F18A30" w:rsidR="00480E88" w:rsidRPr="00CB5B6B" w:rsidRDefault="00C01743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CB5B6B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049A" w:rsidRPr="00CB5B6B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555D19E" w14:textId="77777777" w:rsidR="00480E88" w:rsidRPr="00CB5B6B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1AAC4DA" w14:textId="77777777" w:rsidR="00480E88" w:rsidRPr="00CB5B6B" w:rsidRDefault="00C01743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CB5B6B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CB5B6B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296D90" w:rsidRPr="00CB5B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1153B02" w14:textId="77777777" w:rsidR="00480E88" w:rsidRPr="00CB5B6B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DE689C" w14:textId="028CF99E" w:rsidR="00480E88" w:rsidRPr="00CB5B6B" w:rsidRDefault="00C01743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049A" w:rsidRPr="00CB5B6B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9BE1010" w14:textId="77777777" w:rsidR="00480E88" w:rsidRPr="00CB5B6B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2214DA2" w14:textId="77777777" w:rsidR="00480E88" w:rsidRPr="00CB5B6B" w:rsidRDefault="00C01743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CB5B6B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296D90" w:rsidRPr="00CB5B6B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:rsidRPr="00CB5B6B" w14:paraId="62F7BBB0" w14:textId="77777777" w:rsidTr="006128C0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Pr="00CB5B6B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C373014" w14:textId="6A81B132" w:rsidR="00480E88" w:rsidRPr="00CB5B6B" w:rsidRDefault="001C5900" w:rsidP="001C5900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2025年04月15日</w:t>
            </w:r>
            <w:r w:rsidR="00175155"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（线上）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：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国金家电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 xml:space="preserve"> 王刚、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信达澳亚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 xml:space="preserve"> 张恒海</w:t>
            </w:r>
          </w:p>
          <w:p w14:paraId="1D223AF0" w14:textId="766D5559" w:rsidR="001C5900" w:rsidRPr="00CB5B6B" w:rsidRDefault="001C5900" w:rsidP="001C5900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2025年04月16日</w:t>
            </w:r>
            <w:r w:rsidR="00175155"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（现场）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：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义柏资本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 xml:space="preserve"> 姜嘉伟、国元证券 唐小强、维金资本 张浣、国泽基金山东管理有限公司 赵燚、华福证券 魏群</w:t>
            </w:r>
          </w:p>
          <w:p w14:paraId="733888E8" w14:textId="16820D16" w:rsidR="001C5900" w:rsidRPr="00CB5B6B" w:rsidRDefault="001C5900" w:rsidP="001C5900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2025年04月17日</w:t>
            </w:r>
            <w:r w:rsidR="00175155"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（线上）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：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中信建投证券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 xml:space="preserve"> 秦基栗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邓皓烛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林赫涵</w:t>
            </w:r>
          </w:p>
          <w:p w14:paraId="7C410F9A" w14:textId="0FD555A4" w:rsidR="001C5900" w:rsidRPr="00CB5B6B" w:rsidRDefault="001C5900" w:rsidP="00D6633A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2025年</w:t>
            </w:r>
            <w:r w:rsidRPr="00CB5B6B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04月2</w:t>
            </w:r>
            <w:r w:rsidR="00D6633A">
              <w:rPr>
                <w:rFonts w:ascii="宋体" w:eastAsia="宋体" w:hAnsi="宋体" w:cs="宋体"/>
                <w:sz w:val="20"/>
                <w:szCs w:val="20"/>
                <w:lang w:val="en-US"/>
              </w:rPr>
              <w:t>5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日</w:t>
            </w:r>
            <w:r w:rsidR="00175155"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（线上）</w:t>
            </w:r>
            <w:r w:rsidRPr="00CB5B6B">
              <w:rPr>
                <w:rFonts w:ascii="宋体" w:eastAsia="宋体" w:hAnsi="宋体" w:cs="宋体"/>
                <w:sz w:val="20"/>
                <w:szCs w:val="20"/>
                <w:lang w:val="en-US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东财证券</w:t>
            </w:r>
            <w:r w:rsidR="00D6633A" w:rsidRPr="00D6633A">
              <w:rPr>
                <w:rFonts w:ascii="宋体" w:eastAsia="宋体" w:hAnsi="宋体" w:cs="宋体"/>
                <w:sz w:val="20"/>
                <w:szCs w:val="20"/>
                <w:lang w:val="en-US"/>
              </w:rPr>
              <w:t xml:space="preserve"> 马行川</w:t>
            </w:r>
          </w:p>
        </w:tc>
      </w:tr>
      <w:tr w:rsidR="00480E88" w:rsidRPr="00CB5B6B" w14:paraId="07DE405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Pr="00CB5B6B" w:rsidRDefault="00296D90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1C23B79" w14:textId="5B333DEF" w:rsidR="00480E88" w:rsidRPr="00CB5B6B" w:rsidRDefault="009B5A48" w:rsidP="00D6633A">
            <w:pPr>
              <w:rPr>
                <w:rFonts w:ascii="宋体" w:eastAsia="宋体" w:hAnsi="宋体"/>
                <w:sz w:val="20"/>
                <w:szCs w:val="20"/>
              </w:rPr>
            </w:pPr>
            <w:r w:rsidRPr="00CB5B6B">
              <w:rPr>
                <w:rFonts w:ascii="宋体" w:eastAsia="宋体" w:hAnsi="宋体" w:cstheme="minorEastAsia" w:hint="eastAsia"/>
                <w:sz w:val="20"/>
                <w:szCs w:val="20"/>
              </w:rPr>
              <w:t>202</w:t>
            </w:r>
            <w:r w:rsidRPr="00CB5B6B">
              <w:rPr>
                <w:rFonts w:ascii="宋体" w:eastAsia="宋体" w:hAnsi="宋体" w:cstheme="minorEastAsia"/>
                <w:sz w:val="20"/>
                <w:szCs w:val="20"/>
              </w:rPr>
              <w:t>5</w:t>
            </w:r>
            <w:r w:rsidR="00296D90" w:rsidRPr="00CB5B6B">
              <w:rPr>
                <w:rFonts w:ascii="宋体" w:eastAsia="宋体" w:hAnsi="宋体" w:cstheme="minorEastAsia" w:hint="eastAsia"/>
                <w:sz w:val="20"/>
                <w:szCs w:val="20"/>
              </w:rPr>
              <w:t>年0</w:t>
            </w:r>
            <w:r w:rsidR="001F286D" w:rsidRPr="00CB5B6B">
              <w:rPr>
                <w:rFonts w:ascii="宋体" w:eastAsia="宋体" w:hAnsi="宋体" w:cstheme="minorEastAsia"/>
                <w:sz w:val="20"/>
                <w:szCs w:val="20"/>
              </w:rPr>
              <w:t>4</w:t>
            </w:r>
            <w:r w:rsidR="00296D90" w:rsidRPr="00CB5B6B">
              <w:rPr>
                <w:rFonts w:ascii="宋体" w:eastAsia="宋体" w:hAnsi="宋体" w:cstheme="minorEastAsia" w:hint="eastAsia"/>
                <w:sz w:val="20"/>
                <w:szCs w:val="20"/>
              </w:rPr>
              <w:t>月</w:t>
            </w:r>
            <w:r w:rsidRPr="00CB5B6B">
              <w:rPr>
                <w:rFonts w:ascii="宋体" w:eastAsia="宋体" w:hAnsi="宋体" w:cstheme="minorEastAsia"/>
                <w:sz w:val="20"/>
                <w:szCs w:val="20"/>
              </w:rPr>
              <w:t>1</w:t>
            </w:r>
            <w:r w:rsidR="001C5900" w:rsidRPr="00CB5B6B">
              <w:rPr>
                <w:rFonts w:ascii="宋体" w:eastAsia="宋体" w:hAnsi="宋体" w:cstheme="minorEastAsia"/>
                <w:sz w:val="20"/>
                <w:szCs w:val="20"/>
              </w:rPr>
              <w:t>5</w:t>
            </w:r>
            <w:r w:rsidR="00296D90" w:rsidRPr="00CB5B6B">
              <w:rPr>
                <w:rFonts w:ascii="宋体" w:eastAsia="宋体" w:hAnsi="宋体" w:cstheme="minorEastAsia" w:hint="eastAsia"/>
                <w:sz w:val="20"/>
                <w:szCs w:val="20"/>
              </w:rPr>
              <w:t>日</w:t>
            </w:r>
            <w:r w:rsidR="00CB5B6B" w:rsidRPr="00CB5B6B">
              <w:rPr>
                <w:rFonts w:ascii="宋体" w:eastAsia="宋体" w:hAnsi="宋体" w:cstheme="minorEastAsia"/>
                <w:sz w:val="20"/>
                <w:szCs w:val="20"/>
              </w:rPr>
              <w:t>-2025年</w:t>
            </w:r>
            <w:r w:rsidR="00CB5B6B" w:rsidRPr="00CB5B6B">
              <w:rPr>
                <w:rFonts w:ascii="宋体" w:eastAsia="宋体" w:hAnsi="宋体" w:cstheme="minorEastAsia" w:hint="eastAsia"/>
                <w:sz w:val="20"/>
                <w:szCs w:val="20"/>
              </w:rPr>
              <w:t>04月2</w:t>
            </w:r>
            <w:r w:rsidR="00D6633A">
              <w:rPr>
                <w:rFonts w:ascii="宋体" w:eastAsia="宋体" w:hAnsi="宋体" w:cstheme="minorEastAsia"/>
                <w:sz w:val="20"/>
                <w:szCs w:val="20"/>
              </w:rPr>
              <w:t>5</w:t>
            </w:r>
            <w:r w:rsidR="00CB5B6B" w:rsidRPr="00CB5B6B">
              <w:rPr>
                <w:rFonts w:ascii="宋体" w:eastAsia="宋体" w:hAnsi="宋体" w:cstheme="minorEastAsia"/>
                <w:sz w:val="20"/>
                <w:szCs w:val="20"/>
              </w:rPr>
              <w:t>日</w:t>
            </w:r>
          </w:p>
        </w:tc>
      </w:tr>
      <w:tr w:rsidR="00480E88" w:rsidRPr="00CB5B6B" w14:paraId="6AE5E91F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Pr="00CB5B6B" w:rsidRDefault="00296D90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0286EA5" w14:textId="42B1E275" w:rsidR="00480E88" w:rsidRPr="00CB5B6B" w:rsidRDefault="00CB5B6B" w:rsidP="00CB5B6B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</w:rPr>
              <w:t>公司总部会议室</w:t>
            </w:r>
          </w:p>
        </w:tc>
      </w:tr>
      <w:tr w:rsidR="00480E88" w:rsidRPr="00CB5B6B" w14:paraId="19BBC24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Pr="00CB5B6B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D770DA6" w14:textId="54DB0614" w:rsidR="00480E88" w:rsidRPr="00CB5B6B" w:rsidRDefault="00296D90" w:rsidP="00CB5B6B">
            <w:pPr>
              <w:pStyle w:val="TableParagraph"/>
              <w:spacing w:beforeLines="50" w:before="12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</w:rPr>
              <w:t>董事、董事会秘书</w:t>
            </w:r>
            <w:r w:rsidR="00F76528">
              <w:rPr>
                <w:rFonts w:ascii="宋体" w:eastAsia="宋体" w:hAnsi="宋体" w:cs="宋体"/>
                <w:sz w:val="20"/>
                <w:szCs w:val="20"/>
              </w:rPr>
              <w:t>：</w:t>
            </w:r>
            <w:r w:rsidRPr="00CB5B6B">
              <w:rPr>
                <w:rFonts w:ascii="宋体" w:eastAsia="宋体" w:hAnsi="宋体" w:cs="宋体"/>
                <w:sz w:val="20"/>
                <w:szCs w:val="20"/>
              </w:rPr>
              <w:t>张亮</w:t>
            </w:r>
            <w:r w:rsidRPr="00CB5B6B">
              <w:rPr>
                <w:rFonts w:ascii="宋体" w:eastAsia="宋体" w:hAnsi="宋体" w:cs="宋体"/>
                <w:sz w:val="20"/>
                <w:szCs w:val="20"/>
              </w:rPr>
              <w:br/>
            </w:r>
            <w:r w:rsidR="00CB5B6B" w:rsidRPr="00CB5B6B">
              <w:rPr>
                <w:rFonts w:ascii="宋体" w:eastAsia="宋体" w:hAnsi="宋体" w:cs="宋体"/>
                <w:sz w:val="20"/>
                <w:szCs w:val="20"/>
              </w:rPr>
              <w:t>证券事务代表：卞欢</w:t>
            </w:r>
          </w:p>
        </w:tc>
      </w:tr>
      <w:tr w:rsidR="00480E88" w:rsidRPr="00CB5B6B" w14:paraId="1E560B99" w14:textId="77777777" w:rsidTr="00CD1A96">
        <w:trPr>
          <w:trHeight w:val="1408"/>
          <w:jc w:val="center"/>
        </w:trPr>
        <w:tc>
          <w:tcPr>
            <w:tcW w:w="2580" w:type="dxa"/>
          </w:tcPr>
          <w:p w14:paraId="10A5DBE7" w14:textId="77777777" w:rsidR="00480E88" w:rsidRPr="00CB5B6B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0061DF2" w14:textId="77777777" w:rsidR="00480E88" w:rsidRPr="00CB5B6B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3786841" w14:textId="77777777" w:rsidR="00480E88" w:rsidRPr="00CB5B6B" w:rsidRDefault="00480E88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C1674E6" w14:textId="77777777" w:rsidR="00480E88" w:rsidRPr="00CB5B6B" w:rsidRDefault="00296D9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4568D6E" w14:textId="5DDA8774" w:rsidR="00480E88" w:rsidRDefault="003A7693" w:rsidP="00D6633A">
            <w:pPr>
              <w:pStyle w:val="TableParagraph"/>
              <w:spacing w:beforeLines="50" w:before="120"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 w:rsidRPr="00CB5B6B">
              <w:rPr>
                <w:rFonts w:ascii="宋体" w:eastAsia="宋体" w:hAnsi="宋体" w:cs="宋体"/>
                <w:b/>
                <w:sz w:val="20"/>
              </w:rPr>
              <w:t>1.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公司业务是否受到中美对等关税影响？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公司直接出口美国产品的业务收入占公司总的业务收入占比小于</w:t>
            </w:r>
            <w:r w:rsidR="00D6633A" w:rsidRPr="00D6633A">
              <w:rPr>
                <w:rFonts w:ascii="宋体" w:eastAsia="宋体" w:hAnsi="宋体" w:cs="宋体"/>
                <w:sz w:val="20"/>
              </w:rPr>
              <w:t xml:space="preserve">4% </w:t>
            </w:r>
            <w:r w:rsidR="00D6633A">
              <w:rPr>
                <w:rFonts w:ascii="宋体" w:eastAsia="宋体" w:hAnsi="宋体" w:cs="宋体"/>
                <w:sz w:val="20"/>
              </w:rPr>
              <w:t>，</w:t>
            </w:r>
            <w:r w:rsidR="00D6633A" w:rsidRPr="00D6633A">
              <w:rPr>
                <w:rFonts w:ascii="宋体" w:eastAsia="宋体" w:hAnsi="宋体" w:cs="宋体"/>
                <w:sz w:val="20"/>
              </w:rPr>
              <w:t>且部分产品在泰国工厂生产；主要贸易模式为FOB贸易模式，由客户进口报关并承担相应关税，从目前的情况来看，受到的影响较小，下游客户出口美国受关税影响目前较难评估。若后期相关贸易政策进一步调整或长期延续，可能对全球供应链带来不确定性。公司会持续关注政策演变，动态评估潜在影响并采取相应应对措施。</w:t>
            </w:r>
            <w:r w:rsidRPr="00CB5B6B">
              <w:rPr>
                <w:rFonts w:ascii="宋体" w:eastAsia="宋体" w:hAnsi="宋体" w:cs="宋体"/>
                <w:sz w:val="20"/>
              </w:rPr>
              <w:br/>
            </w:r>
            <w:r w:rsidRPr="00CB5B6B"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2024年度境内外市场增速情况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t>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公司</w:t>
            </w:r>
            <w:r w:rsidR="00D6633A" w:rsidRPr="00D6633A">
              <w:rPr>
                <w:rFonts w:ascii="宋体" w:eastAsia="宋体" w:hAnsi="宋体" w:cs="宋体"/>
                <w:sz w:val="20"/>
              </w:rPr>
              <w:t>2024年境内收入同比增长23.43%，境外收入同比增长8.94%，境内收入增幅高于境外收入增幅。</w:t>
            </w:r>
            <w:r w:rsidRPr="00CB5B6B">
              <w:rPr>
                <w:rFonts w:ascii="宋体" w:eastAsia="宋体" w:hAnsi="宋体" w:cs="宋体"/>
                <w:sz w:val="20"/>
              </w:rPr>
              <w:br/>
            </w:r>
            <w:r w:rsidRPr="00CB5B6B"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新能源车电热元件业务国内市场开发情况</w:t>
            </w:r>
            <w:r w:rsidR="00D6633A">
              <w:rPr>
                <w:rFonts w:ascii="宋体" w:eastAsia="宋体" w:hAnsi="宋体" w:cs="宋体"/>
                <w:b/>
                <w:sz w:val="20"/>
              </w:rPr>
              <w:t>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lastRenderedPageBreak/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公司新能源车电热元件领域业务收入</w:t>
            </w:r>
            <w:r w:rsidR="00D6633A" w:rsidRPr="00D6633A">
              <w:rPr>
                <w:rFonts w:ascii="宋体" w:eastAsia="宋体" w:hAnsi="宋体" w:cs="宋体"/>
                <w:sz w:val="20"/>
              </w:rPr>
              <w:t>2024年保持持续增长。公司继续深化与全球知名汽车零部件供应商博格华纳、海信三电、韩国佑理、法雷奥、马瑞利等的战略合作，并积极与国内汽车零部件供应商合作，拓展在国内自主品牌新能源车上的使用。</w:t>
            </w:r>
            <w:r w:rsidRPr="00CB5B6B">
              <w:rPr>
                <w:rFonts w:ascii="宋体" w:eastAsia="宋体" w:hAnsi="宋体" w:cs="宋体"/>
                <w:sz w:val="20"/>
              </w:rPr>
              <w:br/>
            </w:r>
            <w:r w:rsidRPr="00CB5B6B"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暖通业务的情况？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由于欧洲政策不确定因素导致前两年暖通电器业务收入下降，目前市场端有所恢复。</w:t>
            </w:r>
            <w:r w:rsidRPr="00CB5B6B">
              <w:rPr>
                <w:rFonts w:ascii="宋体" w:eastAsia="宋体" w:hAnsi="宋体" w:cs="宋体"/>
                <w:sz w:val="20"/>
              </w:rPr>
              <w:br/>
            </w:r>
            <w:r w:rsidRPr="00CB5B6B"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公司是否会拓展在新能源车领域的其他应用？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公司会持续关注在新能源车领域除目前已有业务以外的拓展，公司已成为新能源车领域核心部件的供应商，未来持续拓展至其他应用的可行性较高，公司将依据在电加热领域多年积累的经验，加强相关多元化业务布局，拓展在新能源车领域其他方向的应用。</w:t>
            </w:r>
            <w:r w:rsidRPr="00CB5B6B">
              <w:rPr>
                <w:rFonts w:ascii="宋体" w:eastAsia="宋体" w:hAnsi="宋体" w:cs="宋体"/>
                <w:sz w:val="20"/>
              </w:rPr>
              <w:br/>
            </w:r>
            <w:r w:rsidRPr="00CB5B6B"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公司日常销售业务中会涉及招投标吗？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公司日常业务中定价原则呈多样性，其中部分客户会根据一定时期内采购数量、产品类别等进行招投标。</w:t>
            </w:r>
            <w:r w:rsidRPr="00CB5B6B">
              <w:rPr>
                <w:rFonts w:ascii="宋体" w:eastAsia="宋体" w:hAnsi="宋体" w:cs="宋体"/>
                <w:sz w:val="20"/>
              </w:rPr>
              <w:br/>
            </w:r>
            <w:r w:rsidRPr="00CB5B6B">
              <w:rPr>
                <w:rFonts w:ascii="宋体" w:eastAsia="宋体" w:hAnsi="宋体" w:cs="宋体"/>
                <w:b/>
                <w:sz w:val="20"/>
              </w:rPr>
              <w:t xml:space="preserve">    7.</w:t>
            </w:r>
            <w:r w:rsidR="00D6633A" w:rsidRPr="00D6633A">
              <w:rPr>
                <w:rFonts w:ascii="宋体" w:eastAsia="宋体" w:hAnsi="宋体" w:cs="宋体"/>
                <w:b/>
                <w:sz w:val="20"/>
              </w:rPr>
              <w:t>公司产品主要原材料有哪些？大宗原材料是否做套期保值？</w:t>
            </w:r>
            <w:r w:rsidRPr="00CB5B6B">
              <w:rPr>
                <w:rFonts w:ascii="宋体" w:eastAsia="宋体" w:hAnsi="宋体" w:cs="宋体"/>
                <w:b/>
                <w:sz w:val="20"/>
              </w:rPr>
              <w:br/>
            </w:r>
            <w:r w:rsidRPr="00CB5B6B">
              <w:rPr>
                <w:rFonts w:ascii="宋体" w:eastAsia="宋体" w:hAnsi="宋体" w:cs="宋体"/>
                <w:sz w:val="20"/>
              </w:rPr>
              <w:t xml:space="preserve">    答</w:t>
            </w:r>
            <w:r w:rsidR="007113B6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D6633A" w:rsidRPr="00D6633A">
              <w:rPr>
                <w:rFonts w:ascii="宋体" w:eastAsia="宋体" w:hAnsi="宋体" w:cs="宋体" w:hint="eastAsia"/>
                <w:sz w:val="20"/>
              </w:rPr>
              <w:t>公司主要原材料为五金件、不锈钢带料、氧化镁粉、电阻丝、铝锭、铜管等，其中公司对部分铜材进行了期货套期保值。</w:t>
            </w:r>
          </w:p>
          <w:p w14:paraId="127247A0" w14:textId="77777777" w:rsidR="00D6633A" w:rsidRPr="00D6633A" w:rsidRDefault="00D6633A" w:rsidP="00D6633A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D6633A">
              <w:rPr>
                <w:rFonts w:ascii="宋体" w:eastAsia="宋体" w:hAnsi="宋体" w:cs="宋体"/>
                <w:b/>
                <w:sz w:val="20"/>
                <w:szCs w:val="20"/>
              </w:rPr>
              <w:t>8.公司是否考虑收并购？</w:t>
            </w:r>
          </w:p>
          <w:p w14:paraId="04E7ADD6" w14:textId="43ADD754" w:rsidR="00D6633A" w:rsidRPr="00CB5B6B" w:rsidRDefault="00D6633A" w:rsidP="00D6633A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答：</w:t>
            </w:r>
            <w:r w:rsidRPr="00D6633A">
              <w:rPr>
                <w:rFonts w:ascii="宋体" w:eastAsia="宋体" w:hAnsi="宋体" w:cs="宋体" w:hint="eastAsia"/>
                <w:sz w:val="20"/>
                <w:szCs w:val="20"/>
              </w:rPr>
              <w:t>公司将持续聚焦主业，坚持稳健经营，不断提升盈利能力，推动公司高质量发展，同时将根据市场需求，结合自身发展战略，不断关注、挖掘与公司具有良好协同效应的，与公司发展战略相匹配的收并购项目。</w:t>
            </w:r>
          </w:p>
        </w:tc>
      </w:tr>
      <w:tr w:rsidR="00480E88" w:rsidRPr="00CB5B6B" w14:paraId="33954B78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Pr="00CB5B6B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Pr="00CB5B6B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FF752C1" w14:textId="77777777" w:rsidR="00480E88" w:rsidRPr="00CB5B6B" w:rsidRDefault="00296D9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80E88" w:rsidRPr="00CB5B6B" w14:paraId="2648E4C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Pr="00CB5B6B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593915D" w14:textId="345C0FEA" w:rsidR="00480E88" w:rsidRPr="00CB5B6B" w:rsidRDefault="003F5B5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 w:rsidR="00480E88" w:rsidRPr="00CB5B6B" w14:paraId="6420F70A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Pr="00CB5B6B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B5B6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7684E641" w14:textId="4A00C9D4" w:rsidR="00480E88" w:rsidRPr="00CB5B6B" w:rsidRDefault="00296D90" w:rsidP="00C01743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 w:rsidRPr="00CB5B6B"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9B5A48" w:rsidRPr="00CB5B6B">
              <w:rPr>
                <w:rFonts w:ascii="宋体" w:eastAsia="宋体" w:hAnsi="宋体" w:cs="宋体"/>
                <w:sz w:val="20"/>
                <w:szCs w:val="20"/>
              </w:rPr>
              <w:t>5</w:t>
            </w:r>
            <w:r w:rsidRPr="00CB5B6B">
              <w:rPr>
                <w:rFonts w:ascii="宋体" w:eastAsia="宋体" w:hAnsi="宋体" w:cs="宋体"/>
                <w:sz w:val="20"/>
                <w:szCs w:val="20"/>
              </w:rPr>
              <w:t>年0</w:t>
            </w:r>
            <w:r w:rsidR="009B5A48" w:rsidRPr="00CB5B6B">
              <w:rPr>
                <w:rFonts w:ascii="宋体" w:eastAsia="宋体" w:hAnsi="宋体" w:cs="宋体"/>
                <w:sz w:val="20"/>
                <w:szCs w:val="20"/>
              </w:rPr>
              <w:t>4</w:t>
            </w:r>
            <w:r w:rsidRPr="00CB5B6B"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CB5B6B" w:rsidRPr="00CB5B6B">
              <w:rPr>
                <w:rFonts w:ascii="宋体" w:eastAsia="宋体" w:hAnsi="宋体" w:cs="宋体"/>
                <w:sz w:val="20"/>
                <w:szCs w:val="20"/>
              </w:rPr>
              <w:t>2</w:t>
            </w:r>
            <w:r w:rsidR="00C01743">
              <w:rPr>
                <w:rFonts w:ascii="宋体" w:eastAsia="宋体" w:hAnsi="宋体" w:cs="宋体"/>
                <w:sz w:val="20"/>
                <w:szCs w:val="20"/>
              </w:rPr>
              <w:t>8</w:t>
            </w:r>
            <w:bookmarkStart w:id="0" w:name="_GoBack"/>
            <w:bookmarkEnd w:id="0"/>
            <w:r w:rsidRPr="00CB5B6B"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Pr="00CB5B6B" w:rsidRDefault="00480E88">
      <w:pPr>
        <w:rPr>
          <w:rFonts w:ascii="宋体" w:eastAsia="宋体" w:hAnsi="宋体" w:cs="宋体"/>
          <w:sz w:val="28"/>
          <w:szCs w:val="36"/>
        </w:rPr>
      </w:pPr>
    </w:p>
    <w:sectPr w:rsidR="00480E88" w:rsidRPr="00CB5B6B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2F03"/>
    <w:rsid w:val="000877AB"/>
    <w:rsid w:val="000B7C08"/>
    <w:rsid w:val="000D12CF"/>
    <w:rsid w:val="000D2D88"/>
    <w:rsid w:val="000E4B20"/>
    <w:rsid w:val="0011418F"/>
    <w:rsid w:val="00172C24"/>
    <w:rsid w:val="00175155"/>
    <w:rsid w:val="001C5900"/>
    <w:rsid w:val="001E59D1"/>
    <w:rsid w:val="001E5EA4"/>
    <w:rsid w:val="001F286D"/>
    <w:rsid w:val="002042A7"/>
    <w:rsid w:val="00205911"/>
    <w:rsid w:val="002146AD"/>
    <w:rsid w:val="00275CB6"/>
    <w:rsid w:val="002800B5"/>
    <w:rsid w:val="00295B29"/>
    <w:rsid w:val="00296D90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71B49"/>
    <w:rsid w:val="005743AE"/>
    <w:rsid w:val="005B5E30"/>
    <w:rsid w:val="005D64CA"/>
    <w:rsid w:val="005E5717"/>
    <w:rsid w:val="005E6DB2"/>
    <w:rsid w:val="006128C0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13B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5A48"/>
    <w:rsid w:val="009C2E31"/>
    <w:rsid w:val="009E1955"/>
    <w:rsid w:val="00A527AA"/>
    <w:rsid w:val="00A5684D"/>
    <w:rsid w:val="00A6049A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01743"/>
    <w:rsid w:val="00C13878"/>
    <w:rsid w:val="00CA1705"/>
    <w:rsid w:val="00CB5B6B"/>
    <w:rsid w:val="00CC16FF"/>
    <w:rsid w:val="00CD1A96"/>
    <w:rsid w:val="00CE1A54"/>
    <w:rsid w:val="00CF5FB6"/>
    <w:rsid w:val="00D02518"/>
    <w:rsid w:val="00D17454"/>
    <w:rsid w:val="00D33FBC"/>
    <w:rsid w:val="00D65860"/>
    <w:rsid w:val="00D6633A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5544B"/>
    <w:rsid w:val="00F76528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C1C3-6DAD-4D6C-ABE6-3354CCEC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1178</Words>
  <Characters>274</Characters>
  <Application>Microsoft Office Word</Application>
  <DocSecurity>0</DocSecurity>
  <Lines>2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zqdl</cp:lastModifiedBy>
  <cp:revision>28</cp:revision>
  <dcterms:created xsi:type="dcterms:W3CDTF">2022-04-12T06:10:00Z</dcterms:created>
  <dcterms:modified xsi:type="dcterms:W3CDTF">2025-04-27T07:53:00Z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