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D5F59" w14:textId="77777777" w:rsidR="005337B7" w:rsidRPr="004A1640" w:rsidRDefault="005337B7" w:rsidP="006D2426">
      <w:pPr>
        <w:spacing w:beforeLines="50" w:before="156" w:afterLines="50" w:after="156"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证券代码：</w:t>
      </w:r>
      <w:r w:rsidR="007A7195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603056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  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证券简称：</w:t>
      </w:r>
      <w:r w:rsidR="007A7195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德邦股份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</w:t>
      </w:r>
    </w:p>
    <w:p w14:paraId="640FC155" w14:textId="73A06349" w:rsidR="005337B7" w:rsidRPr="004A1640" w:rsidRDefault="0002163D" w:rsidP="007A7CB9">
      <w:pPr>
        <w:spacing w:beforeLines="50" w:before="156" w:afterLines="50" w:after="156" w:line="360" w:lineRule="auto"/>
        <w:jc w:val="center"/>
        <w:rPr>
          <w:rFonts w:ascii="华文楷体" w:eastAsia="华文楷体" w:hAnsi="华文楷体"/>
          <w:b/>
          <w:bCs/>
          <w:iCs/>
          <w:color w:val="000000"/>
          <w:sz w:val="32"/>
          <w:szCs w:val="32"/>
        </w:rPr>
      </w:pPr>
      <w:r w:rsidRPr="004A1640"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德邦物流</w:t>
      </w:r>
      <w:r w:rsidR="005337B7" w:rsidRPr="004A1640"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B78B837" w14:textId="3CDD7014" w:rsidR="005337B7" w:rsidRPr="004A1640" w:rsidRDefault="005337B7" w:rsidP="006D2426">
      <w:pPr>
        <w:spacing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                                     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</w:t>
      </w:r>
      <w:r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编号：20</w:t>
      </w:r>
      <w:r w:rsidR="00B502C5" w:rsidRPr="00FF5FD2">
        <w:rPr>
          <w:rFonts w:ascii="华文楷体" w:eastAsia="华文楷体" w:hAnsi="华文楷体"/>
          <w:bCs/>
          <w:iCs/>
          <w:color w:val="000000"/>
          <w:sz w:val="24"/>
        </w:rPr>
        <w:t>2</w:t>
      </w:r>
      <w:r w:rsidR="00BF44FC">
        <w:rPr>
          <w:rFonts w:ascii="华文楷体" w:eastAsia="华文楷体" w:hAnsi="华文楷体"/>
          <w:bCs/>
          <w:iCs/>
          <w:color w:val="000000"/>
          <w:sz w:val="24"/>
        </w:rPr>
        <w:t>5</w:t>
      </w:r>
      <w:r w:rsidR="00FF5FD2"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-</w:t>
      </w:r>
      <w:r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00</w:t>
      </w:r>
      <w:r w:rsidR="008D4592">
        <w:rPr>
          <w:rFonts w:ascii="华文楷体" w:eastAsia="华文楷体" w:hAnsi="华文楷体"/>
          <w:bCs/>
          <w:iCs/>
          <w:color w:val="000000"/>
          <w:sz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8685"/>
      </w:tblGrid>
      <w:tr w:rsidR="005337B7" w:rsidRPr="00BF44FC" w14:paraId="3C9CF220" w14:textId="77777777" w:rsidTr="00706987">
        <w:trPr>
          <w:trHeight w:val="2721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3C1" w14:textId="77777777" w:rsidR="005337B7" w:rsidRPr="004A1640" w:rsidRDefault="005337B7" w:rsidP="006D2426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投资者关系活动类别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1C8" w14:textId="02F7EC69" w:rsidR="005337B7" w:rsidRPr="004A1640" w:rsidRDefault="008D4592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 xml:space="preserve">特定对象调研        </w:t>
            </w:r>
            <w:r w:rsidR="004258F3"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分析师会议</w:t>
            </w:r>
          </w:p>
          <w:p w14:paraId="227B4A70" w14:textId="6BCA2041" w:rsidR="005337B7" w:rsidRPr="004A1640" w:rsidRDefault="005337B7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 xml:space="preserve">媒体采访            </w:t>
            </w:r>
            <w:r w:rsidR="008D4592">
              <w:rPr>
                <w:rFonts w:ascii="华文楷体" w:eastAsia="华文楷体" w:hAnsi="华文楷体" w:hint="eastAsia"/>
                <w:sz w:val="22"/>
              </w:rPr>
              <w:t>√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>业绩说明会</w:t>
            </w:r>
          </w:p>
          <w:p w14:paraId="6EE369ED" w14:textId="77777777" w:rsidR="005337B7" w:rsidRPr="004A1640" w:rsidRDefault="005337B7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 xml:space="preserve">新闻发布会          </w:t>
            </w: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>路演活动</w:t>
            </w:r>
          </w:p>
          <w:p w14:paraId="25638EA1" w14:textId="77777777" w:rsidR="005337B7" w:rsidRPr="004A1640" w:rsidRDefault="009D069C" w:rsidP="006D242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现场参观</w:t>
            </w:r>
            <w:r w:rsidR="005337B7"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ab/>
            </w:r>
          </w:p>
          <w:p w14:paraId="77636EC2" w14:textId="24BD40E2" w:rsidR="005337B7" w:rsidRPr="004A1640" w:rsidRDefault="00077B93" w:rsidP="006D2426">
            <w:pPr>
              <w:tabs>
                <w:tab w:val="center" w:pos="3199"/>
              </w:tabs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其他 （</w:t>
            </w:r>
            <w:r w:rsidR="005337B7" w:rsidRPr="004A1640">
              <w:rPr>
                <w:rFonts w:ascii="华文楷体" w:eastAsia="华文楷体" w:hAnsi="华文楷体" w:hint="eastAsia"/>
                <w:sz w:val="22"/>
                <w:u w:val="single"/>
              </w:rPr>
              <w:t>请文字说明其他活动内容）</w:t>
            </w:r>
          </w:p>
        </w:tc>
      </w:tr>
      <w:tr w:rsidR="002C2F0E" w:rsidRPr="00AC180B" w14:paraId="43478CD5" w14:textId="77777777" w:rsidTr="00706987">
        <w:trPr>
          <w:trHeight w:val="114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3F5" w14:textId="77777777" w:rsid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参与单位名称及</w:t>
            </w:r>
          </w:p>
          <w:p w14:paraId="13961225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DE5" w14:textId="10D1BC0D" w:rsidR="00F0457B" w:rsidRPr="00554267" w:rsidRDefault="00CB0AF3" w:rsidP="00554267">
            <w:pPr>
              <w:spacing w:line="360" w:lineRule="auto"/>
              <w:rPr>
                <w:rFonts w:ascii="华文楷体" w:eastAsia="华文楷体" w:hAnsi="华文楷体"/>
                <w:sz w:val="22"/>
              </w:rPr>
            </w:pPr>
            <w:r w:rsidRPr="00CB0AF3">
              <w:rPr>
                <w:rFonts w:ascii="华文楷体" w:eastAsia="华文楷体" w:hAnsi="华文楷体"/>
                <w:sz w:val="22"/>
              </w:rPr>
              <w:t>中金公司、</w:t>
            </w:r>
            <w:r w:rsidR="00550977">
              <w:rPr>
                <w:rFonts w:ascii="华文楷体" w:eastAsia="华文楷体" w:hAnsi="华文楷体" w:hint="eastAsia"/>
                <w:sz w:val="22"/>
              </w:rPr>
              <w:t>中信证券、招商证券、长江证券、申万证券、摩根士丹利亚洲有限公司、</w:t>
            </w:r>
            <w:r w:rsidR="00550977" w:rsidRPr="00550977">
              <w:rPr>
                <w:rFonts w:ascii="华文楷体" w:eastAsia="华文楷体" w:hAnsi="华文楷体" w:hint="eastAsia"/>
                <w:sz w:val="22"/>
              </w:rPr>
              <w:t>Goldman Sachs (Asia) L.L</w:t>
            </w:r>
            <w:r w:rsidR="00550977">
              <w:rPr>
                <w:rFonts w:ascii="华文楷体" w:eastAsia="华文楷体" w:hAnsi="华文楷体"/>
                <w:sz w:val="22"/>
              </w:rPr>
              <w:t>C</w:t>
            </w:r>
            <w:r w:rsidR="00550977" w:rsidRPr="00550977">
              <w:rPr>
                <w:rFonts w:ascii="华文楷体" w:eastAsia="华文楷体" w:hAnsi="华文楷体" w:hint="eastAsia"/>
                <w:sz w:val="22"/>
              </w:rPr>
              <w:t>.</w:t>
            </w:r>
            <w:r w:rsidR="00550977">
              <w:rPr>
                <w:rFonts w:ascii="华文楷体" w:eastAsia="华文楷体" w:hAnsi="华文楷体" w:hint="eastAsia"/>
                <w:sz w:val="22"/>
              </w:rPr>
              <w:t>、国海证券、国联证券、国金证券、汇丰前海证券、中信建投证券、西部证券、国泰海通证券、中银国际证券、华泰证券、国信证券、民生证券、国都证券、信达证券、润桂投资、</w:t>
            </w:r>
            <w:r w:rsidR="00550977" w:rsidRPr="00550977">
              <w:rPr>
                <w:rFonts w:ascii="华文楷体" w:eastAsia="华文楷体" w:hAnsi="华文楷体" w:hint="eastAsia"/>
                <w:sz w:val="22"/>
              </w:rPr>
              <w:t>鸿运私募基金</w:t>
            </w:r>
            <w:r w:rsidR="008D4592" w:rsidRPr="007B11DF">
              <w:rPr>
                <w:rFonts w:ascii="华文楷体" w:eastAsia="华文楷体" w:hAnsi="华文楷体" w:hint="eastAsia"/>
                <w:sz w:val="22"/>
              </w:rPr>
              <w:t>等</w:t>
            </w:r>
            <w:r w:rsidR="00554267" w:rsidRPr="007B11DF">
              <w:rPr>
                <w:rFonts w:ascii="华文楷体" w:eastAsia="华文楷体" w:hAnsi="华文楷体" w:hint="eastAsia"/>
                <w:sz w:val="22"/>
              </w:rPr>
              <w:t>3</w:t>
            </w:r>
            <w:r w:rsidR="00554267" w:rsidRPr="007B11DF">
              <w:rPr>
                <w:rFonts w:ascii="华文楷体" w:eastAsia="华文楷体" w:hAnsi="华文楷体"/>
                <w:sz w:val="22"/>
              </w:rPr>
              <w:t>1</w:t>
            </w:r>
            <w:r w:rsidR="00047FD3" w:rsidRPr="007B11DF">
              <w:rPr>
                <w:rFonts w:ascii="华文楷体" w:eastAsia="华文楷体" w:hAnsi="华文楷体" w:hint="eastAsia"/>
                <w:sz w:val="22"/>
              </w:rPr>
              <w:t>家机构</w:t>
            </w:r>
            <w:r w:rsidR="00047FD3" w:rsidRPr="007B11DF">
              <w:rPr>
                <w:rFonts w:ascii="华文楷体" w:eastAsia="华文楷体" w:hAnsi="华文楷体"/>
                <w:sz w:val="22"/>
              </w:rPr>
              <w:t>共计</w:t>
            </w:r>
            <w:r w:rsidR="00BF44FC" w:rsidRPr="007B11DF">
              <w:rPr>
                <w:rFonts w:ascii="华文楷体" w:eastAsia="华文楷体" w:hAnsi="华文楷体" w:hint="eastAsia"/>
                <w:sz w:val="22"/>
              </w:rPr>
              <w:t>4</w:t>
            </w:r>
            <w:r w:rsidR="00BF44FC" w:rsidRPr="007B11DF">
              <w:rPr>
                <w:rFonts w:ascii="华文楷体" w:eastAsia="华文楷体" w:hAnsi="华文楷体"/>
                <w:sz w:val="22"/>
              </w:rPr>
              <w:t>5</w:t>
            </w:r>
            <w:r w:rsidRPr="007B11DF">
              <w:rPr>
                <w:rFonts w:ascii="华文楷体" w:eastAsia="华文楷体" w:hAnsi="华文楷体"/>
                <w:sz w:val="22"/>
              </w:rPr>
              <w:t>人。</w:t>
            </w:r>
          </w:p>
        </w:tc>
      </w:tr>
      <w:tr w:rsidR="002C2F0E" w:rsidRPr="004A1640" w14:paraId="1C0946A8" w14:textId="77777777" w:rsidTr="00706987">
        <w:trPr>
          <w:trHeight w:val="646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9DEC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8B5" w14:textId="225D3917" w:rsidR="002C2F0E" w:rsidRPr="004A1640" w:rsidRDefault="0098588D" w:rsidP="00047FD3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20</w:t>
            </w:r>
            <w:r w:rsidR="00511221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2</w:t>
            </w:r>
            <w:r w:rsidR="00075E92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5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年</w:t>
            </w:r>
            <w:r w:rsidR="00047FD3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4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月</w:t>
            </w:r>
            <w:r w:rsidR="000A5DA9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24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日</w:t>
            </w:r>
            <w:r w:rsidR="000A5DA9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（星期四</w:t>
            </w:r>
            <w:r w:rsidR="005D411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 xml:space="preserve"> 2</w:t>
            </w:r>
            <w:r w:rsidR="005D411D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0</w:t>
            </w:r>
            <w:r w:rsidR="005D411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:3</w:t>
            </w:r>
            <w:r w:rsidR="005D411D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0-21</w:t>
            </w:r>
            <w:r w:rsidR="005D411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:3</w:t>
            </w:r>
            <w:r w:rsidR="005D411D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0</w:t>
            </w:r>
            <w:r w:rsidR="002B0052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）</w:t>
            </w:r>
          </w:p>
        </w:tc>
      </w:tr>
      <w:tr w:rsidR="002C2F0E" w:rsidRPr="0098588D" w14:paraId="28DCD5F7" w14:textId="77777777" w:rsidTr="00706987">
        <w:trPr>
          <w:trHeight w:val="667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58C6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12F" w14:textId="14FE5294" w:rsidR="002C2F0E" w:rsidRPr="004A1640" w:rsidRDefault="002B0052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电话会议</w:t>
            </w:r>
          </w:p>
        </w:tc>
      </w:tr>
      <w:tr w:rsidR="004258F3" w:rsidRPr="005D27B0" w14:paraId="5BF1282D" w14:textId="77777777" w:rsidTr="00D27938">
        <w:trPr>
          <w:trHeight w:val="95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3FEB" w14:textId="77777777" w:rsidR="00CB6095" w:rsidRPr="00CB6095" w:rsidRDefault="004258F3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上市公司</w:t>
            </w:r>
          </w:p>
          <w:p w14:paraId="6CE5F661" w14:textId="77777777" w:rsidR="004258F3" w:rsidRPr="00CB6095" w:rsidRDefault="004258F3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接待人员姓名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98A" w14:textId="077A1C41" w:rsidR="004258F3" w:rsidRPr="00511221" w:rsidRDefault="00D843FE" w:rsidP="000A5DA9">
            <w:pPr>
              <w:spacing w:line="360" w:lineRule="auto"/>
              <w:rPr>
                <w:rFonts w:ascii="华文楷体" w:eastAsia="华文楷体" w:hAnsi="华文楷体"/>
                <w:bCs/>
                <w:iCs/>
                <w:szCs w:val="21"/>
              </w:rPr>
            </w:pPr>
            <w:r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董事会秘书</w:t>
            </w:r>
            <w:r w:rsidR="00511221"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黄金龙</w:t>
            </w:r>
            <w:r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先生</w:t>
            </w:r>
          </w:p>
        </w:tc>
      </w:tr>
      <w:tr w:rsidR="003325A2" w:rsidRPr="002E32CE" w14:paraId="29B76BAA" w14:textId="77777777" w:rsidTr="00706987">
        <w:trPr>
          <w:trHeight w:val="565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668" w14:textId="77777777" w:rsidR="003325A2" w:rsidRPr="004A1640" w:rsidRDefault="003325A2" w:rsidP="006D2426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投资者关系活动主要内容介绍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85F" w14:textId="77777777" w:rsidR="00DE115B" w:rsidRPr="00E2386E" w:rsidRDefault="00DE115B" w:rsidP="00BE5AE7">
            <w:pPr>
              <w:pStyle w:val="a7"/>
              <w:numPr>
                <w:ilvl w:val="0"/>
                <w:numId w:val="23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Cs w:val="21"/>
              </w:rPr>
            </w:pPr>
          </w:p>
          <w:p w14:paraId="772C977C" w14:textId="77777777" w:rsidR="00DE115B" w:rsidRPr="00E2386E" w:rsidRDefault="00DE115B" w:rsidP="00BE5AE7">
            <w:pPr>
              <w:pStyle w:val="a7"/>
              <w:numPr>
                <w:ilvl w:val="0"/>
                <w:numId w:val="23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Cs w:val="21"/>
              </w:rPr>
            </w:pPr>
          </w:p>
          <w:p w14:paraId="3E828657" w14:textId="54910F6D" w:rsidR="00A9733E" w:rsidRDefault="003774DB" w:rsidP="00BE5AE7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第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一</w:t>
            </w: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环节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202</w:t>
            </w:r>
            <w:r w:rsidR="00075E92">
              <w:rPr>
                <w:rFonts w:ascii="华文楷体" w:eastAsia="华文楷体" w:hAnsi="华文楷体"/>
                <w:b/>
                <w:sz w:val="22"/>
                <w:szCs w:val="22"/>
              </w:rPr>
              <w:t>4</w:t>
            </w:r>
            <w:r w:rsidR="00FE0717" w:rsidRPr="00FE0717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年及</w:t>
            </w:r>
            <w:r w:rsid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202</w:t>
            </w:r>
            <w:r w:rsidR="00075E92">
              <w:rPr>
                <w:rFonts w:ascii="华文楷体" w:eastAsia="华文楷体" w:hAnsi="华文楷体"/>
                <w:b/>
                <w:sz w:val="22"/>
                <w:szCs w:val="22"/>
              </w:rPr>
              <w:t>5</w:t>
            </w:r>
            <w:r w:rsidR="00FE0717" w:rsidRPr="00FE0717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年一季度的业绩</w:t>
            </w:r>
            <w:r w:rsidR="00635F2B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说明</w:t>
            </w:r>
          </w:p>
          <w:p w14:paraId="5D359EC6" w14:textId="1C40D0F4" w:rsidR="006669B6" w:rsidRDefault="00C52A0D" w:rsidP="006669B6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（一）</w:t>
            </w:r>
            <w:r w:rsid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</w:t>
            </w:r>
            <w:r w:rsidR="00F6071B">
              <w:rPr>
                <w:rFonts w:ascii="华文楷体" w:eastAsia="华文楷体" w:hAnsi="华文楷体"/>
                <w:b/>
                <w:sz w:val="22"/>
                <w:szCs w:val="22"/>
              </w:rPr>
              <w:t>024</w:t>
            </w:r>
            <w:r w:rsid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年年度业绩情况</w:t>
            </w:r>
          </w:p>
          <w:p w14:paraId="3CB894FB" w14:textId="27DAF668" w:rsidR="00F6071B" w:rsidRDefault="00C52A0D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1、</w:t>
            </w:r>
            <w:r w:rsidR="006669B6" w:rsidRP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营业收入</w:t>
            </w:r>
            <w:r w:rsidR="008423D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8423DA" w:rsidRPr="008423DA">
              <w:rPr>
                <w:rFonts w:ascii="华文楷体" w:eastAsia="华文楷体" w:hAnsi="华文楷体" w:hint="eastAsia"/>
                <w:sz w:val="22"/>
                <w:szCs w:val="22"/>
              </w:rPr>
              <w:t>公司</w:t>
            </w:r>
            <w:r w:rsidR="007047EF">
              <w:rPr>
                <w:rFonts w:ascii="华文楷体" w:eastAsia="华文楷体" w:hAnsi="华文楷体" w:hint="eastAsia"/>
                <w:sz w:val="22"/>
                <w:szCs w:val="22"/>
              </w:rPr>
              <w:t>202</w:t>
            </w:r>
            <w:r w:rsidR="007047EF">
              <w:rPr>
                <w:rFonts w:ascii="华文楷体" w:eastAsia="华文楷体" w:hAnsi="华文楷体"/>
                <w:sz w:val="22"/>
                <w:szCs w:val="22"/>
              </w:rPr>
              <w:t>4</w:t>
            </w:r>
            <w:r w:rsidR="006669B6" w:rsidRPr="006669B6">
              <w:rPr>
                <w:rFonts w:ascii="华文楷体" w:eastAsia="华文楷体" w:hAnsi="华文楷体" w:hint="eastAsia"/>
                <w:sz w:val="22"/>
                <w:szCs w:val="22"/>
              </w:rPr>
              <w:t>年</w:t>
            </w:r>
            <w:r w:rsidR="008423DA">
              <w:rPr>
                <w:rFonts w:ascii="华文楷体" w:eastAsia="华文楷体" w:hAnsi="华文楷体" w:hint="eastAsia"/>
                <w:sz w:val="22"/>
                <w:szCs w:val="22"/>
              </w:rPr>
              <w:t>营业收入</w:t>
            </w:r>
            <w:r w:rsidR="00CC1865" w:rsidRPr="00CC1865">
              <w:rPr>
                <w:rFonts w:ascii="华文楷体" w:eastAsia="华文楷体" w:hAnsi="华文楷体"/>
                <w:sz w:val="22"/>
                <w:szCs w:val="22"/>
              </w:rPr>
              <w:t>403.63</w:t>
            </w:r>
            <w:r w:rsidR="006669B6" w:rsidRPr="006669B6">
              <w:rPr>
                <w:rFonts w:ascii="华文楷体" w:eastAsia="华文楷体" w:hAnsi="华文楷体" w:hint="eastAsia"/>
                <w:sz w:val="22"/>
                <w:szCs w:val="22"/>
              </w:rPr>
              <w:t>亿，同比增长</w:t>
            </w:r>
            <w:r w:rsidR="00CC1865" w:rsidRPr="00CC1865">
              <w:rPr>
                <w:rFonts w:ascii="华文楷体" w:eastAsia="华文楷体" w:hAnsi="华文楷体" w:hint="eastAsia"/>
                <w:sz w:val="22"/>
                <w:szCs w:val="22"/>
              </w:rPr>
              <w:t>1</w:t>
            </w:r>
            <w:r w:rsidR="00CC1865" w:rsidRPr="00CC1865">
              <w:rPr>
                <w:rFonts w:ascii="华文楷体" w:eastAsia="华文楷体" w:hAnsi="华文楷体"/>
                <w:sz w:val="22"/>
                <w:szCs w:val="22"/>
              </w:rPr>
              <w:t>1.3%</w:t>
            </w:r>
            <w:r w:rsidR="00CD7129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其中，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2024年四季度公司</w:t>
            </w:r>
            <w:r w:rsidR="00A118FF">
              <w:rPr>
                <w:rFonts w:ascii="华文楷体" w:eastAsia="华文楷体" w:hAnsi="华文楷体" w:hint="eastAsia"/>
                <w:sz w:val="22"/>
                <w:szCs w:val="22"/>
              </w:rPr>
              <w:t>营业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收入120.67亿，同比增长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1.4%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5322F54B" w14:textId="5802CF2E" w:rsidR="00F6071B" w:rsidRPr="00F6071B" w:rsidRDefault="00F6071B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分业务看，快运全年收入3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64.60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亿，同比增长1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3.0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%，其中四季度快运收入1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09.46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12.0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7B11DF">
              <w:rPr>
                <w:rFonts w:ascii="华文楷体" w:eastAsia="华文楷体" w:hAnsi="华文楷体" w:hint="eastAsia"/>
                <w:sz w:val="22"/>
                <w:szCs w:val="22"/>
              </w:rPr>
              <w:t>；快递业务全年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收入2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1.92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亿，同比减少1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9.7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CD7129">
              <w:rPr>
                <w:rFonts w:ascii="华文楷体" w:eastAsia="华文楷体" w:hAnsi="华文楷体" w:hint="eastAsia"/>
                <w:sz w:val="22"/>
                <w:szCs w:val="22"/>
              </w:rPr>
              <w:t>，其中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四季度收入5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.84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亿，同比减少12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.3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%；其他业务全年收入1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7.11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34.6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CD7129">
              <w:rPr>
                <w:rFonts w:ascii="华文楷体" w:eastAsia="华文楷体" w:hAnsi="华文楷体" w:hint="eastAsia"/>
                <w:sz w:val="22"/>
                <w:szCs w:val="22"/>
              </w:rPr>
              <w:t>，其中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四季度收入5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.37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亿，同比增长3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5.8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CD7129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7CA25310" w14:textId="7A12127D" w:rsidR="00F6071B" w:rsidRPr="00F6071B" w:rsidRDefault="00F6071B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024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年下半年驱动收入增速企稳回升的核心因素：一方面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，公司内部持续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推动产品分层，在做强基础产品的同时，针对高价值市场，进一步完善时效件产品体系，推出特快当日达、次日达产品，积极拓展高时效需求的市场。另一方面，针对高公斤段市场，公司主动尝试和探索新的运营模式，通过内外部资源整合，快速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实现了高公斤段市场的拓展。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lastRenderedPageBreak/>
              <w:t>此外，从三季度开始，在国家宏观政策调控下经济持续向好，尤其是“国补”政策的落地，对家电等大件消费品的拉动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也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比较明显。</w:t>
            </w:r>
          </w:p>
          <w:p w14:paraId="51C9F5A3" w14:textId="35D5B46F" w:rsidR="00F6071B" w:rsidRDefault="00C52A0D" w:rsidP="00DE23A8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2、</w:t>
            </w:r>
            <w:r w:rsidR="00096523" w:rsidRPr="0009652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经营业绩：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024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年公司归母净利润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8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.61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5.4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，扣非归母净利润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6.37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2.2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随着四季度货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量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提升，各环节资源效能有效改善，叠加网络融合的稳步推进，公司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全年利润总体</w:t>
            </w:r>
            <w:r w:rsidR="00CB134A">
              <w:rPr>
                <w:rFonts w:ascii="华文楷体" w:eastAsia="华文楷体" w:hAnsi="华文楷体" w:hint="eastAsia"/>
                <w:sz w:val="22"/>
                <w:szCs w:val="22"/>
              </w:rPr>
              <w:t>保持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稳步提升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趋势。</w:t>
            </w:r>
          </w:p>
          <w:p w14:paraId="379AD77C" w14:textId="6DFB19E4" w:rsidR="00B27ABD" w:rsidRDefault="00DE23A8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DE23A8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3、现金流：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2024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年公司经营活动产生的现金流入净额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3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3.36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3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年上升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2.1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%，经营现金流保持持续良好。在资本化支出上，2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024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年支出较2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3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年降低1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.2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亿，主要是公司从2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022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年开始基本以维稳性支出为主，核心通过资产合理配置，提升资产利用效能。</w:t>
            </w:r>
            <w:r w:rsidR="00B27ABD" w:rsidRPr="00B27ABD">
              <w:rPr>
                <w:rFonts w:ascii="华文楷体" w:eastAsia="华文楷体" w:hAnsi="华文楷体" w:hint="eastAsia"/>
                <w:sz w:val="22"/>
                <w:szCs w:val="22"/>
              </w:rPr>
              <w:t>到2024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年年底，从公司整体经营情况</w:t>
            </w:r>
            <w:r w:rsidR="004436C3">
              <w:rPr>
                <w:rFonts w:ascii="华文楷体" w:eastAsia="华文楷体" w:hAnsi="华文楷体" w:hint="eastAsia"/>
                <w:sz w:val="22"/>
                <w:szCs w:val="22"/>
              </w:rPr>
              <w:t>看，现金流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逐年逐季</w:t>
            </w:r>
            <w:r w:rsidR="00B27ABD">
              <w:rPr>
                <w:rFonts w:ascii="华文楷体" w:eastAsia="华文楷体" w:hAnsi="华文楷体" w:hint="eastAsia"/>
                <w:sz w:val="22"/>
                <w:szCs w:val="22"/>
              </w:rPr>
              <w:t>在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稳步</w:t>
            </w:r>
            <w:r w:rsidR="00B27ABD">
              <w:rPr>
                <w:rFonts w:ascii="华文楷体" w:eastAsia="华文楷体" w:hAnsi="华文楷体" w:hint="eastAsia"/>
                <w:sz w:val="22"/>
                <w:szCs w:val="22"/>
              </w:rPr>
              <w:t>改善</w:t>
            </w:r>
            <w:r w:rsidR="00B27ABD" w:rsidRPr="00B27ABD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54BACB7A" w14:textId="5D3C0FA7" w:rsidR="006669B6" w:rsidRPr="00F6071B" w:rsidRDefault="00F6071B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4、客户体验：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公司在不断推进产品升级、降本增效的同时，对各业务环节进行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针对性的投入及优化，持续提升客户服务体验。2024年，公司各项交付质量均同比持续改善。在收派服务上：揽收及时率提升至9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5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%以上、当天妥投率提升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4.6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个百分点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、上楼投诉率同比下降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77.5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%；在运输时效上：全程履约率同比提升3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.1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个百分点；在货物安全上：货物破损率同比下降3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7.1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%；最终实现客户整体满意度的持续提升，客户全量有责投诉率同比下降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38.6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3F6CBF8C" w14:textId="5E788749" w:rsidR="00BB1628" w:rsidRDefault="00BB1628" w:rsidP="00BB1628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（二）2</w:t>
            </w:r>
            <w:r w:rsidR="00D578C5">
              <w:rPr>
                <w:rFonts w:ascii="华文楷体" w:eastAsia="华文楷体" w:hAnsi="华文楷体"/>
                <w:b/>
                <w:sz w:val="22"/>
                <w:szCs w:val="22"/>
              </w:rPr>
              <w:t>025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年一季度业绩情况</w:t>
            </w:r>
          </w:p>
          <w:p w14:paraId="25FD4483" w14:textId="5EC53165" w:rsidR="00F6071B" w:rsidRPr="00F6071B" w:rsidRDefault="00070CFA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070CFA">
              <w:rPr>
                <w:rFonts w:ascii="华文楷体" w:eastAsia="华文楷体" w:hAnsi="华文楷体"/>
                <w:b/>
                <w:sz w:val="22"/>
                <w:szCs w:val="22"/>
              </w:rPr>
              <w:t>1</w:t>
            </w:r>
            <w:r w:rsidRPr="00070CF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、营业收入：</w:t>
            </w:r>
            <w:r w:rsidR="007047EF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</w:t>
            </w:r>
            <w:r w:rsidR="007047EF">
              <w:rPr>
                <w:rFonts w:ascii="华文楷体" w:eastAsia="华文楷体" w:hAnsi="华文楷体"/>
                <w:b/>
                <w:sz w:val="22"/>
                <w:szCs w:val="22"/>
              </w:rPr>
              <w:t>0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5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年一季度公司总收入1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04.07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12.0%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；其中，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快运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业务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收入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94.53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2.9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CD7129">
              <w:rPr>
                <w:rFonts w:ascii="华文楷体" w:eastAsia="华文楷体" w:hAnsi="华文楷体" w:hint="eastAsia"/>
                <w:sz w:val="22"/>
                <w:szCs w:val="22"/>
              </w:rPr>
              <w:t>；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快递业务收入4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.83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亿，同比下降了1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%，其他业务收入4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.71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%，同比增长2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3.9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%。</w:t>
            </w:r>
          </w:p>
          <w:p w14:paraId="77C2F5E4" w14:textId="63F6F01F" w:rsidR="006669B6" w:rsidRDefault="005030F4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一季度公司收入快速增长，主要是由去年下半年推出的新产品快速增长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拉动。一方面，时效件产品围绕时效、价格、覆盖、</w:t>
            </w:r>
            <w:r w:rsidR="00FF7FD0">
              <w:rPr>
                <w:rFonts w:ascii="华文楷体" w:eastAsia="华文楷体" w:hAnsi="华文楷体" w:hint="eastAsia"/>
                <w:sz w:val="22"/>
                <w:szCs w:val="22"/>
              </w:rPr>
              <w:t>服务、品质五要素，持续迭代升级，提升了产品竞争力，收入同比有较大提升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；另一方面，高公斤段、低单价的</w:t>
            </w:r>
            <w:r w:rsidR="00FF7FD0">
              <w:rPr>
                <w:rFonts w:ascii="华文楷体" w:eastAsia="华文楷体" w:hAnsi="华文楷体" w:hint="eastAsia"/>
                <w:sz w:val="22"/>
                <w:szCs w:val="22"/>
              </w:rPr>
              <w:t>经济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产品一季度延续了去年四季度高速增长的趋势。</w:t>
            </w:r>
          </w:p>
          <w:p w14:paraId="535B47C0" w14:textId="2610F737" w:rsidR="00F6071B" w:rsidRPr="00A333A0" w:rsidRDefault="002F7EA6" w:rsidP="00A333A0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2F7EA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2、经营业绩：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="007047EF">
              <w:rPr>
                <w:rFonts w:ascii="华文楷体" w:eastAsia="华文楷体" w:hAnsi="华文楷体"/>
                <w:sz w:val="22"/>
                <w:szCs w:val="22"/>
              </w:rPr>
              <w:t>025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年一季度公司归母净利润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-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0.68</w:t>
            </w:r>
            <w:r w:rsidR="007B11DF">
              <w:rPr>
                <w:rFonts w:ascii="华文楷体" w:eastAsia="华文楷体" w:hAnsi="华文楷体" w:hint="eastAsia"/>
                <w:sz w:val="22"/>
                <w:szCs w:val="22"/>
              </w:rPr>
              <w:t>亿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，扣非归母净利润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-1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.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17</w:t>
            </w:r>
            <w:r w:rsidR="007B11DF">
              <w:rPr>
                <w:rFonts w:ascii="华文楷体" w:eastAsia="华文楷体" w:hAnsi="华文楷体" w:hint="eastAsia"/>
                <w:sz w:val="22"/>
                <w:szCs w:val="22"/>
              </w:rPr>
              <w:t>亿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。一季度业绩波动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，主要受几方面影响：</w:t>
            </w:r>
            <w:r w:rsidR="00CB134A">
              <w:rPr>
                <w:rFonts w:ascii="华文楷体" w:eastAsia="华文楷体" w:hAnsi="华文楷体" w:hint="eastAsia"/>
                <w:sz w:val="22"/>
                <w:szCs w:val="22"/>
              </w:rPr>
              <w:t>第一、今年春节放假节点早，年前旺季时间短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，同时，今年春节后企业整体复产复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工节奏也相对较慢</w:t>
            </w:r>
            <w:r w:rsidR="00D03AE5">
              <w:rPr>
                <w:rFonts w:ascii="华文楷体" w:eastAsia="华文楷体" w:hAnsi="华文楷体" w:hint="eastAsia"/>
                <w:sz w:val="22"/>
                <w:szCs w:val="22"/>
              </w:rPr>
              <w:t>；第二、在</w:t>
            </w:r>
            <w:r w:rsidR="00A44938">
              <w:rPr>
                <w:rFonts w:ascii="华文楷体" w:eastAsia="华文楷体" w:hAnsi="华文楷体" w:hint="eastAsia"/>
                <w:sz w:val="22"/>
                <w:szCs w:val="22"/>
              </w:rPr>
              <w:t>产品竞争力及客户体验持续提升上，公司在乡镇全境覆盖、全程履约时效提升等方面进行了部分资源投入</w:t>
            </w:r>
            <w:r w:rsidR="007B11DF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3D1305D4" w14:textId="1B56003D" w:rsidR="006669B6" w:rsidRPr="00F6071B" w:rsidRDefault="007F2223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7F222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3、期间费用：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一季度，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公司期间费用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占收入比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4.97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，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同比下降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1.2个百分点。其中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，管理费用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2.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62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亿，同比减少3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.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76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；销售费用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2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.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01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亿，同比增长8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5.08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，自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023</w:t>
            </w:r>
            <w:r w:rsidR="00A44938">
              <w:rPr>
                <w:rFonts w:ascii="华文楷体" w:eastAsia="华文楷体" w:hAnsi="华文楷体" w:hint="eastAsia"/>
                <w:sz w:val="22"/>
                <w:szCs w:val="22"/>
              </w:rPr>
              <w:t>年开始，公司持续强化销售能力建设，不断壮大销售团队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。从总的期间费用看，经过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一两年的调整，目前已处于较为合理的状态，短期看，未来几个季度，期间费用在绝对金额上整体会保持相对平稳。</w:t>
            </w:r>
          </w:p>
          <w:p w14:paraId="2219FCEE" w14:textId="694E0C40" w:rsidR="003C382D" w:rsidRDefault="001C2683" w:rsidP="007215E1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1C268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4、现金流：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一季度经营现金流净额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10.08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亿，与去年基本持平。在资本化支出上，一季度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1.5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亿，相比去年</w:t>
            </w:r>
            <w:r w:rsidR="0086749E">
              <w:rPr>
                <w:rFonts w:ascii="华文楷体" w:eastAsia="华文楷体" w:hAnsi="华文楷体" w:hint="eastAsia"/>
                <w:sz w:val="22"/>
                <w:szCs w:val="22"/>
              </w:rPr>
              <w:t>同期有所下降，但从规划看，全年资本化支出同比会有一定程度的增加</w:t>
            </w:r>
            <w:r w:rsidR="00F6071B" w:rsidRPr="00B27ABD">
              <w:rPr>
                <w:rFonts w:ascii="华文楷体" w:eastAsia="华文楷体" w:hAnsi="华文楷体" w:hint="eastAsia"/>
                <w:sz w:val="22"/>
                <w:szCs w:val="22"/>
              </w:rPr>
              <w:t>。截止2</w:t>
            </w:r>
            <w:r w:rsidR="00F6071B" w:rsidRPr="00B27ABD">
              <w:rPr>
                <w:rFonts w:ascii="华文楷体" w:eastAsia="华文楷体" w:hAnsi="华文楷体"/>
                <w:sz w:val="22"/>
                <w:szCs w:val="22"/>
              </w:rPr>
              <w:t>025</w:t>
            </w:r>
            <w:r w:rsidR="00F6071B" w:rsidRPr="00B27ABD">
              <w:rPr>
                <w:rFonts w:ascii="华文楷体" w:eastAsia="华文楷体" w:hAnsi="华文楷体" w:hint="eastAsia"/>
                <w:sz w:val="22"/>
                <w:szCs w:val="22"/>
              </w:rPr>
              <w:t>年一季度末，公司可用资金</w:t>
            </w:r>
            <w:r w:rsidR="00781409">
              <w:rPr>
                <w:rFonts w:ascii="华文楷体" w:eastAsia="华文楷体" w:hAnsi="华文楷体" w:hint="eastAsia"/>
                <w:sz w:val="22"/>
                <w:szCs w:val="22"/>
              </w:rPr>
              <w:t>充足</w:t>
            </w:r>
            <w:r w:rsidR="00F6071B" w:rsidRPr="00B27ABD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资产负债结构进一步优化，资产负债率由年初5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0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%下降到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48.7%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，下降1</w:t>
            </w:r>
            <w:r w:rsidR="00F6071B" w:rsidRPr="00F6071B">
              <w:rPr>
                <w:rFonts w:ascii="华文楷体" w:eastAsia="华文楷体" w:hAnsi="华文楷体"/>
                <w:sz w:val="22"/>
                <w:szCs w:val="22"/>
              </w:rPr>
              <w:t>.3</w:t>
            </w:r>
            <w:r w:rsidR="00F6071B" w:rsidRPr="00F6071B">
              <w:rPr>
                <w:rFonts w:ascii="华文楷体" w:eastAsia="华文楷体" w:hAnsi="华文楷体" w:hint="eastAsia"/>
                <w:sz w:val="22"/>
                <w:szCs w:val="22"/>
              </w:rPr>
              <w:t>个百分点。</w:t>
            </w:r>
          </w:p>
          <w:p w14:paraId="7AD8B8C7" w14:textId="462E4C9D" w:rsidR="00F6071B" w:rsidRPr="00F6071B" w:rsidRDefault="00F6071B" w:rsidP="00F6071B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5、客户体验：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一季度公司核心关注的交付质量指标同比持续改善，其中，收派服务上：揽收及时率提升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1.1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个百分点、当天妥投率提升2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.6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个百分点、上楼投诉率同比下降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lastRenderedPageBreak/>
              <w:t>61.9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%；运输时效上：全程履约率同比提升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2.1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个百分点；货物安全上：货物破损率同比下降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36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.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0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%；客户整体满意度上：客户全量有责投诉率同比下降2</w:t>
            </w:r>
            <w:r w:rsidRPr="00F6071B">
              <w:rPr>
                <w:rFonts w:ascii="华文楷体" w:eastAsia="华文楷体" w:hAnsi="华文楷体"/>
                <w:sz w:val="22"/>
                <w:szCs w:val="22"/>
              </w:rPr>
              <w:t>8.9</w:t>
            </w:r>
            <w:r w:rsidRPr="00F6071B">
              <w:rPr>
                <w:rFonts w:ascii="华文楷体" w:eastAsia="华文楷体" w:hAnsi="华文楷体" w:hint="eastAsia"/>
                <w:sz w:val="22"/>
                <w:szCs w:val="22"/>
              </w:rPr>
              <w:t>%。</w:t>
            </w:r>
          </w:p>
          <w:p w14:paraId="2F57A2CD" w14:textId="4F95116B" w:rsidR="00F6071B" w:rsidRPr="00B27ABD" w:rsidRDefault="00FC0344" w:rsidP="007215E1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B27ABD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总结：</w:t>
            </w:r>
          </w:p>
          <w:p w14:paraId="748C3D7B" w14:textId="3300E282" w:rsidR="001C4075" w:rsidRDefault="00B27ABD" w:rsidP="00A333A0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B27ABD">
              <w:rPr>
                <w:rFonts w:ascii="华文楷体" w:eastAsia="华文楷体" w:hAnsi="华文楷体" w:hint="eastAsia"/>
                <w:sz w:val="22"/>
                <w:szCs w:val="22"/>
              </w:rPr>
              <w:t>展望2</w:t>
            </w:r>
            <w:r w:rsidRPr="00B27ABD">
              <w:rPr>
                <w:rFonts w:ascii="华文楷体" w:eastAsia="华文楷体" w:hAnsi="华文楷体"/>
                <w:sz w:val="22"/>
                <w:szCs w:val="22"/>
              </w:rPr>
              <w:t>025</w:t>
            </w:r>
            <w:r w:rsidR="00A333A0">
              <w:rPr>
                <w:rFonts w:ascii="华文楷体" w:eastAsia="华文楷体" w:hAnsi="华文楷体" w:hint="eastAsia"/>
                <w:sz w:val="22"/>
                <w:szCs w:val="22"/>
              </w:rPr>
              <w:t>年</w:t>
            </w:r>
            <w:r w:rsidRPr="00B27ABD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333A0">
              <w:rPr>
                <w:rFonts w:ascii="华文楷体" w:eastAsia="华文楷体" w:hAnsi="华文楷体" w:hint="eastAsia"/>
                <w:sz w:val="22"/>
                <w:szCs w:val="22"/>
              </w:rPr>
              <w:t>公司会围绕有效规模增长、持续推动降本增效，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期望</w:t>
            </w:r>
            <w:r w:rsidR="002E558A">
              <w:rPr>
                <w:rFonts w:ascii="华文楷体" w:eastAsia="华文楷体" w:hAnsi="华文楷体" w:hint="eastAsia"/>
                <w:sz w:val="22"/>
                <w:szCs w:val="22"/>
              </w:rPr>
              <w:t>实现</w:t>
            </w:r>
            <w:r w:rsidR="00A333A0">
              <w:rPr>
                <w:rFonts w:ascii="华文楷体" w:eastAsia="华文楷体" w:hAnsi="华文楷体" w:hint="eastAsia"/>
                <w:sz w:val="22"/>
                <w:szCs w:val="22"/>
              </w:rPr>
              <w:t>全年</w:t>
            </w:r>
            <w:r w:rsidR="002E558A">
              <w:rPr>
                <w:rFonts w:ascii="华文楷体" w:eastAsia="华文楷体" w:hAnsi="华文楷体" w:hint="eastAsia"/>
                <w:sz w:val="22"/>
                <w:szCs w:val="22"/>
              </w:rPr>
              <w:t>收入</w:t>
            </w:r>
            <w:r w:rsidR="00984E51">
              <w:rPr>
                <w:rFonts w:ascii="华文楷体" w:eastAsia="华文楷体" w:hAnsi="华文楷体" w:hint="eastAsia"/>
                <w:sz w:val="22"/>
                <w:szCs w:val="22"/>
              </w:rPr>
              <w:t>和</w:t>
            </w:r>
            <w:r w:rsidR="002E558A">
              <w:rPr>
                <w:rFonts w:ascii="华文楷体" w:eastAsia="华文楷体" w:hAnsi="华文楷体" w:hint="eastAsia"/>
                <w:sz w:val="22"/>
                <w:szCs w:val="22"/>
              </w:rPr>
              <w:t>利润的平衡</w:t>
            </w:r>
            <w:r w:rsidR="002E558A" w:rsidRPr="002E558A">
              <w:rPr>
                <w:rFonts w:ascii="华文楷体" w:eastAsia="华文楷体" w:hAnsi="华文楷体" w:hint="eastAsia"/>
                <w:sz w:val="22"/>
                <w:szCs w:val="22"/>
              </w:rPr>
              <w:t>发展</w:t>
            </w:r>
            <w:r w:rsidR="001C4075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66EB14C3" w14:textId="77777777" w:rsidR="001C4075" w:rsidRDefault="001C4075" w:rsidP="00BE5AE7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04BC5D5F" w14:textId="2224B04D" w:rsidR="00321D1B" w:rsidRDefault="00B1190D" w:rsidP="00BE5AE7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第</w:t>
            </w:r>
            <w:r w:rsidR="00A81D7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二</w:t>
            </w: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环节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321D1B"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问答环节</w:t>
            </w:r>
          </w:p>
          <w:p w14:paraId="74C0B3FD" w14:textId="66308E5C" w:rsidR="00840FF3" w:rsidRDefault="00840FF3" w:rsidP="00BE5AE7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一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E5176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公司与京东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网络融合项目的进展</w:t>
            </w:r>
            <w:r w:rsidR="00E5176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和未来展望</w:t>
            </w:r>
          </w:p>
          <w:p w14:paraId="0C5CD7CD" w14:textId="2A172141" w:rsidR="00840FF3" w:rsidRPr="00840FF3" w:rsidRDefault="00840FF3" w:rsidP="00840FF3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5030F4" w:rsidRPr="005030F4">
              <w:rPr>
                <w:rFonts w:ascii="华文楷体" w:eastAsia="华文楷体" w:hAnsi="华文楷体" w:hint="eastAsia"/>
                <w:sz w:val="22"/>
                <w:szCs w:val="22"/>
              </w:rPr>
              <w:t>当前</w:t>
            </w:r>
            <w:r w:rsidR="00FE454F" w:rsidRPr="005030F4">
              <w:rPr>
                <w:rFonts w:ascii="华文楷体" w:eastAsia="华文楷体" w:hAnsi="华文楷体" w:hint="eastAsia"/>
                <w:sz w:val="22"/>
                <w:szCs w:val="22"/>
              </w:rPr>
              <w:t>德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邦与京东物流的融合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主要是与其快运业务转运环节的融合，目前稳步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推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进中。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在项目融合初期，德邦与京东快运场地总数为</w:t>
            </w:r>
            <w:r w:rsidR="00FE454F">
              <w:rPr>
                <w:rFonts w:ascii="华文楷体" w:eastAsia="华文楷体" w:hAnsi="华文楷体"/>
                <w:sz w:val="22"/>
                <w:szCs w:val="22"/>
              </w:rPr>
              <w:t>190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多个，截止到2</w:t>
            </w:r>
            <w:r w:rsidR="00FE454F">
              <w:rPr>
                <w:rFonts w:ascii="华文楷体" w:eastAsia="华文楷体" w:hAnsi="华文楷体"/>
                <w:sz w:val="22"/>
                <w:szCs w:val="22"/>
              </w:rPr>
              <w:t>4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年底数量为1</w:t>
            </w:r>
            <w:r w:rsidR="00FE454F">
              <w:rPr>
                <w:rFonts w:ascii="华文楷体" w:eastAsia="华文楷体" w:hAnsi="华文楷体"/>
                <w:sz w:val="22"/>
                <w:szCs w:val="22"/>
              </w:rPr>
              <w:t>50</w:t>
            </w:r>
            <w:r w:rsidR="00657784">
              <w:rPr>
                <w:rFonts w:ascii="华文楷体" w:eastAsia="华文楷体" w:hAnsi="华文楷体" w:hint="eastAsia"/>
                <w:sz w:val="22"/>
                <w:szCs w:val="22"/>
              </w:rPr>
              <w:t>多个，今年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公司会持续推进</w:t>
            </w:r>
            <w:r w:rsidR="00657784">
              <w:rPr>
                <w:rFonts w:ascii="华文楷体" w:eastAsia="华文楷体" w:hAnsi="华文楷体" w:hint="eastAsia"/>
                <w:sz w:val="22"/>
                <w:szCs w:val="22"/>
              </w:rPr>
              <w:t>剩余场地的</w:t>
            </w:r>
            <w:r w:rsidR="008A0719">
              <w:rPr>
                <w:rFonts w:ascii="华文楷体" w:eastAsia="华文楷体" w:hAnsi="华文楷体" w:hint="eastAsia"/>
                <w:sz w:val="22"/>
                <w:szCs w:val="22"/>
              </w:rPr>
              <w:t>融合</w:t>
            </w:r>
            <w:r w:rsidR="00FE454F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相关</w:t>
            </w:r>
            <w:r w:rsidR="007F5DFD">
              <w:rPr>
                <w:rFonts w:ascii="华文楷体" w:eastAsia="华文楷体" w:hAnsi="华文楷体" w:hint="eastAsia"/>
                <w:sz w:val="22"/>
                <w:szCs w:val="22"/>
              </w:rPr>
              <w:t>效益</w:t>
            </w:r>
            <w:r w:rsidR="00E04B7C">
              <w:rPr>
                <w:rFonts w:ascii="华文楷体" w:eastAsia="华文楷体" w:hAnsi="华文楷体" w:hint="eastAsia"/>
                <w:sz w:val="22"/>
                <w:szCs w:val="22"/>
              </w:rPr>
              <w:t>也会进一步显现。</w:t>
            </w:r>
            <w:r w:rsidR="00A17DAF">
              <w:rPr>
                <w:rFonts w:ascii="华文楷体" w:eastAsia="华文楷体" w:hAnsi="华文楷体" w:hint="eastAsia"/>
                <w:sz w:val="22"/>
                <w:szCs w:val="22"/>
              </w:rPr>
              <w:t>除此之外，公司与京东物流，</w:t>
            </w:r>
            <w:r w:rsidR="007077A7">
              <w:rPr>
                <w:rFonts w:ascii="华文楷体" w:eastAsia="华文楷体" w:hAnsi="华文楷体" w:hint="eastAsia"/>
                <w:sz w:val="22"/>
                <w:szCs w:val="22"/>
              </w:rPr>
              <w:t>也会</w:t>
            </w:r>
            <w:r w:rsidR="00A17DAF">
              <w:rPr>
                <w:rFonts w:ascii="华文楷体" w:eastAsia="华文楷体" w:hAnsi="华文楷体" w:hint="eastAsia"/>
                <w:sz w:val="22"/>
                <w:szCs w:val="22"/>
              </w:rPr>
              <w:t>持续研究其他方面的协同机会，争取实现整体网络资源效率的最大化。</w:t>
            </w:r>
          </w:p>
          <w:p w14:paraId="643192DF" w14:textId="3921BE9C" w:rsidR="00840FF3" w:rsidRDefault="00840FF3" w:rsidP="00840FF3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5E9A3798" w14:textId="1F3D24F8" w:rsidR="00DA3029" w:rsidRDefault="00157152" w:rsidP="00840FF3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二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9676C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</w:t>
            </w:r>
            <w:r w:rsidR="00A31A37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近期在经营策略方面的变化和调整？</w:t>
            </w:r>
          </w:p>
          <w:p w14:paraId="34F09BE0" w14:textId="6C33A9CF" w:rsidR="00061986" w:rsidRDefault="00061986" w:rsidP="002B63EF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9676CC" w:rsidRPr="009676CC">
              <w:rPr>
                <w:rFonts w:ascii="华文楷体" w:eastAsia="华文楷体" w:hAnsi="华文楷体" w:hint="eastAsia"/>
                <w:sz w:val="22"/>
                <w:szCs w:val="22"/>
              </w:rPr>
              <w:t>首先，</w:t>
            </w:r>
            <w:r w:rsidR="009676CC">
              <w:rPr>
                <w:rFonts w:ascii="华文楷体" w:eastAsia="华文楷体" w:hAnsi="华文楷体" w:hint="eastAsia"/>
                <w:sz w:val="22"/>
                <w:szCs w:val="22"/>
              </w:rPr>
              <w:t>从收入端，一季度公司收入</w:t>
            </w:r>
            <w:r w:rsidR="005030F4">
              <w:rPr>
                <w:rFonts w:ascii="华文楷体" w:eastAsia="华文楷体" w:hAnsi="华文楷体" w:hint="eastAsia"/>
                <w:sz w:val="22"/>
                <w:szCs w:val="22"/>
              </w:rPr>
              <w:t>增长较好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31A37" w:rsidRPr="00A31A37">
              <w:rPr>
                <w:rFonts w:ascii="华文楷体" w:eastAsia="华文楷体" w:hAnsi="华文楷体" w:hint="eastAsia"/>
                <w:sz w:val="22"/>
                <w:szCs w:val="22"/>
              </w:rPr>
              <w:t>但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从结结构上</w:t>
            </w:r>
            <w:r w:rsidR="00A31A37" w:rsidRPr="00A31A37">
              <w:rPr>
                <w:rFonts w:ascii="华文楷体" w:eastAsia="华文楷体" w:hAnsi="华文楷体" w:hint="eastAsia"/>
                <w:sz w:val="22"/>
                <w:szCs w:val="22"/>
              </w:rPr>
              <w:t>看，</w:t>
            </w:r>
            <w:r w:rsidR="007F5DFD">
              <w:rPr>
                <w:rFonts w:ascii="华文楷体" w:eastAsia="华文楷体" w:hAnsi="华文楷体" w:hint="eastAsia"/>
                <w:sz w:val="22"/>
                <w:szCs w:val="22"/>
              </w:rPr>
              <w:t>部分高价值产品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收入</w:t>
            </w:r>
            <w:r w:rsidR="007F5DFD">
              <w:rPr>
                <w:rFonts w:ascii="华文楷体" w:eastAsia="华文楷体" w:hAnsi="华文楷体" w:hint="eastAsia"/>
                <w:sz w:val="22"/>
                <w:szCs w:val="22"/>
              </w:rPr>
              <w:t>增长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有一定承压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。自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二季度开始</w:t>
            </w:r>
            <w:r w:rsidR="00A31A37" w:rsidRPr="00A31A37">
              <w:rPr>
                <w:rFonts w:ascii="华文楷体" w:eastAsia="华文楷体" w:hAnsi="华文楷体" w:hint="eastAsia"/>
                <w:sz w:val="22"/>
                <w:szCs w:val="22"/>
              </w:rPr>
              <w:t>，公司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会从经营策略、</w:t>
            </w:r>
            <w:r w:rsidR="00A31A37" w:rsidRPr="00A31A37">
              <w:rPr>
                <w:rFonts w:ascii="华文楷体" w:eastAsia="华文楷体" w:hAnsi="华文楷体" w:hint="eastAsia"/>
                <w:sz w:val="22"/>
                <w:szCs w:val="22"/>
              </w:rPr>
              <w:t>资源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投入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、考核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激励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等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方面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进行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调整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，更聚焦高价值客户的开发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从当前情况看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，环比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有一定的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改善</w:t>
            </w:r>
            <w:r w:rsidR="00A31A37" w:rsidRPr="00A31A37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整体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有</w:t>
            </w:r>
            <w:r w:rsidR="007F5DFD">
              <w:rPr>
                <w:rFonts w:ascii="华文楷体" w:eastAsia="华文楷体" w:hAnsi="华文楷体" w:hint="eastAsia"/>
                <w:sz w:val="22"/>
                <w:szCs w:val="22"/>
              </w:rPr>
              <w:t>向</w:t>
            </w:r>
            <w:r w:rsidR="008A4011">
              <w:rPr>
                <w:rFonts w:ascii="华文楷体" w:eastAsia="华文楷体" w:hAnsi="华文楷体" w:hint="eastAsia"/>
                <w:sz w:val="22"/>
                <w:szCs w:val="22"/>
              </w:rPr>
              <w:t>好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的趋势</w:t>
            </w:r>
            <w:r w:rsidR="00A31A37">
              <w:rPr>
                <w:rFonts w:ascii="华文楷体" w:eastAsia="华文楷体" w:hAnsi="华文楷体" w:hint="eastAsia"/>
                <w:sz w:val="22"/>
                <w:szCs w:val="22"/>
              </w:rPr>
              <w:t>。其次，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从成本端</w:t>
            </w:r>
            <w:r w:rsidR="00D34054" w:rsidRPr="00486FB0">
              <w:rPr>
                <w:rFonts w:ascii="华文楷体" w:eastAsia="华文楷体" w:hAnsi="华文楷体" w:hint="eastAsia"/>
                <w:sz w:val="22"/>
                <w:szCs w:val="22"/>
              </w:rPr>
              <w:t>在网络融合方面，</w:t>
            </w:r>
            <w:r w:rsidR="00D34054">
              <w:rPr>
                <w:rFonts w:ascii="华文楷体" w:eastAsia="华文楷体" w:hAnsi="华文楷体" w:hint="eastAsia"/>
                <w:sz w:val="22"/>
                <w:szCs w:val="22"/>
              </w:rPr>
              <w:t>将</w:t>
            </w:r>
            <w:r w:rsidR="00D34054" w:rsidRPr="00486FB0">
              <w:rPr>
                <w:rFonts w:ascii="华文楷体" w:eastAsia="华文楷体" w:hAnsi="华文楷体" w:hint="eastAsia"/>
                <w:sz w:val="22"/>
                <w:szCs w:val="22"/>
              </w:rPr>
              <w:t>持续推进场地聚合，减少场地数量，拉直线路，降低中转次数；在收派环节，通过片区优化、最优车型匹配，提升快递员效率，同时不断推进网点租金的降免；在转运环节，通过提升大车型占比、投入自动驾驶车辆、外请、燃油集采及中转效率提升等举措，推动运营成本持续下降。</w:t>
            </w:r>
          </w:p>
          <w:p w14:paraId="30502551" w14:textId="24830F0D" w:rsidR="00CE42D0" w:rsidRDefault="00CE42D0" w:rsidP="00061986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07B554AB" w14:textId="750009C8" w:rsidR="009F6874" w:rsidRDefault="009F6874" w:rsidP="00061986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三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如何看待大票零担市场的</w:t>
            </w:r>
            <w:r w:rsidR="00E04B7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机会和竞争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？</w:t>
            </w:r>
          </w:p>
          <w:p w14:paraId="5B788B6C" w14:textId="1C90D39F" w:rsidR="00B159EC" w:rsidRPr="00372365" w:rsidRDefault="00B159EC" w:rsidP="00372365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自公司拓展大票产品以来，业务增长良好。公司拓展大票市场</w:t>
            </w:r>
            <w:r w:rsidR="0003430E">
              <w:rPr>
                <w:rFonts w:ascii="华文楷体" w:eastAsia="华文楷体" w:hAnsi="华文楷体" w:hint="eastAsia"/>
                <w:sz w:val="22"/>
                <w:szCs w:val="22"/>
              </w:rPr>
              <w:t>，主要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目的是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通过货量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的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增长，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实现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线路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拉直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372365" w:rsidRPr="00372365">
              <w:rPr>
                <w:rFonts w:ascii="华文楷体" w:eastAsia="华文楷体" w:hAnsi="华文楷体" w:hint="eastAsia"/>
                <w:sz w:val="22"/>
                <w:szCs w:val="22"/>
              </w:rPr>
              <w:t>时效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提升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。德邦本身以低公斤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段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小票为主，引入部分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重货</w:t>
            </w:r>
            <w:r w:rsidR="00372365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通过轻重搭配，有利于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全网资源的</w:t>
            </w:r>
            <w:r w:rsidR="00372365" w:rsidRPr="00372365">
              <w:rPr>
                <w:rFonts w:ascii="华文楷体" w:eastAsia="华文楷体" w:hAnsi="华文楷体" w:hint="eastAsia"/>
                <w:sz w:val="22"/>
                <w:szCs w:val="22"/>
              </w:rPr>
              <w:t>效率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最大化，从而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推动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成本、效率的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进一步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改善。从公司的经营策略出发，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开拓大票市场，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会优先</w:t>
            </w:r>
            <w:r w:rsidR="0003430E">
              <w:rPr>
                <w:rFonts w:ascii="华文楷体" w:eastAsia="华文楷体" w:hAnsi="华文楷体" w:hint="eastAsia"/>
                <w:sz w:val="22"/>
                <w:szCs w:val="22"/>
              </w:rPr>
              <w:t>考虑大票与公司基础产品的适配性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今年在</w:t>
            </w:r>
            <w:r w:rsidR="00776C24">
              <w:rPr>
                <w:rFonts w:ascii="华文楷体" w:eastAsia="华文楷体" w:hAnsi="华文楷体" w:hint="eastAsia"/>
                <w:sz w:val="22"/>
                <w:szCs w:val="22"/>
              </w:rPr>
              <w:t>大票市场，</w:t>
            </w:r>
            <w:r w:rsidR="00BD6638">
              <w:rPr>
                <w:rFonts w:ascii="华文楷体" w:eastAsia="华文楷体" w:hAnsi="华文楷体" w:hint="eastAsia"/>
                <w:sz w:val="22"/>
                <w:szCs w:val="22"/>
              </w:rPr>
              <w:t>部分新进</w:t>
            </w:r>
            <w:r w:rsidR="0003430E">
              <w:rPr>
                <w:rFonts w:ascii="华文楷体" w:eastAsia="华文楷体" w:hAnsi="华文楷体" w:hint="eastAsia"/>
                <w:sz w:val="22"/>
                <w:szCs w:val="22"/>
              </w:rPr>
              <w:t>同行</w:t>
            </w:r>
            <w:r w:rsidR="00C46810">
              <w:rPr>
                <w:rFonts w:ascii="华文楷体" w:eastAsia="华文楷体" w:hAnsi="华文楷体" w:hint="eastAsia"/>
                <w:sz w:val="22"/>
                <w:szCs w:val="22"/>
              </w:rPr>
              <w:t>通过加盟整合的方式</w:t>
            </w:r>
            <w:r w:rsidR="00BD6638">
              <w:rPr>
                <w:rFonts w:ascii="华文楷体" w:eastAsia="华文楷体" w:hAnsi="华文楷体" w:hint="eastAsia"/>
                <w:sz w:val="22"/>
                <w:szCs w:val="22"/>
              </w:rPr>
              <w:t>实现了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快速扩张，市场竞争是存在的</w:t>
            </w:r>
            <w:r w:rsidR="00C46810">
              <w:rPr>
                <w:rFonts w:ascii="华文楷体" w:eastAsia="华文楷体" w:hAnsi="华文楷体" w:hint="eastAsia"/>
                <w:sz w:val="22"/>
                <w:szCs w:val="22"/>
              </w:rPr>
              <w:t>，但</w:t>
            </w:r>
            <w:r w:rsidR="00BD6638">
              <w:rPr>
                <w:rFonts w:ascii="华文楷体" w:eastAsia="华文楷体" w:hAnsi="华文楷体" w:hint="eastAsia"/>
                <w:sz w:val="22"/>
                <w:szCs w:val="22"/>
              </w:rPr>
              <w:t>总体来看，该</w:t>
            </w:r>
            <w:r w:rsidR="00D40B68">
              <w:rPr>
                <w:rFonts w:ascii="华文楷体" w:eastAsia="华文楷体" w:hAnsi="华文楷体" w:hint="eastAsia"/>
                <w:sz w:val="22"/>
                <w:szCs w:val="22"/>
              </w:rPr>
              <w:t>市场客户对价格的敏感性更强，对服务的需求</w:t>
            </w:r>
            <w:r w:rsidR="00C46810">
              <w:rPr>
                <w:rFonts w:ascii="华文楷体" w:eastAsia="华文楷体" w:hAnsi="华文楷体" w:hint="eastAsia"/>
                <w:sz w:val="22"/>
                <w:szCs w:val="22"/>
              </w:rPr>
              <w:t>相对较弱。</w:t>
            </w:r>
          </w:p>
          <w:p w14:paraId="19806DD6" w14:textId="088F9262" w:rsidR="005D16DC" w:rsidRPr="00BD6638" w:rsidRDefault="005D16DC" w:rsidP="00061986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74CC4576" w14:textId="6A9363D0" w:rsidR="00EF463F" w:rsidRPr="00EF463F" w:rsidRDefault="00A6593D" w:rsidP="00061986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四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公司在运输成本方面上涨的原因，未来的变化趋势是怎么样的？</w:t>
            </w:r>
            <w:r w:rsidR="00DF5D09" w:rsidRPr="00EF463F">
              <w:rPr>
                <w:rFonts w:ascii="华文楷体" w:eastAsia="华文楷体" w:hAnsi="华文楷体" w:hint="eastAsia"/>
                <w:sz w:val="22"/>
                <w:szCs w:val="22"/>
              </w:rPr>
              <w:t xml:space="preserve"> </w:t>
            </w:r>
          </w:p>
          <w:p w14:paraId="4FF319FE" w14:textId="27E093DE" w:rsidR="00FC365B" w:rsidRPr="00C11ACF" w:rsidRDefault="00DF5D09" w:rsidP="00061986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 w:rsidRPr="00D3508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公司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运输成本</w:t>
            </w:r>
            <w:r w:rsidR="008A7856">
              <w:rPr>
                <w:rFonts w:ascii="华文楷体" w:eastAsia="华文楷体" w:hAnsi="华文楷体" w:hint="eastAsia"/>
                <w:sz w:val="22"/>
                <w:szCs w:val="22"/>
              </w:rPr>
              <w:t>自去年三季度开始到今年一季度，整体有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较快的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增长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，主要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原因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与公司收入结构有关。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近两个季度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公司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高公斤段</w:t>
            </w:r>
            <w:r w:rsidR="00A13D37">
              <w:rPr>
                <w:rFonts w:ascii="华文楷体" w:eastAsia="华文楷体" w:hAnsi="华文楷体" w:hint="eastAsia"/>
                <w:sz w:val="22"/>
                <w:szCs w:val="22"/>
              </w:rPr>
              <w:t>产品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增长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较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快，</w:t>
            </w:r>
            <w:r w:rsidR="008A7856">
              <w:rPr>
                <w:rFonts w:ascii="华文楷体" w:eastAsia="华文楷体" w:hAnsi="华文楷体" w:hint="eastAsia"/>
                <w:sz w:val="22"/>
                <w:szCs w:val="22"/>
              </w:rPr>
              <w:t>如：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200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-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500公斤的大票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产品。大票的服务方式，以干支线运输为主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在末端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服务上，其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要求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不是特别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高，所以从成本结构来看，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呈现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高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运输成本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的状态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展望来看，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从二季度开始，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公司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会更聚焦</w:t>
            </w:r>
            <w:r w:rsidR="00CE42D0">
              <w:rPr>
                <w:rFonts w:ascii="华文楷体" w:eastAsia="华文楷体" w:hAnsi="华文楷体" w:hint="eastAsia"/>
                <w:sz w:val="22"/>
                <w:szCs w:val="22"/>
              </w:rPr>
              <w:t>高价值产品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业务，这部分业务未来在整体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收入结构的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占比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会</w:t>
            </w:r>
            <w:r w:rsidR="002B63EF">
              <w:rPr>
                <w:rFonts w:ascii="华文楷体" w:eastAsia="华文楷体" w:hAnsi="华文楷体" w:hint="eastAsia"/>
                <w:sz w:val="22"/>
                <w:szCs w:val="22"/>
              </w:rPr>
              <w:t>逐步趋稳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所以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运输成本占收入比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随着业务结构的调整</w:t>
            </w:r>
            <w:r w:rsidR="00A13D37" w:rsidRPr="00A13D37">
              <w:rPr>
                <w:rFonts w:ascii="华文楷体" w:eastAsia="华文楷体" w:hAnsi="华文楷体" w:hint="eastAsia"/>
                <w:sz w:val="22"/>
                <w:szCs w:val="22"/>
              </w:rPr>
              <w:t>会呈现</w:t>
            </w:r>
            <w:r w:rsidR="00C11ACF">
              <w:rPr>
                <w:rFonts w:ascii="华文楷体" w:eastAsia="华文楷体" w:hAnsi="华文楷体" w:hint="eastAsia"/>
                <w:sz w:val="22"/>
                <w:szCs w:val="22"/>
              </w:rPr>
              <w:t>趋稳或缓慢</w:t>
            </w:r>
            <w:r w:rsidR="00F86471">
              <w:rPr>
                <w:rFonts w:ascii="华文楷体" w:eastAsia="华文楷体" w:hAnsi="华文楷体" w:hint="eastAsia"/>
                <w:sz w:val="22"/>
                <w:szCs w:val="22"/>
              </w:rPr>
              <w:t>下降的趋势。</w:t>
            </w:r>
          </w:p>
          <w:p w14:paraId="2E776F28" w14:textId="77777777" w:rsidR="002B63EF" w:rsidRDefault="002B63EF" w:rsidP="009F0A5E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</w:p>
          <w:p w14:paraId="1A6866F8" w14:textId="5A9F5B1E" w:rsidR="003B0928" w:rsidRDefault="005144E2" w:rsidP="009F0A5E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lastRenderedPageBreak/>
              <w:t>问题</w:t>
            </w:r>
            <w:r w:rsidR="007F5DFD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五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2963E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供应链业务是</w:t>
            </w:r>
            <w:r w:rsidR="002963E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否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来自与京东</w:t>
            </w:r>
            <w:r w:rsidR="00513E6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物流</w:t>
            </w:r>
            <w:r w:rsidR="0052426C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的关联交易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？</w:t>
            </w:r>
            <w:r w:rsidR="002963E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快速增长的原因是什么？</w:t>
            </w:r>
          </w:p>
          <w:p w14:paraId="61197C03" w14:textId="4BE701B1" w:rsidR="00984E51" w:rsidRPr="00F6538D" w:rsidRDefault="005144E2" w:rsidP="00A97E7E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656A87">
              <w:rPr>
                <w:rFonts w:ascii="华文楷体" w:eastAsia="华文楷体" w:hAnsi="华文楷体" w:hint="eastAsia"/>
                <w:sz w:val="22"/>
                <w:szCs w:val="22"/>
              </w:rPr>
              <w:t>供应链</w:t>
            </w:r>
            <w:r w:rsidR="002229E4">
              <w:rPr>
                <w:rFonts w:ascii="华文楷体" w:eastAsia="华文楷体" w:hAnsi="华文楷体" w:hint="eastAsia"/>
                <w:sz w:val="22"/>
                <w:szCs w:val="22"/>
              </w:rPr>
              <w:t>是</w:t>
            </w:r>
            <w:r w:rsidR="004F3015">
              <w:rPr>
                <w:rFonts w:ascii="华文楷体" w:eastAsia="华文楷体" w:hAnsi="华文楷体" w:hint="eastAsia"/>
                <w:sz w:val="22"/>
                <w:szCs w:val="22"/>
              </w:rPr>
              <w:t>2</w:t>
            </w:r>
            <w:r w:rsidR="004F3015">
              <w:rPr>
                <w:rFonts w:ascii="华文楷体" w:eastAsia="华文楷体" w:hAnsi="华文楷体"/>
                <w:sz w:val="22"/>
                <w:szCs w:val="22"/>
              </w:rPr>
              <w:t>015</w:t>
            </w:r>
            <w:r w:rsidR="004F3015">
              <w:rPr>
                <w:rFonts w:ascii="华文楷体" w:eastAsia="华文楷体" w:hAnsi="华文楷体" w:hint="eastAsia"/>
                <w:sz w:val="22"/>
                <w:szCs w:val="22"/>
              </w:rPr>
              <w:t>年公司内部孵化的</w:t>
            </w:r>
            <w:r w:rsidR="002229E4">
              <w:rPr>
                <w:rFonts w:ascii="华文楷体" w:eastAsia="华文楷体" w:hAnsi="华文楷体" w:hint="eastAsia"/>
                <w:sz w:val="22"/>
                <w:szCs w:val="22"/>
              </w:rPr>
              <w:t>一个</w:t>
            </w:r>
            <w:r w:rsidR="002229E4" w:rsidRPr="002229E4">
              <w:rPr>
                <w:rFonts w:ascii="华文楷体" w:eastAsia="华文楷体" w:hAnsi="华文楷体" w:hint="eastAsia"/>
                <w:sz w:val="22"/>
                <w:szCs w:val="22"/>
              </w:rPr>
              <w:t>独立</w:t>
            </w:r>
            <w:r w:rsidR="00656A87">
              <w:rPr>
                <w:rFonts w:ascii="华文楷体" w:eastAsia="华文楷体" w:hAnsi="华文楷体" w:hint="eastAsia"/>
                <w:sz w:val="22"/>
                <w:szCs w:val="22"/>
              </w:rPr>
              <w:t>业务</w:t>
            </w:r>
            <w:r w:rsidR="002229E4">
              <w:rPr>
                <w:rFonts w:ascii="华文楷体" w:eastAsia="华文楷体" w:hAnsi="华文楷体" w:hint="eastAsia"/>
                <w:sz w:val="22"/>
                <w:szCs w:val="22"/>
              </w:rPr>
              <w:t>板块，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是公司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在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原有客户服务基础上的进一步延</w:t>
            </w:r>
            <w:r w:rsidR="002B63EF">
              <w:rPr>
                <w:rFonts w:ascii="华文楷体" w:eastAsia="华文楷体" w:hAnsi="华文楷体" w:hint="eastAsia"/>
                <w:sz w:val="22"/>
                <w:szCs w:val="22"/>
              </w:rPr>
              <w:t>伸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除了运输业务外，公司也为有需求的客户提供仓配一体化的供应链服务。</w:t>
            </w:r>
            <w:r w:rsidR="00513E63">
              <w:rPr>
                <w:rFonts w:ascii="华文楷体" w:eastAsia="华文楷体" w:hAnsi="华文楷体" w:hint="eastAsia"/>
                <w:sz w:val="22"/>
                <w:szCs w:val="22"/>
              </w:rPr>
              <w:t>这部分过去几年增长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较快，主要原因如下：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首先</w:t>
            </w:r>
            <w:r w:rsidR="00513E63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公司供应链聚焦大件品类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BF1FC4" w:rsidRPr="002229E4">
              <w:rPr>
                <w:rFonts w:ascii="华文楷体" w:eastAsia="华文楷体" w:hAnsi="华文楷体" w:hint="eastAsia"/>
                <w:sz w:val="22"/>
                <w:szCs w:val="22"/>
              </w:rPr>
              <w:t>如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：家电、</w:t>
            </w:r>
            <w:r w:rsidR="00BF1FC4" w:rsidRPr="002229E4">
              <w:rPr>
                <w:rFonts w:ascii="华文楷体" w:eastAsia="华文楷体" w:hAnsi="华文楷体" w:hint="eastAsia"/>
                <w:sz w:val="22"/>
                <w:szCs w:val="22"/>
              </w:rPr>
              <w:t>家具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、快消等，与公司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主</w:t>
            </w:r>
            <w:r w:rsidR="00BF1FC4">
              <w:rPr>
                <w:rFonts w:ascii="华文楷体" w:eastAsia="华文楷体" w:hAnsi="华文楷体" w:hint="eastAsia"/>
                <w:sz w:val="22"/>
                <w:szCs w:val="22"/>
              </w:rPr>
              <w:t>业有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较强的协同性；其次，经过近几年的发展，公司在供应链管理方面积累了丰富的经验，在市场开发、客户服务上具备较强的竞争力；最后，</w:t>
            </w:r>
            <w:r w:rsidR="002229E4" w:rsidRPr="002229E4">
              <w:rPr>
                <w:rFonts w:ascii="华文楷体" w:eastAsia="华文楷体" w:hAnsi="华文楷体" w:hint="eastAsia"/>
                <w:sz w:val="22"/>
                <w:szCs w:val="22"/>
              </w:rPr>
              <w:t>随着</w:t>
            </w:r>
            <w:r w:rsidR="00513E63">
              <w:rPr>
                <w:rFonts w:ascii="华文楷体" w:eastAsia="华文楷体" w:hAnsi="华文楷体" w:hint="eastAsia"/>
                <w:sz w:val="22"/>
                <w:szCs w:val="22"/>
              </w:rPr>
              <w:t>国内客户逐步发展壮大，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品牌大客户越来越多，需求</w:t>
            </w:r>
            <w:r w:rsidR="00044AEC">
              <w:rPr>
                <w:rFonts w:ascii="华文楷体" w:eastAsia="华文楷体" w:hAnsi="华文楷体" w:hint="eastAsia"/>
                <w:sz w:val="22"/>
                <w:szCs w:val="22"/>
              </w:rPr>
              <w:t>逐步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多样化，供应链</w:t>
            </w:r>
            <w:r w:rsidR="00EA3D4C">
              <w:rPr>
                <w:rFonts w:ascii="华文楷体" w:eastAsia="华文楷体" w:hAnsi="华文楷体" w:hint="eastAsia"/>
                <w:sz w:val="22"/>
                <w:szCs w:val="22"/>
              </w:rPr>
              <w:t>一体化的</w:t>
            </w:r>
            <w:r w:rsidR="008A7856">
              <w:rPr>
                <w:rFonts w:ascii="华文楷体" w:eastAsia="华文楷体" w:hAnsi="华文楷体" w:hint="eastAsia"/>
                <w:sz w:val="22"/>
                <w:szCs w:val="22"/>
              </w:rPr>
              <w:t>市场</w:t>
            </w:r>
            <w:r w:rsidR="00513E63">
              <w:rPr>
                <w:rFonts w:ascii="华文楷体" w:eastAsia="华文楷体" w:hAnsi="华文楷体" w:hint="eastAsia"/>
                <w:sz w:val="22"/>
                <w:szCs w:val="22"/>
              </w:rPr>
              <w:t>需求</w:t>
            </w:r>
            <w:r w:rsidR="00EA3D4C">
              <w:rPr>
                <w:rFonts w:ascii="华文楷体" w:eastAsia="华文楷体" w:hAnsi="华文楷体" w:hint="eastAsia"/>
                <w:sz w:val="22"/>
                <w:szCs w:val="22"/>
              </w:rPr>
              <w:t>在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日益增多</w:t>
            </w:r>
            <w:r w:rsidR="00513E63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8A7856">
              <w:rPr>
                <w:rFonts w:ascii="华文楷体" w:eastAsia="华文楷体" w:hAnsi="华文楷体" w:hint="eastAsia"/>
                <w:sz w:val="22"/>
                <w:szCs w:val="22"/>
              </w:rPr>
              <w:t>整体市场空间</w:t>
            </w:r>
            <w:r w:rsidR="00A97E7E">
              <w:rPr>
                <w:rFonts w:ascii="华文楷体" w:eastAsia="华文楷体" w:hAnsi="华文楷体" w:hint="eastAsia"/>
                <w:sz w:val="22"/>
                <w:szCs w:val="22"/>
              </w:rPr>
              <w:t>广阔</w:t>
            </w:r>
            <w:r w:rsidR="004C4F65">
              <w:rPr>
                <w:rFonts w:ascii="华文楷体" w:eastAsia="华文楷体" w:hAnsi="华文楷体" w:hint="eastAsia"/>
                <w:sz w:val="22"/>
                <w:szCs w:val="22"/>
              </w:rPr>
              <w:t>，也为公司供应链业务</w:t>
            </w:r>
            <w:r w:rsidR="006661FE">
              <w:rPr>
                <w:rFonts w:ascii="华文楷体" w:eastAsia="华文楷体" w:hAnsi="华文楷体" w:hint="eastAsia"/>
                <w:sz w:val="22"/>
                <w:szCs w:val="22"/>
              </w:rPr>
              <w:t>的</w:t>
            </w:r>
            <w:bookmarkStart w:id="0" w:name="_GoBack"/>
            <w:bookmarkEnd w:id="0"/>
            <w:r w:rsidR="004C4F65">
              <w:rPr>
                <w:rFonts w:ascii="华文楷体" w:eastAsia="华文楷体" w:hAnsi="华文楷体" w:hint="eastAsia"/>
                <w:sz w:val="22"/>
                <w:szCs w:val="22"/>
              </w:rPr>
              <w:t>发展提供了外部驱动力。</w:t>
            </w:r>
          </w:p>
        </w:tc>
      </w:tr>
    </w:tbl>
    <w:p w14:paraId="51A0DD1F" w14:textId="77777777" w:rsidR="00687BBD" w:rsidRPr="004A1640" w:rsidRDefault="00687BBD" w:rsidP="006D2426">
      <w:pPr>
        <w:spacing w:line="360" w:lineRule="auto"/>
        <w:rPr>
          <w:rFonts w:ascii="华文楷体" w:eastAsia="华文楷体" w:hAnsi="华文楷体"/>
        </w:rPr>
      </w:pPr>
    </w:p>
    <w:sectPr w:rsidR="00687BBD" w:rsidRPr="004A1640" w:rsidSect="00FD70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9B04" w14:textId="77777777" w:rsidR="00924358" w:rsidRDefault="00924358" w:rsidP="005337B7">
      <w:r>
        <w:separator/>
      </w:r>
    </w:p>
  </w:endnote>
  <w:endnote w:type="continuationSeparator" w:id="0">
    <w:p w14:paraId="3D524DF2" w14:textId="77777777" w:rsidR="00924358" w:rsidRDefault="00924358" w:rsidP="0053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E055" w14:textId="77777777" w:rsidR="00924358" w:rsidRDefault="00924358" w:rsidP="005337B7">
      <w:r>
        <w:separator/>
      </w:r>
    </w:p>
  </w:footnote>
  <w:footnote w:type="continuationSeparator" w:id="0">
    <w:p w14:paraId="3835654A" w14:textId="77777777" w:rsidR="00924358" w:rsidRDefault="00924358" w:rsidP="0053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1B6"/>
    <w:multiLevelType w:val="hybridMultilevel"/>
    <w:tmpl w:val="29AC2FCA"/>
    <w:lvl w:ilvl="0" w:tplc="92D468F6">
      <w:start w:val="1"/>
      <w:numFmt w:val="decimal"/>
      <w:lvlText w:val="%1."/>
      <w:lvlJc w:val="left"/>
      <w:pPr>
        <w:ind w:left="420" w:hanging="420"/>
      </w:pPr>
      <w:rPr>
        <w:b/>
        <w:i/>
      </w:rPr>
    </w:lvl>
    <w:lvl w:ilvl="1" w:tplc="AD22844C">
      <w:start w:val="1"/>
      <w:numFmt w:val="decimal"/>
      <w:lvlText w:val="%2)"/>
      <w:lvlJc w:val="left"/>
      <w:pPr>
        <w:ind w:left="840" w:hanging="420"/>
      </w:pPr>
      <w:rPr>
        <w:b/>
      </w:rPr>
    </w:lvl>
    <w:lvl w:ilvl="2" w:tplc="119E59D4">
      <w:start w:val="1"/>
      <w:numFmt w:val="decimal"/>
      <w:lvlText w:val="%3）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41309"/>
    <w:multiLevelType w:val="hybridMultilevel"/>
    <w:tmpl w:val="A8F2CABE"/>
    <w:lvl w:ilvl="0" w:tplc="9C0CE270">
      <w:start w:val="5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4C220F"/>
    <w:multiLevelType w:val="hybridMultilevel"/>
    <w:tmpl w:val="33EA0A3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b/>
        <w:i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119E59D4">
      <w:start w:val="1"/>
      <w:numFmt w:val="decimal"/>
      <w:lvlText w:val="%3）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D75DEB"/>
    <w:multiLevelType w:val="hybridMultilevel"/>
    <w:tmpl w:val="753CEC4C"/>
    <w:lvl w:ilvl="0" w:tplc="1184621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5902C2"/>
    <w:multiLevelType w:val="hybridMultilevel"/>
    <w:tmpl w:val="FDB6E0B4"/>
    <w:lvl w:ilvl="0" w:tplc="EDA8E884">
      <w:start w:val="1"/>
      <w:numFmt w:val="decimal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3E66FB2"/>
    <w:multiLevelType w:val="hybridMultilevel"/>
    <w:tmpl w:val="82381420"/>
    <w:lvl w:ilvl="0" w:tplc="5FC45B30">
      <w:start w:val="1"/>
      <w:numFmt w:val="decimal"/>
      <w:lvlText w:val="%1."/>
      <w:lvlJc w:val="left"/>
      <w:pPr>
        <w:ind w:left="840" w:hanging="420"/>
      </w:pPr>
      <w:rPr>
        <w:rFonts w:hint="eastAsia"/>
        <w:b/>
        <w:i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4561EDD"/>
    <w:multiLevelType w:val="hybridMultilevel"/>
    <w:tmpl w:val="115413DA"/>
    <w:lvl w:ilvl="0" w:tplc="F574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3B1EE7"/>
    <w:multiLevelType w:val="hybridMultilevel"/>
    <w:tmpl w:val="3586C1F0"/>
    <w:lvl w:ilvl="0" w:tplc="7E527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A729F3"/>
    <w:multiLevelType w:val="hybridMultilevel"/>
    <w:tmpl w:val="44EA3FD6"/>
    <w:lvl w:ilvl="0" w:tplc="68ACF5C4">
      <w:start w:val="1"/>
      <w:numFmt w:val="decimal"/>
      <w:lvlText w:val="%1)"/>
      <w:lvlJc w:val="left"/>
      <w:pPr>
        <w:ind w:left="840" w:hanging="42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42C30D4"/>
    <w:multiLevelType w:val="hybridMultilevel"/>
    <w:tmpl w:val="09D23F34"/>
    <w:lvl w:ilvl="0" w:tplc="1EE46BB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A4FB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629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8030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8AEB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6108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64A4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4199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6898A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06A"/>
    <w:multiLevelType w:val="hybridMultilevel"/>
    <w:tmpl w:val="1026D4AC"/>
    <w:lvl w:ilvl="0" w:tplc="5106D148">
      <w:start w:val="1"/>
      <w:numFmt w:val="decimal"/>
      <w:lvlText w:val="%1."/>
      <w:lvlJc w:val="left"/>
      <w:pPr>
        <w:ind w:left="839" w:hanging="42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1" w15:restartNumberingAfterBreak="0">
    <w:nsid w:val="3F6A17AC"/>
    <w:multiLevelType w:val="hybridMultilevel"/>
    <w:tmpl w:val="15D28F84"/>
    <w:lvl w:ilvl="0" w:tplc="C2E44464">
      <w:start w:val="1"/>
      <w:numFmt w:val="decimal"/>
      <w:lvlText w:val="（%1）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05669E9"/>
    <w:multiLevelType w:val="hybridMultilevel"/>
    <w:tmpl w:val="3522B070"/>
    <w:lvl w:ilvl="0" w:tplc="CFF0A7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2D35D15"/>
    <w:multiLevelType w:val="hybridMultilevel"/>
    <w:tmpl w:val="33BE6B14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21" w:hanging="420"/>
      </w:pPr>
    </w:lvl>
    <w:lvl w:ilvl="2" w:tplc="0409001B" w:tentative="1">
      <w:start w:val="1"/>
      <w:numFmt w:val="lowerRoman"/>
      <w:lvlText w:val="%3."/>
      <w:lvlJc w:val="right"/>
      <w:pPr>
        <w:ind w:left="841" w:hanging="420"/>
      </w:pPr>
    </w:lvl>
    <w:lvl w:ilvl="3" w:tplc="0409000F" w:tentative="1">
      <w:start w:val="1"/>
      <w:numFmt w:val="decimal"/>
      <w:lvlText w:val="%4."/>
      <w:lvlJc w:val="left"/>
      <w:pPr>
        <w:ind w:left="1261" w:hanging="420"/>
      </w:pPr>
    </w:lvl>
    <w:lvl w:ilvl="4" w:tplc="04090019" w:tentative="1">
      <w:start w:val="1"/>
      <w:numFmt w:val="lowerLetter"/>
      <w:lvlText w:val="%5)"/>
      <w:lvlJc w:val="left"/>
      <w:pPr>
        <w:ind w:left="1681" w:hanging="420"/>
      </w:pPr>
    </w:lvl>
    <w:lvl w:ilvl="5" w:tplc="0409001B" w:tentative="1">
      <w:start w:val="1"/>
      <w:numFmt w:val="lowerRoman"/>
      <w:lvlText w:val="%6."/>
      <w:lvlJc w:val="right"/>
      <w:pPr>
        <w:ind w:left="2101" w:hanging="420"/>
      </w:pPr>
    </w:lvl>
    <w:lvl w:ilvl="6" w:tplc="0409000F" w:tentative="1">
      <w:start w:val="1"/>
      <w:numFmt w:val="decimal"/>
      <w:lvlText w:val="%7."/>
      <w:lvlJc w:val="left"/>
      <w:pPr>
        <w:ind w:left="2521" w:hanging="420"/>
      </w:pPr>
    </w:lvl>
    <w:lvl w:ilvl="7" w:tplc="04090019" w:tentative="1">
      <w:start w:val="1"/>
      <w:numFmt w:val="lowerLetter"/>
      <w:lvlText w:val="%8)"/>
      <w:lvlJc w:val="left"/>
      <w:pPr>
        <w:ind w:left="2941" w:hanging="420"/>
      </w:pPr>
    </w:lvl>
    <w:lvl w:ilvl="8" w:tplc="0409001B" w:tentative="1">
      <w:start w:val="1"/>
      <w:numFmt w:val="lowerRoman"/>
      <w:lvlText w:val="%9."/>
      <w:lvlJc w:val="right"/>
      <w:pPr>
        <w:ind w:left="3361" w:hanging="420"/>
      </w:pPr>
    </w:lvl>
  </w:abstractNum>
  <w:abstractNum w:abstractNumId="14" w15:restartNumberingAfterBreak="0">
    <w:nsid w:val="46A4580A"/>
    <w:multiLevelType w:val="hybridMultilevel"/>
    <w:tmpl w:val="C07AC4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726494"/>
    <w:multiLevelType w:val="hybridMultilevel"/>
    <w:tmpl w:val="16D40F12"/>
    <w:lvl w:ilvl="0" w:tplc="BB482F2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930F4C"/>
    <w:multiLevelType w:val="hybridMultilevel"/>
    <w:tmpl w:val="EF6815F8"/>
    <w:lvl w:ilvl="0" w:tplc="1018B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EB9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81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A2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A5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60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600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0B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4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1D85"/>
    <w:multiLevelType w:val="hybridMultilevel"/>
    <w:tmpl w:val="BC26926C"/>
    <w:lvl w:ilvl="0" w:tplc="D95085C8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A4317A"/>
    <w:multiLevelType w:val="hybridMultilevel"/>
    <w:tmpl w:val="DC7E58BC"/>
    <w:lvl w:ilvl="0" w:tplc="1F2664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E3700E"/>
    <w:multiLevelType w:val="hybridMultilevel"/>
    <w:tmpl w:val="51187B20"/>
    <w:lvl w:ilvl="0" w:tplc="FF2E392A">
      <w:start w:val="1"/>
      <w:numFmt w:val="decimal"/>
      <w:lvlText w:val="%1."/>
      <w:lvlJc w:val="left"/>
      <w:pPr>
        <w:ind w:left="840" w:hanging="420"/>
      </w:pPr>
      <w:rPr>
        <w:b/>
        <w:i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04203F5"/>
    <w:multiLevelType w:val="hybridMultilevel"/>
    <w:tmpl w:val="829ACA58"/>
    <w:lvl w:ilvl="0" w:tplc="47669B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125C2"/>
    <w:multiLevelType w:val="hybridMultilevel"/>
    <w:tmpl w:val="F41A3C00"/>
    <w:lvl w:ilvl="0" w:tplc="4FB0838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B77EBA"/>
    <w:multiLevelType w:val="hybridMultilevel"/>
    <w:tmpl w:val="A6BA981E"/>
    <w:lvl w:ilvl="0" w:tplc="E6C848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73ED1"/>
    <w:multiLevelType w:val="hybridMultilevel"/>
    <w:tmpl w:val="8C7857FA"/>
    <w:lvl w:ilvl="0" w:tplc="7F94D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1F81672"/>
    <w:multiLevelType w:val="hybridMultilevel"/>
    <w:tmpl w:val="B25044F2"/>
    <w:lvl w:ilvl="0" w:tplc="5FC45B30">
      <w:start w:val="1"/>
      <w:numFmt w:val="decimal"/>
      <w:lvlText w:val="%1."/>
      <w:lvlJc w:val="left"/>
      <w:pPr>
        <w:ind w:left="2264" w:hanging="420"/>
      </w:pPr>
      <w:rPr>
        <w:rFonts w:hint="eastAsia"/>
        <w:b/>
        <w:i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25" w15:restartNumberingAfterBreak="0">
    <w:nsid w:val="74177268"/>
    <w:multiLevelType w:val="hybridMultilevel"/>
    <w:tmpl w:val="5518DB12"/>
    <w:lvl w:ilvl="0" w:tplc="44D2838E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FA3942"/>
    <w:multiLevelType w:val="hybridMultilevel"/>
    <w:tmpl w:val="F8A0A0D8"/>
    <w:lvl w:ilvl="0" w:tplc="CE8A1B8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9"/>
  </w:num>
  <w:num w:numId="5">
    <w:abstractNumId w:val="16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11"/>
  </w:num>
  <w:num w:numId="11">
    <w:abstractNumId w:val="18"/>
  </w:num>
  <w:num w:numId="12">
    <w:abstractNumId w:val="6"/>
  </w:num>
  <w:num w:numId="13">
    <w:abstractNumId w:val="23"/>
  </w:num>
  <w:num w:numId="14">
    <w:abstractNumId w:val="2"/>
  </w:num>
  <w:num w:numId="15">
    <w:abstractNumId w:val="0"/>
  </w:num>
  <w:num w:numId="16">
    <w:abstractNumId w:val="8"/>
  </w:num>
  <w:num w:numId="17">
    <w:abstractNumId w:val="4"/>
  </w:num>
  <w:num w:numId="18">
    <w:abstractNumId w:val="7"/>
  </w:num>
  <w:num w:numId="19">
    <w:abstractNumId w:val="24"/>
  </w:num>
  <w:num w:numId="20">
    <w:abstractNumId w:val="19"/>
  </w:num>
  <w:num w:numId="21">
    <w:abstractNumId w:val="10"/>
  </w:num>
  <w:num w:numId="22">
    <w:abstractNumId w:val="13"/>
  </w:num>
  <w:num w:numId="23">
    <w:abstractNumId w:val="14"/>
  </w:num>
  <w:num w:numId="24">
    <w:abstractNumId w:val="5"/>
  </w:num>
  <w:num w:numId="25">
    <w:abstractNumId w:val="21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C"/>
    <w:rsid w:val="00000F19"/>
    <w:rsid w:val="00006DF1"/>
    <w:rsid w:val="0001087D"/>
    <w:rsid w:val="0001566E"/>
    <w:rsid w:val="00016D92"/>
    <w:rsid w:val="00020CD1"/>
    <w:rsid w:val="0002163D"/>
    <w:rsid w:val="000266D1"/>
    <w:rsid w:val="0002673B"/>
    <w:rsid w:val="0003430E"/>
    <w:rsid w:val="000358B9"/>
    <w:rsid w:val="00041740"/>
    <w:rsid w:val="0004192C"/>
    <w:rsid w:val="00041BCB"/>
    <w:rsid w:val="00044AEC"/>
    <w:rsid w:val="00046C7A"/>
    <w:rsid w:val="00047FD3"/>
    <w:rsid w:val="000514E0"/>
    <w:rsid w:val="00051BE7"/>
    <w:rsid w:val="00052327"/>
    <w:rsid w:val="00052578"/>
    <w:rsid w:val="000528E7"/>
    <w:rsid w:val="00060165"/>
    <w:rsid w:val="000609A0"/>
    <w:rsid w:val="00061986"/>
    <w:rsid w:val="00061A35"/>
    <w:rsid w:val="00062096"/>
    <w:rsid w:val="000646F5"/>
    <w:rsid w:val="00066739"/>
    <w:rsid w:val="0006775B"/>
    <w:rsid w:val="00070CFA"/>
    <w:rsid w:val="00072E89"/>
    <w:rsid w:val="00075E92"/>
    <w:rsid w:val="00077B93"/>
    <w:rsid w:val="000810B9"/>
    <w:rsid w:val="00082D76"/>
    <w:rsid w:val="000839E8"/>
    <w:rsid w:val="000841F3"/>
    <w:rsid w:val="00087CBB"/>
    <w:rsid w:val="000930F5"/>
    <w:rsid w:val="00096523"/>
    <w:rsid w:val="000A00FE"/>
    <w:rsid w:val="000A082F"/>
    <w:rsid w:val="000A1D1D"/>
    <w:rsid w:val="000A42DE"/>
    <w:rsid w:val="000A58E7"/>
    <w:rsid w:val="000A5DA9"/>
    <w:rsid w:val="000B059B"/>
    <w:rsid w:val="000B16E4"/>
    <w:rsid w:val="000B4F3F"/>
    <w:rsid w:val="000C159F"/>
    <w:rsid w:val="000C2123"/>
    <w:rsid w:val="000C252F"/>
    <w:rsid w:val="000C3342"/>
    <w:rsid w:val="000C579C"/>
    <w:rsid w:val="000C631D"/>
    <w:rsid w:val="000C651A"/>
    <w:rsid w:val="000C6D52"/>
    <w:rsid w:val="000D2B39"/>
    <w:rsid w:val="000E07F7"/>
    <w:rsid w:val="000E51A7"/>
    <w:rsid w:val="000E793E"/>
    <w:rsid w:val="000F1836"/>
    <w:rsid w:val="000F228B"/>
    <w:rsid w:val="000F4FB3"/>
    <w:rsid w:val="000F7EB4"/>
    <w:rsid w:val="001000D2"/>
    <w:rsid w:val="00100384"/>
    <w:rsid w:val="00102B65"/>
    <w:rsid w:val="00103587"/>
    <w:rsid w:val="00107DBB"/>
    <w:rsid w:val="00113446"/>
    <w:rsid w:val="0011685F"/>
    <w:rsid w:val="00117104"/>
    <w:rsid w:val="00122A8E"/>
    <w:rsid w:val="00123E98"/>
    <w:rsid w:val="00124982"/>
    <w:rsid w:val="00126403"/>
    <w:rsid w:val="00132BCB"/>
    <w:rsid w:val="00133EC7"/>
    <w:rsid w:val="0013456B"/>
    <w:rsid w:val="00135209"/>
    <w:rsid w:val="00135784"/>
    <w:rsid w:val="001364A8"/>
    <w:rsid w:val="001419CD"/>
    <w:rsid w:val="00143369"/>
    <w:rsid w:val="001433E7"/>
    <w:rsid w:val="00145852"/>
    <w:rsid w:val="00147EC6"/>
    <w:rsid w:val="001534F8"/>
    <w:rsid w:val="00153ED2"/>
    <w:rsid w:val="00155595"/>
    <w:rsid w:val="00156062"/>
    <w:rsid w:val="00157152"/>
    <w:rsid w:val="0016699F"/>
    <w:rsid w:val="00166F33"/>
    <w:rsid w:val="00167435"/>
    <w:rsid w:val="00170159"/>
    <w:rsid w:val="001706EC"/>
    <w:rsid w:val="00170F60"/>
    <w:rsid w:val="001734B8"/>
    <w:rsid w:val="0017432B"/>
    <w:rsid w:val="00174746"/>
    <w:rsid w:val="001748F2"/>
    <w:rsid w:val="001862D0"/>
    <w:rsid w:val="001878A5"/>
    <w:rsid w:val="00197ED3"/>
    <w:rsid w:val="001A069B"/>
    <w:rsid w:val="001A06D8"/>
    <w:rsid w:val="001A3744"/>
    <w:rsid w:val="001B0309"/>
    <w:rsid w:val="001B3BBA"/>
    <w:rsid w:val="001B4512"/>
    <w:rsid w:val="001C2442"/>
    <w:rsid w:val="001C2683"/>
    <w:rsid w:val="001C4075"/>
    <w:rsid w:val="001C4807"/>
    <w:rsid w:val="001C74C0"/>
    <w:rsid w:val="001C7A34"/>
    <w:rsid w:val="001C7BF2"/>
    <w:rsid w:val="001D49F6"/>
    <w:rsid w:val="001E0842"/>
    <w:rsid w:val="001E3202"/>
    <w:rsid w:val="001E6BD3"/>
    <w:rsid w:val="001E7979"/>
    <w:rsid w:val="001F0F65"/>
    <w:rsid w:val="001F175A"/>
    <w:rsid w:val="001F383F"/>
    <w:rsid w:val="002002D9"/>
    <w:rsid w:val="00200A68"/>
    <w:rsid w:val="002011E5"/>
    <w:rsid w:val="00201412"/>
    <w:rsid w:val="002015E0"/>
    <w:rsid w:val="00203329"/>
    <w:rsid w:val="00203D31"/>
    <w:rsid w:val="00204DB5"/>
    <w:rsid w:val="00205D3A"/>
    <w:rsid w:val="002071A3"/>
    <w:rsid w:val="00210F3C"/>
    <w:rsid w:val="0021116D"/>
    <w:rsid w:val="002118E2"/>
    <w:rsid w:val="00212C8C"/>
    <w:rsid w:val="00213CD8"/>
    <w:rsid w:val="00217678"/>
    <w:rsid w:val="002209C3"/>
    <w:rsid w:val="00220E09"/>
    <w:rsid w:val="002216AA"/>
    <w:rsid w:val="002229E4"/>
    <w:rsid w:val="00224CE0"/>
    <w:rsid w:val="002326BE"/>
    <w:rsid w:val="002367FD"/>
    <w:rsid w:val="0024226B"/>
    <w:rsid w:val="00243342"/>
    <w:rsid w:val="00250B6E"/>
    <w:rsid w:val="00250E1E"/>
    <w:rsid w:val="00250EFE"/>
    <w:rsid w:val="00252E45"/>
    <w:rsid w:val="00253D96"/>
    <w:rsid w:val="00253E24"/>
    <w:rsid w:val="00256BE7"/>
    <w:rsid w:val="0025704F"/>
    <w:rsid w:val="00257A58"/>
    <w:rsid w:val="002639EC"/>
    <w:rsid w:val="00263C64"/>
    <w:rsid w:val="00272FEB"/>
    <w:rsid w:val="002751BA"/>
    <w:rsid w:val="00275E0D"/>
    <w:rsid w:val="00276C6D"/>
    <w:rsid w:val="00280FBF"/>
    <w:rsid w:val="00281CDF"/>
    <w:rsid w:val="0028632D"/>
    <w:rsid w:val="00291C29"/>
    <w:rsid w:val="002963EA"/>
    <w:rsid w:val="00296627"/>
    <w:rsid w:val="002A201D"/>
    <w:rsid w:val="002A7518"/>
    <w:rsid w:val="002B0052"/>
    <w:rsid w:val="002B0419"/>
    <w:rsid w:val="002B190F"/>
    <w:rsid w:val="002B3022"/>
    <w:rsid w:val="002B33FE"/>
    <w:rsid w:val="002B43C8"/>
    <w:rsid w:val="002B63EF"/>
    <w:rsid w:val="002B68E9"/>
    <w:rsid w:val="002B765C"/>
    <w:rsid w:val="002C10E3"/>
    <w:rsid w:val="002C25DB"/>
    <w:rsid w:val="002C2F0E"/>
    <w:rsid w:val="002C698B"/>
    <w:rsid w:val="002C72D4"/>
    <w:rsid w:val="002D1411"/>
    <w:rsid w:val="002D2874"/>
    <w:rsid w:val="002D43EB"/>
    <w:rsid w:val="002D77EC"/>
    <w:rsid w:val="002E02C5"/>
    <w:rsid w:val="002E32CE"/>
    <w:rsid w:val="002E3F08"/>
    <w:rsid w:val="002E4ED7"/>
    <w:rsid w:val="002E558A"/>
    <w:rsid w:val="002E62B6"/>
    <w:rsid w:val="002E74B9"/>
    <w:rsid w:val="002E76C6"/>
    <w:rsid w:val="002F1251"/>
    <w:rsid w:val="002F18D5"/>
    <w:rsid w:val="002F67DF"/>
    <w:rsid w:val="002F7572"/>
    <w:rsid w:val="002F7EA6"/>
    <w:rsid w:val="003006CD"/>
    <w:rsid w:val="00300ABA"/>
    <w:rsid w:val="00300D7E"/>
    <w:rsid w:val="0030267D"/>
    <w:rsid w:val="00305B56"/>
    <w:rsid w:val="0031297E"/>
    <w:rsid w:val="00315E13"/>
    <w:rsid w:val="00321354"/>
    <w:rsid w:val="00321D1B"/>
    <w:rsid w:val="00322353"/>
    <w:rsid w:val="00326512"/>
    <w:rsid w:val="00327A16"/>
    <w:rsid w:val="003325A2"/>
    <w:rsid w:val="00333576"/>
    <w:rsid w:val="00337B7B"/>
    <w:rsid w:val="00342F60"/>
    <w:rsid w:val="00343E35"/>
    <w:rsid w:val="0035115A"/>
    <w:rsid w:val="00352619"/>
    <w:rsid w:val="003539AC"/>
    <w:rsid w:val="00354CE6"/>
    <w:rsid w:val="00361152"/>
    <w:rsid w:val="00362A90"/>
    <w:rsid w:val="00365D0B"/>
    <w:rsid w:val="00366127"/>
    <w:rsid w:val="003677FA"/>
    <w:rsid w:val="00367BD7"/>
    <w:rsid w:val="00370752"/>
    <w:rsid w:val="00372365"/>
    <w:rsid w:val="0037249C"/>
    <w:rsid w:val="00372CCE"/>
    <w:rsid w:val="00373EA5"/>
    <w:rsid w:val="00374FB6"/>
    <w:rsid w:val="003774DB"/>
    <w:rsid w:val="00385A02"/>
    <w:rsid w:val="00396708"/>
    <w:rsid w:val="003973C4"/>
    <w:rsid w:val="003A0570"/>
    <w:rsid w:val="003A74AE"/>
    <w:rsid w:val="003B0928"/>
    <w:rsid w:val="003B171C"/>
    <w:rsid w:val="003B76B2"/>
    <w:rsid w:val="003C3630"/>
    <w:rsid w:val="003C382D"/>
    <w:rsid w:val="003D059E"/>
    <w:rsid w:val="003D0F77"/>
    <w:rsid w:val="003D3D30"/>
    <w:rsid w:val="003D6ADE"/>
    <w:rsid w:val="003E49F3"/>
    <w:rsid w:val="003E5DC6"/>
    <w:rsid w:val="003F41E9"/>
    <w:rsid w:val="003F5571"/>
    <w:rsid w:val="003F7D98"/>
    <w:rsid w:val="004008F7"/>
    <w:rsid w:val="00403575"/>
    <w:rsid w:val="00405068"/>
    <w:rsid w:val="00406CAC"/>
    <w:rsid w:val="00410902"/>
    <w:rsid w:val="00410FAF"/>
    <w:rsid w:val="00413581"/>
    <w:rsid w:val="00417B74"/>
    <w:rsid w:val="00417D12"/>
    <w:rsid w:val="00421323"/>
    <w:rsid w:val="00423C4E"/>
    <w:rsid w:val="004258F3"/>
    <w:rsid w:val="004306DE"/>
    <w:rsid w:val="004315A5"/>
    <w:rsid w:val="00431C15"/>
    <w:rsid w:val="004320A6"/>
    <w:rsid w:val="00434AC6"/>
    <w:rsid w:val="00436772"/>
    <w:rsid w:val="00437D11"/>
    <w:rsid w:val="00440FEC"/>
    <w:rsid w:val="00441FB3"/>
    <w:rsid w:val="004436C3"/>
    <w:rsid w:val="00444518"/>
    <w:rsid w:val="0044613E"/>
    <w:rsid w:val="00446B27"/>
    <w:rsid w:val="004531B8"/>
    <w:rsid w:val="00455BE2"/>
    <w:rsid w:val="00461E48"/>
    <w:rsid w:val="00462977"/>
    <w:rsid w:val="00463B6F"/>
    <w:rsid w:val="00470CFA"/>
    <w:rsid w:val="00475F9F"/>
    <w:rsid w:val="00476FFE"/>
    <w:rsid w:val="004855AE"/>
    <w:rsid w:val="004868E9"/>
    <w:rsid w:val="00486FB0"/>
    <w:rsid w:val="004872B9"/>
    <w:rsid w:val="0049102F"/>
    <w:rsid w:val="004916A4"/>
    <w:rsid w:val="004918C3"/>
    <w:rsid w:val="00493138"/>
    <w:rsid w:val="00493E43"/>
    <w:rsid w:val="004952F4"/>
    <w:rsid w:val="00496815"/>
    <w:rsid w:val="004A1562"/>
    <w:rsid w:val="004A1640"/>
    <w:rsid w:val="004A5B66"/>
    <w:rsid w:val="004A77D6"/>
    <w:rsid w:val="004A7C04"/>
    <w:rsid w:val="004B5B5A"/>
    <w:rsid w:val="004C118A"/>
    <w:rsid w:val="004C1AEF"/>
    <w:rsid w:val="004C230A"/>
    <w:rsid w:val="004C35D5"/>
    <w:rsid w:val="004C3620"/>
    <w:rsid w:val="004C4F65"/>
    <w:rsid w:val="004C7206"/>
    <w:rsid w:val="004D2095"/>
    <w:rsid w:val="004D2D4C"/>
    <w:rsid w:val="004D33A2"/>
    <w:rsid w:val="004D3C4D"/>
    <w:rsid w:val="004D5AB3"/>
    <w:rsid w:val="004D7677"/>
    <w:rsid w:val="004E0115"/>
    <w:rsid w:val="004E0E09"/>
    <w:rsid w:val="004E1A21"/>
    <w:rsid w:val="004E4AD9"/>
    <w:rsid w:val="004F3015"/>
    <w:rsid w:val="005030F4"/>
    <w:rsid w:val="00504F68"/>
    <w:rsid w:val="005054E0"/>
    <w:rsid w:val="00507F13"/>
    <w:rsid w:val="00511221"/>
    <w:rsid w:val="0051150A"/>
    <w:rsid w:val="00511B6E"/>
    <w:rsid w:val="00513E63"/>
    <w:rsid w:val="005144E2"/>
    <w:rsid w:val="00514CAB"/>
    <w:rsid w:val="00516DD5"/>
    <w:rsid w:val="0052426C"/>
    <w:rsid w:val="00524325"/>
    <w:rsid w:val="00530111"/>
    <w:rsid w:val="005307E7"/>
    <w:rsid w:val="005309C4"/>
    <w:rsid w:val="00530D15"/>
    <w:rsid w:val="0053121C"/>
    <w:rsid w:val="005337B7"/>
    <w:rsid w:val="00534819"/>
    <w:rsid w:val="0054047F"/>
    <w:rsid w:val="00541A21"/>
    <w:rsid w:val="00542966"/>
    <w:rsid w:val="00544FAB"/>
    <w:rsid w:val="0054640E"/>
    <w:rsid w:val="00550977"/>
    <w:rsid w:val="00553A5B"/>
    <w:rsid w:val="00553FCC"/>
    <w:rsid w:val="00554267"/>
    <w:rsid w:val="00556376"/>
    <w:rsid w:val="0056113C"/>
    <w:rsid w:val="00561495"/>
    <w:rsid w:val="005616E0"/>
    <w:rsid w:val="0056222B"/>
    <w:rsid w:val="0056364F"/>
    <w:rsid w:val="005712F0"/>
    <w:rsid w:val="00576A69"/>
    <w:rsid w:val="005774D2"/>
    <w:rsid w:val="00582040"/>
    <w:rsid w:val="00584FEC"/>
    <w:rsid w:val="00585198"/>
    <w:rsid w:val="00587220"/>
    <w:rsid w:val="005935B2"/>
    <w:rsid w:val="00596FED"/>
    <w:rsid w:val="005979C6"/>
    <w:rsid w:val="00597E79"/>
    <w:rsid w:val="005A2AD2"/>
    <w:rsid w:val="005A70F3"/>
    <w:rsid w:val="005B1EAB"/>
    <w:rsid w:val="005B37C5"/>
    <w:rsid w:val="005B4D1B"/>
    <w:rsid w:val="005B4E7F"/>
    <w:rsid w:val="005B6626"/>
    <w:rsid w:val="005B7855"/>
    <w:rsid w:val="005C1191"/>
    <w:rsid w:val="005C2744"/>
    <w:rsid w:val="005C2D85"/>
    <w:rsid w:val="005C4934"/>
    <w:rsid w:val="005C56F9"/>
    <w:rsid w:val="005C78DD"/>
    <w:rsid w:val="005D16DC"/>
    <w:rsid w:val="005D1DED"/>
    <w:rsid w:val="005D27B0"/>
    <w:rsid w:val="005D411D"/>
    <w:rsid w:val="005D69B8"/>
    <w:rsid w:val="005E326E"/>
    <w:rsid w:val="005F1D6A"/>
    <w:rsid w:val="006002EB"/>
    <w:rsid w:val="00602DB9"/>
    <w:rsid w:val="00606E9C"/>
    <w:rsid w:val="006133FD"/>
    <w:rsid w:val="00615824"/>
    <w:rsid w:val="00616E5E"/>
    <w:rsid w:val="00620FFD"/>
    <w:rsid w:val="006214E8"/>
    <w:rsid w:val="00622900"/>
    <w:rsid w:val="00623959"/>
    <w:rsid w:val="00625B69"/>
    <w:rsid w:val="00625D84"/>
    <w:rsid w:val="00627903"/>
    <w:rsid w:val="00630FCA"/>
    <w:rsid w:val="006356BC"/>
    <w:rsid w:val="00635C23"/>
    <w:rsid w:val="00635F2B"/>
    <w:rsid w:val="00636E55"/>
    <w:rsid w:val="00643161"/>
    <w:rsid w:val="006443A1"/>
    <w:rsid w:val="0064664E"/>
    <w:rsid w:val="00653EF6"/>
    <w:rsid w:val="00656A87"/>
    <w:rsid w:val="00656DC9"/>
    <w:rsid w:val="00657784"/>
    <w:rsid w:val="0066072C"/>
    <w:rsid w:val="00663CA4"/>
    <w:rsid w:val="006661FE"/>
    <w:rsid w:val="006669B6"/>
    <w:rsid w:val="00667837"/>
    <w:rsid w:val="006708A5"/>
    <w:rsid w:val="00671FA9"/>
    <w:rsid w:val="0067225F"/>
    <w:rsid w:val="006730DE"/>
    <w:rsid w:val="00673D27"/>
    <w:rsid w:val="006741C9"/>
    <w:rsid w:val="00681B64"/>
    <w:rsid w:val="006846BC"/>
    <w:rsid w:val="006868CD"/>
    <w:rsid w:val="00687BBD"/>
    <w:rsid w:val="006909A3"/>
    <w:rsid w:val="0069231D"/>
    <w:rsid w:val="0069296F"/>
    <w:rsid w:val="00693475"/>
    <w:rsid w:val="00695A16"/>
    <w:rsid w:val="006A0FC5"/>
    <w:rsid w:val="006A1385"/>
    <w:rsid w:val="006A43F0"/>
    <w:rsid w:val="006A5C09"/>
    <w:rsid w:val="006B00C0"/>
    <w:rsid w:val="006B02C3"/>
    <w:rsid w:val="006B051A"/>
    <w:rsid w:val="006B1798"/>
    <w:rsid w:val="006B3294"/>
    <w:rsid w:val="006B4B1D"/>
    <w:rsid w:val="006B7476"/>
    <w:rsid w:val="006C1A27"/>
    <w:rsid w:val="006C6F97"/>
    <w:rsid w:val="006D0491"/>
    <w:rsid w:val="006D0946"/>
    <w:rsid w:val="006D2426"/>
    <w:rsid w:val="006D287F"/>
    <w:rsid w:val="006D48B7"/>
    <w:rsid w:val="006E0A4A"/>
    <w:rsid w:val="006E0C51"/>
    <w:rsid w:val="006E4E28"/>
    <w:rsid w:val="006F156D"/>
    <w:rsid w:val="006F1CAF"/>
    <w:rsid w:val="006F2C4C"/>
    <w:rsid w:val="006F2CF2"/>
    <w:rsid w:val="006F2E93"/>
    <w:rsid w:val="006F7873"/>
    <w:rsid w:val="007021F3"/>
    <w:rsid w:val="007045CA"/>
    <w:rsid w:val="007047EF"/>
    <w:rsid w:val="00704C31"/>
    <w:rsid w:val="00706987"/>
    <w:rsid w:val="007077A7"/>
    <w:rsid w:val="00710E69"/>
    <w:rsid w:val="0071454A"/>
    <w:rsid w:val="00717E77"/>
    <w:rsid w:val="007215E1"/>
    <w:rsid w:val="00721D1E"/>
    <w:rsid w:val="0072403B"/>
    <w:rsid w:val="00726C00"/>
    <w:rsid w:val="0072723C"/>
    <w:rsid w:val="00731D07"/>
    <w:rsid w:val="00732029"/>
    <w:rsid w:val="00734A99"/>
    <w:rsid w:val="007372FD"/>
    <w:rsid w:val="00740314"/>
    <w:rsid w:val="00740C08"/>
    <w:rsid w:val="007420D9"/>
    <w:rsid w:val="007429B0"/>
    <w:rsid w:val="0074470F"/>
    <w:rsid w:val="00747C7B"/>
    <w:rsid w:val="00750271"/>
    <w:rsid w:val="007527D5"/>
    <w:rsid w:val="007555B5"/>
    <w:rsid w:val="00760984"/>
    <w:rsid w:val="00770370"/>
    <w:rsid w:val="00773778"/>
    <w:rsid w:val="00776C24"/>
    <w:rsid w:val="00780AE5"/>
    <w:rsid w:val="00781409"/>
    <w:rsid w:val="00781AD2"/>
    <w:rsid w:val="0078273F"/>
    <w:rsid w:val="007834E8"/>
    <w:rsid w:val="00785D0B"/>
    <w:rsid w:val="00790C48"/>
    <w:rsid w:val="007924DA"/>
    <w:rsid w:val="0079581A"/>
    <w:rsid w:val="007968AD"/>
    <w:rsid w:val="0079711A"/>
    <w:rsid w:val="0079742E"/>
    <w:rsid w:val="0079794D"/>
    <w:rsid w:val="007A2139"/>
    <w:rsid w:val="007A3C64"/>
    <w:rsid w:val="007A5D03"/>
    <w:rsid w:val="007A7195"/>
    <w:rsid w:val="007A7CB9"/>
    <w:rsid w:val="007B000E"/>
    <w:rsid w:val="007B08D0"/>
    <w:rsid w:val="007B11DF"/>
    <w:rsid w:val="007B5CEF"/>
    <w:rsid w:val="007B5E59"/>
    <w:rsid w:val="007C12F8"/>
    <w:rsid w:val="007C3E2F"/>
    <w:rsid w:val="007C3FB5"/>
    <w:rsid w:val="007C4868"/>
    <w:rsid w:val="007C6353"/>
    <w:rsid w:val="007D5204"/>
    <w:rsid w:val="007D679B"/>
    <w:rsid w:val="007D7583"/>
    <w:rsid w:val="007D7B31"/>
    <w:rsid w:val="007F032D"/>
    <w:rsid w:val="007F2223"/>
    <w:rsid w:val="007F36BD"/>
    <w:rsid w:val="007F3A18"/>
    <w:rsid w:val="007F4041"/>
    <w:rsid w:val="007F5DFD"/>
    <w:rsid w:val="007F6ABB"/>
    <w:rsid w:val="007F6F37"/>
    <w:rsid w:val="00802657"/>
    <w:rsid w:val="0080439E"/>
    <w:rsid w:val="008064F6"/>
    <w:rsid w:val="00806550"/>
    <w:rsid w:val="008115E9"/>
    <w:rsid w:val="008130E0"/>
    <w:rsid w:val="00813B00"/>
    <w:rsid w:val="008162E3"/>
    <w:rsid w:val="008214C0"/>
    <w:rsid w:val="00821737"/>
    <w:rsid w:val="00825D07"/>
    <w:rsid w:val="00826896"/>
    <w:rsid w:val="00827A2E"/>
    <w:rsid w:val="00827D61"/>
    <w:rsid w:val="0083162B"/>
    <w:rsid w:val="00831E3E"/>
    <w:rsid w:val="008323A1"/>
    <w:rsid w:val="00840379"/>
    <w:rsid w:val="00840FF3"/>
    <w:rsid w:val="008423DA"/>
    <w:rsid w:val="00842E9E"/>
    <w:rsid w:val="00846103"/>
    <w:rsid w:val="008546E7"/>
    <w:rsid w:val="0085538D"/>
    <w:rsid w:val="008619C1"/>
    <w:rsid w:val="008621B2"/>
    <w:rsid w:val="00862E52"/>
    <w:rsid w:val="008652A3"/>
    <w:rsid w:val="008653A6"/>
    <w:rsid w:val="0086749E"/>
    <w:rsid w:val="00872692"/>
    <w:rsid w:val="0087715E"/>
    <w:rsid w:val="008804E0"/>
    <w:rsid w:val="008825B1"/>
    <w:rsid w:val="00882779"/>
    <w:rsid w:val="0088302C"/>
    <w:rsid w:val="00883937"/>
    <w:rsid w:val="00883EEE"/>
    <w:rsid w:val="00886785"/>
    <w:rsid w:val="008914EA"/>
    <w:rsid w:val="00896030"/>
    <w:rsid w:val="008A0719"/>
    <w:rsid w:val="008A13FF"/>
    <w:rsid w:val="008A25A7"/>
    <w:rsid w:val="008A311B"/>
    <w:rsid w:val="008A3827"/>
    <w:rsid w:val="008A4011"/>
    <w:rsid w:val="008A7856"/>
    <w:rsid w:val="008B0D56"/>
    <w:rsid w:val="008B3BD3"/>
    <w:rsid w:val="008B411F"/>
    <w:rsid w:val="008B4880"/>
    <w:rsid w:val="008B4FCB"/>
    <w:rsid w:val="008C2CA0"/>
    <w:rsid w:val="008C2EA5"/>
    <w:rsid w:val="008C448A"/>
    <w:rsid w:val="008C4E74"/>
    <w:rsid w:val="008D1A6E"/>
    <w:rsid w:val="008D2D6A"/>
    <w:rsid w:val="008D4592"/>
    <w:rsid w:val="008D4A6D"/>
    <w:rsid w:val="008D4B56"/>
    <w:rsid w:val="008D5138"/>
    <w:rsid w:val="008D53E3"/>
    <w:rsid w:val="008E0ED8"/>
    <w:rsid w:val="008E6A36"/>
    <w:rsid w:val="008E6C6C"/>
    <w:rsid w:val="008F24EE"/>
    <w:rsid w:val="008F2833"/>
    <w:rsid w:val="008F6212"/>
    <w:rsid w:val="00901AB5"/>
    <w:rsid w:val="009158A4"/>
    <w:rsid w:val="00917F05"/>
    <w:rsid w:val="00921C00"/>
    <w:rsid w:val="009225FC"/>
    <w:rsid w:val="009237D3"/>
    <w:rsid w:val="00923D76"/>
    <w:rsid w:val="00924358"/>
    <w:rsid w:val="00925418"/>
    <w:rsid w:val="00926750"/>
    <w:rsid w:val="009302B5"/>
    <w:rsid w:val="00931383"/>
    <w:rsid w:val="00931841"/>
    <w:rsid w:val="0093347E"/>
    <w:rsid w:val="0093486C"/>
    <w:rsid w:val="009353FA"/>
    <w:rsid w:val="00936195"/>
    <w:rsid w:val="00936665"/>
    <w:rsid w:val="0094019C"/>
    <w:rsid w:val="00941D90"/>
    <w:rsid w:val="0094526E"/>
    <w:rsid w:val="00947636"/>
    <w:rsid w:val="009526D7"/>
    <w:rsid w:val="00956D52"/>
    <w:rsid w:val="00960A21"/>
    <w:rsid w:val="009618C2"/>
    <w:rsid w:val="009627B0"/>
    <w:rsid w:val="00964F9B"/>
    <w:rsid w:val="009676CC"/>
    <w:rsid w:val="00974DEB"/>
    <w:rsid w:val="009776DA"/>
    <w:rsid w:val="00977B47"/>
    <w:rsid w:val="00980E9D"/>
    <w:rsid w:val="009814E0"/>
    <w:rsid w:val="00984E51"/>
    <w:rsid w:val="0098520F"/>
    <w:rsid w:val="0098588D"/>
    <w:rsid w:val="00990EE3"/>
    <w:rsid w:val="00991160"/>
    <w:rsid w:val="00993559"/>
    <w:rsid w:val="00995367"/>
    <w:rsid w:val="00996EAC"/>
    <w:rsid w:val="009A143E"/>
    <w:rsid w:val="009A3419"/>
    <w:rsid w:val="009A6F63"/>
    <w:rsid w:val="009B1AF9"/>
    <w:rsid w:val="009B2B3F"/>
    <w:rsid w:val="009B4DFE"/>
    <w:rsid w:val="009B603F"/>
    <w:rsid w:val="009C05E6"/>
    <w:rsid w:val="009C154F"/>
    <w:rsid w:val="009C162E"/>
    <w:rsid w:val="009C5641"/>
    <w:rsid w:val="009D069C"/>
    <w:rsid w:val="009D0A95"/>
    <w:rsid w:val="009D1D06"/>
    <w:rsid w:val="009D512D"/>
    <w:rsid w:val="009E0489"/>
    <w:rsid w:val="009E285E"/>
    <w:rsid w:val="009E3DF9"/>
    <w:rsid w:val="009E4726"/>
    <w:rsid w:val="009F0A5E"/>
    <w:rsid w:val="009F0B44"/>
    <w:rsid w:val="009F2665"/>
    <w:rsid w:val="009F3A03"/>
    <w:rsid w:val="009F53CA"/>
    <w:rsid w:val="009F6874"/>
    <w:rsid w:val="00A02DC6"/>
    <w:rsid w:val="00A05F18"/>
    <w:rsid w:val="00A07532"/>
    <w:rsid w:val="00A1046A"/>
    <w:rsid w:val="00A118FF"/>
    <w:rsid w:val="00A13D37"/>
    <w:rsid w:val="00A140C5"/>
    <w:rsid w:val="00A14FFD"/>
    <w:rsid w:val="00A15F14"/>
    <w:rsid w:val="00A17631"/>
    <w:rsid w:val="00A17DAF"/>
    <w:rsid w:val="00A20367"/>
    <w:rsid w:val="00A2495A"/>
    <w:rsid w:val="00A27413"/>
    <w:rsid w:val="00A27C37"/>
    <w:rsid w:val="00A31A37"/>
    <w:rsid w:val="00A31EF6"/>
    <w:rsid w:val="00A333A0"/>
    <w:rsid w:val="00A3456A"/>
    <w:rsid w:val="00A34771"/>
    <w:rsid w:val="00A419A9"/>
    <w:rsid w:val="00A44938"/>
    <w:rsid w:val="00A470DD"/>
    <w:rsid w:val="00A520AC"/>
    <w:rsid w:val="00A55025"/>
    <w:rsid w:val="00A57D53"/>
    <w:rsid w:val="00A60A24"/>
    <w:rsid w:val="00A61BE6"/>
    <w:rsid w:val="00A6593D"/>
    <w:rsid w:val="00A66ECC"/>
    <w:rsid w:val="00A677BC"/>
    <w:rsid w:val="00A73382"/>
    <w:rsid w:val="00A741C2"/>
    <w:rsid w:val="00A74A9B"/>
    <w:rsid w:val="00A81D76"/>
    <w:rsid w:val="00A82693"/>
    <w:rsid w:val="00A832EC"/>
    <w:rsid w:val="00A83492"/>
    <w:rsid w:val="00A86BFA"/>
    <w:rsid w:val="00A90A4F"/>
    <w:rsid w:val="00A90C4C"/>
    <w:rsid w:val="00A9271F"/>
    <w:rsid w:val="00A92854"/>
    <w:rsid w:val="00A939A6"/>
    <w:rsid w:val="00A96A5C"/>
    <w:rsid w:val="00A9733E"/>
    <w:rsid w:val="00A974C0"/>
    <w:rsid w:val="00A97E7E"/>
    <w:rsid w:val="00AA1544"/>
    <w:rsid w:val="00AA1D7E"/>
    <w:rsid w:val="00AA309F"/>
    <w:rsid w:val="00AA3D07"/>
    <w:rsid w:val="00AB11D8"/>
    <w:rsid w:val="00AB136D"/>
    <w:rsid w:val="00AB21BB"/>
    <w:rsid w:val="00AB36DD"/>
    <w:rsid w:val="00AB45BC"/>
    <w:rsid w:val="00AB5D3F"/>
    <w:rsid w:val="00AB70CE"/>
    <w:rsid w:val="00AB77B3"/>
    <w:rsid w:val="00AC180B"/>
    <w:rsid w:val="00AC31C7"/>
    <w:rsid w:val="00AC6149"/>
    <w:rsid w:val="00AC6938"/>
    <w:rsid w:val="00AD08D4"/>
    <w:rsid w:val="00AD2A94"/>
    <w:rsid w:val="00AD2DFB"/>
    <w:rsid w:val="00AE044F"/>
    <w:rsid w:val="00AE1581"/>
    <w:rsid w:val="00AE4036"/>
    <w:rsid w:val="00AE4E22"/>
    <w:rsid w:val="00AF0C7C"/>
    <w:rsid w:val="00AF26F0"/>
    <w:rsid w:val="00AF2FB5"/>
    <w:rsid w:val="00AF6E1E"/>
    <w:rsid w:val="00B04B19"/>
    <w:rsid w:val="00B059D7"/>
    <w:rsid w:val="00B1190D"/>
    <w:rsid w:val="00B11F56"/>
    <w:rsid w:val="00B12FF5"/>
    <w:rsid w:val="00B159EC"/>
    <w:rsid w:val="00B16D9B"/>
    <w:rsid w:val="00B228BF"/>
    <w:rsid w:val="00B229FB"/>
    <w:rsid w:val="00B24A0A"/>
    <w:rsid w:val="00B27ABD"/>
    <w:rsid w:val="00B31BBA"/>
    <w:rsid w:val="00B33945"/>
    <w:rsid w:val="00B34829"/>
    <w:rsid w:val="00B35004"/>
    <w:rsid w:val="00B35EE5"/>
    <w:rsid w:val="00B363A6"/>
    <w:rsid w:val="00B377FA"/>
    <w:rsid w:val="00B440EB"/>
    <w:rsid w:val="00B4543D"/>
    <w:rsid w:val="00B502C5"/>
    <w:rsid w:val="00B52178"/>
    <w:rsid w:val="00B52F6C"/>
    <w:rsid w:val="00B54015"/>
    <w:rsid w:val="00B54811"/>
    <w:rsid w:val="00B55E32"/>
    <w:rsid w:val="00B56BDA"/>
    <w:rsid w:val="00B56FF7"/>
    <w:rsid w:val="00B602F9"/>
    <w:rsid w:val="00B62562"/>
    <w:rsid w:val="00B62EF8"/>
    <w:rsid w:val="00B64C62"/>
    <w:rsid w:val="00B77263"/>
    <w:rsid w:val="00B77C61"/>
    <w:rsid w:val="00B81259"/>
    <w:rsid w:val="00B84077"/>
    <w:rsid w:val="00B865B2"/>
    <w:rsid w:val="00B90E21"/>
    <w:rsid w:val="00B9344E"/>
    <w:rsid w:val="00B95438"/>
    <w:rsid w:val="00B95876"/>
    <w:rsid w:val="00BA1A49"/>
    <w:rsid w:val="00BA35F1"/>
    <w:rsid w:val="00BA4B1A"/>
    <w:rsid w:val="00BA4C35"/>
    <w:rsid w:val="00BA537C"/>
    <w:rsid w:val="00BA6508"/>
    <w:rsid w:val="00BA7878"/>
    <w:rsid w:val="00BB1628"/>
    <w:rsid w:val="00BB176D"/>
    <w:rsid w:val="00BB2122"/>
    <w:rsid w:val="00BB3D39"/>
    <w:rsid w:val="00BC09AE"/>
    <w:rsid w:val="00BC5298"/>
    <w:rsid w:val="00BC6F68"/>
    <w:rsid w:val="00BD02CE"/>
    <w:rsid w:val="00BD0DC4"/>
    <w:rsid w:val="00BD0EC7"/>
    <w:rsid w:val="00BD5E62"/>
    <w:rsid w:val="00BD6496"/>
    <w:rsid w:val="00BD6638"/>
    <w:rsid w:val="00BD7971"/>
    <w:rsid w:val="00BE5AE7"/>
    <w:rsid w:val="00BE630D"/>
    <w:rsid w:val="00BE7D1E"/>
    <w:rsid w:val="00BF1FC4"/>
    <w:rsid w:val="00BF2A47"/>
    <w:rsid w:val="00BF44FC"/>
    <w:rsid w:val="00BF65FB"/>
    <w:rsid w:val="00BF6985"/>
    <w:rsid w:val="00BF6AC1"/>
    <w:rsid w:val="00C00290"/>
    <w:rsid w:val="00C02123"/>
    <w:rsid w:val="00C044A4"/>
    <w:rsid w:val="00C04923"/>
    <w:rsid w:val="00C049AB"/>
    <w:rsid w:val="00C0688D"/>
    <w:rsid w:val="00C06A90"/>
    <w:rsid w:val="00C07D0F"/>
    <w:rsid w:val="00C11ACF"/>
    <w:rsid w:val="00C11C01"/>
    <w:rsid w:val="00C11CFA"/>
    <w:rsid w:val="00C11D73"/>
    <w:rsid w:val="00C12D9C"/>
    <w:rsid w:val="00C135EE"/>
    <w:rsid w:val="00C16888"/>
    <w:rsid w:val="00C16CFF"/>
    <w:rsid w:val="00C2590F"/>
    <w:rsid w:val="00C25DF2"/>
    <w:rsid w:val="00C2749E"/>
    <w:rsid w:val="00C30628"/>
    <w:rsid w:val="00C30F57"/>
    <w:rsid w:val="00C32724"/>
    <w:rsid w:val="00C33080"/>
    <w:rsid w:val="00C3497D"/>
    <w:rsid w:val="00C35E37"/>
    <w:rsid w:val="00C41611"/>
    <w:rsid w:val="00C4486F"/>
    <w:rsid w:val="00C44AD3"/>
    <w:rsid w:val="00C452BC"/>
    <w:rsid w:val="00C46810"/>
    <w:rsid w:val="00C50071"/>
    <w:rsid w:val="00C51996"/>
    <w:rsid w:val="00C52613"/>
    <w:rsid w:val="00C52A0D"/>
    <w:rsid w:val="00C52DC7"/>
    <w:rsid w:val="00C570E2"/>
    <w:rsid w:val="00C5771E"/>
    <w:rsid w:val="00C651D5"/>
    <w:rsid w:val="00C6613A"/>
    <w:rsid w:val="00C66684"/>
    <w:rsid w:val="00C666D7"/>
    <w:rsid w:val="00C7115F"/>
    <w:rsid w:val="00C716C7"/>
    <w:rsid w:val="00C7331F"/>
    <w:rsid w:val="00C75920"/>
    <w:rsid w:val="00C85E63"/>
    <w:rsid w:val="00C92638"/>
    <w:rsid w:val="00C94CA7"/>
    <w:rsid w:val="00C97897"/>
    <w:rsid w:val="00C97C0A"/>
    <w:rsid w:val="00CA4404"/>
    <w:rsid w:val="00CA4669"/>
    <w:rsid w:val="00CA4EAE"/>
    <w:rsid w:val="00CA74A9"/>
    <w:rsid w:val="00CB0AF3"/>
    <w:rsid w:val="00CB134A"/>
    <w:rsid w:val="00CB1529"/>
    <w:rsid w:val="00CB278A"/>
    <w:rsid w:val="00CB6095"/>
    <w:rsid w:val="00CC0B6D"/>
    <w:rsid w:val="00CC1865"/>
    <w:rsid w:val="00CC4824"/>
    <w:rsid w:val="00CD7129"/>
    <w:rsid w:val="00CD7E8F"/>
    <w:rsid w:val="00CE3507"/>
    <w:rsid w:val="00CE42D0"/>
    <w:rsid w:val="00CE7036"/>
    <w:rsid w:val="00CF1B87"/>
    <w:rsid w:val="00CF21FC"/>
    <w:rsid w:val="00CF2DE9"/>
    <w:rsid w:val="00CF4340"/>
    <w:rsid w:val="00D03AE5"/>
    <w:rsid w:val="00D05BC3"/>
    <w:rsid w:val="00D0773B"/>
    <w:rsid w:val="00D125B2"/>
    <w:rsid w:val="00D15917"/>
    <w:rsid w:val="00D16938"/>
    <w:rsid w:val="00D24E12"/>
    <w:rsid w:val="00D265D7"/>
    <w:rsid w:val="00D27938"/>
    <w:rsid w:val="00D30263"/>
    <w:rsid w:val="00D32254"/>
    <w:rsid w:val="00D32A87"/>
    <w:rsid w:val="00D3378C"/>
    <w:rsid w:val="00D34054"/>
    <w:rsid w:val="00D3508C"/>
    <w:rsid w:val="00D40B68"/>
    <w:rsid w:val="00D43E37"/>
    <w:rsid w:val="00D461D0"/>
    <w:rsid w:val="00D4640C"/>
    <w:rsid w:val="00D470AB"/>
    <w:rsid w:val="00D508B9"/>
    <w:rsid w:val="00D53C91"/>
    <w:rsid w:val="00D55F97"/>
    <w:rsid w:val="00D578C5"/>
    <w:rsid w:val="00D65164"/>
    <w:rsid w:val="00D66D18"/>
    <w:rsid w:val="00D75268"/>
    <w:rsid w:val="00D82126"/>
    <w:rsid w:val="00D82D18"/>
    <w:rsid w:val="00D8378C"/>
    <w:rsid w:val="00D843FE"/>
    <w:rsid w:val="00D851F4"/>
    <w:rsid w:val="00D8722B"/>
    <w:rsid w:val="00D8759E"/>
    <w:rsid w:val="00D931B2"/>
    <w:rsid w:val="00D956FD"/>
    <w:rsid w:val="00DA103D"/>
    <w:rsid w:val="00DA3029"/>
    <w:rsid w:val="00DA7FA8"/>
    <w:rsid w:val="00DB4211"/>
    <w:rsid w:val="00DB7736"/>
    <w:rsid w:val="00DC1625"/>
    <w:rsid w:val="00DC1DB5"/>
    <w:rsid w:val="00DC411B"/>
    <w:rsid w:val="00DC5496"/>
    <w:rsid w:val="00DC5E65"/>
    <w:rsid w:val="00DC7AB8"/>
    <w:rsid w:val="00DD17C6"/>
    <w:rsid w:val="00DD4FBD"/>
    <w:rsid w:val="00DD724B"/>
    <w:rsid w:val="00DE115B"/>
    <w:rsid w:val="00DE1949"/>
    <w:rsid w:val="00DE216E"/>
    <w:rsid w:val="00DE23A8"/>
    <w:rsid w:val="00DE5BFE"/>
    <w:rsid w:val="00DF0221"/>
    <w:rsid w:val="00DF5C78"/>
    <w:rsid w:val="00DF5D09"/>
    <w:rsid w:val="00DF77FA"/>
    <w:rsid w:val="00DF77FD"/>
    <w:rsid w:val="00E02870"/>
    <w:rsid w:val="00E0485E"/>
    <w:rsid w:val="00E04B7C"/>
    <w:rsid w:val="00E0595E"/>
    <w:rsid w:val="00E07B9C"/>
    <w:rsid w:val="00E129FB"/>
    <w:rsid w:val="00E13275"/>
    <w:rsid w:val="00E21D53"/>
    <w:rsid w:val="00E23093"/>
    <w:rsid w:val="00E2386E"/>
    <w:rsid w:val="00E30DC2"/>
    <w:rsid w:val="00E35DBB"/>
    <w:rsid w:val="00E366D4"/>
    <w:rsid w:val="00E40300"/>
    <w:rsid w:val="00E40BA9"/>
    <w:rsid w:val="00E40EB7"/>
    <w:rsid w:val="00E414F2"/>
    <w:rsid w:val="00E422C7"/>
    <w:rsid w:val="00E46299"/>
    <w:rsid w:val="00E51764"/>
    <w:rsid w:val="00E55226"/>
    <w:rsid w:val="00E559FF"/>
    <w:rsid w:val="00E626A9"/>
    <w:rsid w:val="00E64892"/>
    <w:rsid w:val="00E67BB6"/>
    <w:rsid w:val="00E67C4E"/>
    <w:rsid w:val="00E70927"/>
    <w:rsid w:val="00E73607"/>
    <w:rsid w:val="00E77540"/>
    <w:rsid w:val="00E85B21"/>
    <w:rsid w:val="00E90F57"/>
    <w:rsid w:val="00E917EC"/>
    <w:rsid w:val="00E93182"/>
    <w:rsid w:val="00E93AE4"/>
    <w:rsid w:val="00E97C78"/>
    <w:rsid w:val="00EA3251"/>
    <w:rsid w:val="00EA3D4C"/>
    <w:rsid w:val="00EA51B4"/>
    <w:rsid w:val="00EB0CD7"/>
    <w:rsid w:val="00EB1996"/>
    <w:rsid w:val="00EB1BC2"/>
    <w:rsid w:val="00EB41A9"/>
    <w:rsid w:val="00EB61F8"/>
    <w:rsid w:val="00EC0224"/>
    <w:rsid w:val="00EC7F2E"/>
    <w:rsid w:val="00ED697F"/>
    <w:rsid w:val="00ED72A3"/>
    <w:rsid w:val="00EE3AC4"/>
    <w:rsid w:val="00EE3AF0"/>
    <w:rsid w:val="00EE4816"/>
    <w:rsid w:val="00EE6852"/>
    <w:rsid w:val="00EF463F"/>
    <w:rsid w:val="00EF5D4F"/>
    <w:rsid w:val="00F00CF1"/>
    <w:rsid w:val="00F01613"/>
    <w:rsid w:val="00F025A7"/>
    <w:rsid w:val="00F0457B"/>
    <w:rsid w:val="00F06393"/>
    <w:rsid w:val="00F146D1"/>
    <w:rsid w:val="00F16EEE"/>
    <w:rsid w:val="00F208BC"/>
    <w:rsid w:val="00F209D9"/>
    <w:rsid w:val="00F20B53"/>
    <w:rsid w:val="00F23A37"/>
    <w:rsid w:val="00F24FA9"/>
    <w:rsid w:val="00F32B80"/>
    <w:rsid w:val="00F330F3"/>
    <w:rsid w:val="00F33226"/>
    <w:rsid w:val="00F41C1A"/>
    <w:rsid w:val="00F4327D"/>
    <w:rsid w:val="00F43CD2"/>
    <w:rsid w:val="00F4784A"/>
    <w:rsid w:val="00F515E0"/>
    <w:rsid w:val="00F5375B"/>
    <w:rsid w:val="00F56AD6"/>
    <w:rsid w:val="00F6071B"/>
    <w:rsid w:val="00F60AB5"/>
    <w:rsid w:val="00F62E51"/>
    <w:rsid w:val="00F63074"/>
    <w:rsid w:val="00F64B18"/>
    <w:rsid w:val="00F6538D"/>
    <w:rsid w:val="00F6760A"/>
    <w:rsid w:val="00F71E03"/>
    <w:rsid w:val="00F72AAE"/>
    <w:rsid w:val="00F7345D"/>
    <w:rsid w:val="00F777B1"/>
    <w:rsid w:val="00F849C0"/>
    <w:rsid w:val="00F86471"/>
    <w:rsid w:val="00F87B17"/>
    <w:rsid w:val="00F87EF1"/>
    <w:rsid w:val="00F87F5E"/>
    <w:rsid w:val="00F90F83"/>
    <w:rsid w:val="00F94409"/>
    <w:rsid w:val="00F953A9"/>
    <w:rsid w:val="00FA066A"/>
    <w:rsid w:val="00FA083B"/>
    <w:rsid w:val="00FA10FF"/>
    <w:rsid w:val="00FA1260"/>
    <w:rsid w:val="00FA17B4"/>
    <w:rsid w:val="00FA27E2"/>
    <w:rsid w:val="00FA3B70"/>
    <w:rsid w:val="00FA3CE6"/>
    <w:rsid w:val="00FA641E"/>
    <w:rsid w:val="00FB14A7"/>
    <w:rsid w:val="00FB21B9"/>
    <w:rsid w:val="00FB49E6"/>
    <w:rsid w:val="00FB5784"/>
    <w:rsid w:val="00FB5AF8"/>
    <w:rsid w:val="00FB6344"/>
    <w:rsid w:val="00FC0344"/>
    <w:rsid w:val="00FC365B"/>
    <w:rsid w:val="00FC387F"/>
    <w:rsid w:val="00FC46F1"/>
    <w:rsid w:val="00FD4944"/>
    <w:rsid w:val="00FD597E"/>
    <w:rsid w:val="00FD5FF6"/>
    <w:rsid w:val="00FD66D5"/>
    <w:rsid w:val="00FD702E"/>
    <w:rsid w:val="00FD7AB8"/>
    <w:rsid w:val="00FE0717"/>
    <w:rsid w:val="00FE0EAF"/>
    <w:rsid w:val="00FE436E"/>
    <w:rsid w:val="00FE454F"/>
    <w:rsid w:val="00FE4ADC"/>
    <w:rsid w:val="00FE4F1D"/>
    <w:rsid w:val="00FE6F9A"/>
    <w:rsid w:val="00FE71F9"/>
    <w:rsid w:val="00FE7B2E"/>
    <w:rsid w:val="00FF2E76"/>
    <w:rsid w:val="00FF44A8"/>
    <w:rsid w:val="00FF5FD2"/>
    <w:rsid w:val="00FF71BE"/>
    <w:rsid w:val="00FF76D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BA8D"/>
  <w15:docId w15:val="{FB4F715D-0331-41B4-B036-8327ECC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7B7"/>
    <w:rPr>
      <w:sz w:val="18"/>
      <w:szCs w:val="18"/>
    </w:rPr>
  </w:style>
  <w:style w:type="paragraph" w:customStyle="1" w:styleId="Default">
    <w:name w:val="Default"/>
    <w:rsid w:val="00153ED2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93347E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52F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3F0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E3F0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列出段落 字符"/>
    <w:link w:val="a7"/>
    <w:uiPriority w:val="34"/>
    <w:qFormat/>
    <w:rsid w:val="00DE115B"/>
    <w:rPr>
      <w:rFonts w:ascii="Times New Roman" w:eastAsia="宋体" w:hAnsi="Times New Roman" w:cs="Times New Roman"/>
      <w:szCs w:val="24"/>
    </w:rPr>
  </w:style>
  <w:style w:type="character" w:customStyle="1" w:styleId="dt-editorword">
    <w:name w:val="dt-editor__word"/>
    <w:basedOn w:val="a0"/>
    <w:rsid w:val="00FD66D5"/>
  </w:style>
  <w:style w:type="character" w:styleId="ac">
    <w:name w:val="annotation reference"/>
    <w:basedOn w:val="a0"/>
    <w:uiPriority w:val="99"/>
    <w:semiHidden/>
    <w:unhideWhenUsed/>
    <w:rsid w:val="00446B2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46B2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46B27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B2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46B2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60572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837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041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873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F418-70CE-420A-BBCC-77D44F01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4</Pages>
  <Words>557</Words>
  <Characters>3178</Characters>
  <Application>Microsoft Office Word</Application>
  <DocSecurity>0</DocSecurity>
  <Lines>26</Lines>
  <Paragraphs>7</Paragraphs>
  <ScaleCrop>false</ScaleCrop>
  <Company>Deppon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曾静(Jane Zeng)</dc:creator>
  <cp:lastModifiedBy>王军鹏</cp:lastModifiedBy>
  <cp:revision>164</cp:revision>
  <cp:lastPrinted>2019-04-11T02:37:00Z</cp:lastPrinted>
  <dcterms:created xsi:type="dcterms:W3CDTF">2023-05-04T08:35:00Z</dcterms:created>
  <dcterms:modified xsi:type="dcterms:W3CDTF">2025-04-27T07:30:00Z</dcterms:modified>
</cp:coreProperties>
</file>