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6F6D8434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7D39C1">
        <w:rPr>
          <w:rFonts w:ascii="宋体" w:hAnsi="宋体" w:hint="eastAsia"/>
          <w:bCs/>
          <w:iCs/>
          <w:color w:val="000000"/>
          <w:sz w:val="24"/>
        </w:rPr>
        <w:t>4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312238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19CE663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2F68965E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7F3C848F" w:rsidR="006223DF" w:rsidRDefault="00421AB6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中信</w:t>
            </w:r>
            <w:r w:rsidR="00EB5C4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阳光资产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527E43EF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3F2C3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3F2C3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五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324EC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8A52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324EC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8A52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29D5F991" w:rsidR="006223DF" w:rsidRDefault="0012033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线上会议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6109B2C3" w14:textId="77777777" w:rsidR="002A2E2F" w:rsidRDefault="00A905D1" w:rsidP="000A46E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4C1BCAFD" w14:textId="77777777" w:rsidR="00235832" w:rsidRPr="00D92FA3" w:rsidRDefault="00235832" w:rsidP="00235832">
            <w:pPr>
              <w:rPr>
                <w:kern w:val="0"/>
                <w:sz w:val="24"/>
              </w:rPr>
            </w:pPr>
            <w:r w:rsidRPr="00D92FA3">
              <w:rPr>
                <w:rFonts w:hint="eastAsia"/>
                <w:kern w:val="0"/>
                <w:sz w:val="24"/>
              </w:rPr>
              <w:t>曹雨超先生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6147382E" w:rsidR="00235832" w:rsidRDefault="00235832" w:rsidP="00235832">
            <w:pPr>
              <w:rPr>
                <w:kern w:val="0"/>
                <w:sz w:val="24"/>
              </w:rPr>
            </w:pPr>
            <w:r w:rsidRPr="00D92FA3">
              <w:rPr>
                <w:rFonts w:hint="eastAsia"/>
                <w:kern w:val="0"/>
                <w:sz w:val="24"/>
              </w:rPr>
              <w:t>林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欣女士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4D998E7" w14:textId="6566D92D" w:rsidR="00D65E80" w:rsidRPr="005F5B7B" w:rsidRDefault="00000000" w:rsidP="005F5B7B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ACB77DD" w14:textId="3D556F4E" w:rsidR="00D65E80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EC0F77">
              <w:rPr>
                <w:rFonts w:hint="eastAsia"/>
                <w:b/>
                <w:bCs/>
                <w:kern w:val="0"/>
                <w:sz w:val="24"/>
              </w:rPr>
              <w:t>、商务会馆的开店规划？</w:t>
            </w:r>
          </w:p>
          <w:p w14:paraId="5AC217A0" w14:textId="43E8D5FC" w:rsidR="00D65E80" w:rsidRPr="001E63DE" w:rsidRDefault="00EC0F77" w:rsidP="002404C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kern w:val="0"/>
                <w:sz w:val="24"/>
              </w:rPr>
              <w:t>年度，公司</w:t>
            </w:r>
            <w:r w:rsidRPr="00EC0F77">
              <w:rPr>
                <w:rFonts w:hint="eastAsia"/>
                <w:kern w:val="0"/>
                <w:sz w:val="24"/>
              </w:rPr>
              <w:t>已</w:t>
            </w:r>
            <w:r>
              <w:rPr>
                <w:rFonts w:hint="eastAsia"/>
                <w:kern w:val="0"/>
                <w:sz w:val="24"/>
              </w:rPr>
              <w:t>开设</w:t>
            </w: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家商务会馆，</w:t>
            </w:r>
            <w:r w:rsidRPr="00EC0F77">
              <w:rPr>
                <w:rFonts w:hint="eastAsia"/>
                <w:kern w:val="0"/>
                <w:sz w:val="24"/>
              </w:rPr>
              <w:t>营业面积合计</w:t>
            </w:r>
            <w:r w:rsidRPr="00EC0F77">
              <w:rPr>
                <w:rFonts w:hint="eastAsia"/>
                <w:kern w:val="0"/>
                <w:sz w:val="24"/>
              </w:rPr>
              <w:t>2.98</w:t>
            </w:r>
            <w:r w:rsidRPr="00EC0F77">
              <w:rPr>
                <w:rFonts w:hint="eastAsia"/>
                <w:kern w:val="0"/>
                <w:sz w:val="24"/>
              </w:rPr>
              <w:t>万平方米</w:t>
            </w:r>
            <w:r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kern w:val="0"/>
                <w:sz w:val="24"/>
              </w:rPr>
              <w:t>年至今，</w:t>
            </w:r>
            <w:r w:rsidR="00BB0104">
              <w:rPr>
                <w:kern w:val="0"/>
                <w:sz w:val="24"/>
              </w:rPr>
              <w:t>杭州店、苏州店、贵阳店已相继开业</w:t>
            </w:r>
            <w:r w:rsidR="00235832">
              <w:rPr>
                <w:kern w:val="0"/>
                <w:sz w:val="24"/>
              </w:rPr>
              <w:t>，全年预计开设</w:t>
            </w:r>
            <w:r w:rsidR="00235832">
              <w:rPr>
                <w:rFonts w:hint="eastAsia"/>
                <w:kern w:val="0"/>
                <w:sz w:val="24"/>
              </w:rPr>
              <w:t>15</w:t>
            </w:r>
            <w:r w:rsidR="00235832">
              <w:rPr>
                <w:rFonts w:hint="eastAsia"/>
                <w:kern w:val="0"/>
                <w:sz w:val="24"/>
              </w:rPr>
              <w:t>家商务会馆。</w:t>
            </w:r>
          </w:p>
          <w:p w14:paraId="368379E9" w14:textId="3A7AC206" w:rsidR="00D65E80" w:rsidRPr="001E63DE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D65E80" w:rsidRPr="001E63D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6E4C36">
              <w:rPr>
                <w:rFonts w:hint="eastAsia"/>
                <w:b/>
                <w:bCs/>
                <w:kern w:val="0"/>
                <w:sz w:val="24"/>
              </w:rPr>
              <w:t>使用权资产增长的原因</w:t>
            </w:r>
            <w:r w:rsidR="00BE62A9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D234133" w14:textId="0E078683" w:rsidR="00C1135F" w:rsidRDefault="00AB3E20" w:rsidP="00FD455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</w:t>
            </w:r>
            <w:r w:rsidR="00B069B9">
              <w:rPr>
                <w:rFonts w:hint="eastAsia"/>
                <w:kern w:val="0"/>
                <w:sz w:val="24"/>
              </w:rPr>
              <w:t>由于租赁店铺的增加</w:t>
            </w:r>
            <w:r w:rsidR="001B34CD">
              <w:rPr>
                <w:rFonts w:hint="eastAsia"/>
                <w:kern w:val="0"/>
                <w:sz w:val="24"/>
              </w:rPr>
              <w:t>。</w:t>
            </w:r>
          </w:p>
          <w:p w14:paraId="53153E08" w14:textId="7EEE8957" w:rsidR="009C4CAC" w:rsidRPr="001E63DE" w:rsidRDefault="009C4CAC" w:rsidP="009C4CA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、服装板块经营性现金流情况？</w:t>
            </w:r>
          </w:p>
          <w:p w14:paraId="10FF7980" w14:textId="554504F5" w:rsidR="009C4CAC" w:rsidRPr="009C4CAC" w:rsidRDefault="009C4CAC" w:rsidP="003677A3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kern w:val="0"/>
                <w:sz w:val="24"/>
              </w:rPr>
              <w:t>年度，公司</w:t>
            </w:r>
            <w:r w:rsidR="00A44260">
              <w:rPr>
                <w:kern w:val="0"/>
                <w:sz w:val="24"/>
              </w:rPr>
              <w:t>时尚</w:t>
            </w:r>
            <w:r w:rsidR="00A44260">
              <w:rPr>
                <w:kern w:val="0"/>
                <w:sz w:val="24"/>
              </w:rPr>
              <w:t>板块经营性现金流净额约</w:t>
            </w:r>
            <w:r w:rsidR="00A44260">
              <w:rPr>
                <w:rFonts w:hint="eastAsia"/>
                <w:kern w:val="0"/>
                <w:sz w:val="24"/>
              </w:rPr>
              <w:t>9.9</w:t>
            </w:r>
            <w:r w:rsidR="00A44260">
              <w:rPr>
                <w:kern w:val="0"/>
                <w:sz w:val="24"/>
              </w:rPr>
              <w:t>亿元。</w:t>
            </w:r>
          </w:p>
          <w:p w14:paraId="4ABCA064" w14:textId="565D38F5" w:rsidR="00377E41" w:rsidRPr="001E63DE" w:rsidRDefault="003677A3" w:rsidP="00377E4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b/>
                <w:bCs/>
                <w:kern w:val="0"/>
                <w:sz w:val="24"/>
              </w:rPr>
              <w:t>、</w:t>
            </w:r>
            <w:r w:rsidRPr="003677A3">
              <w:rPr>
                <w:rFonts w:hint="eastAsia"/>
                <w:b/>
                <w:bCs/>
                <w:kern w:val="0"/>
                <w:sz w:val="24"/>
              </w:rPr>
              <w:t>“分配股利、利润或偿付利息支付的现金”大幅增长的原因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C48FA30" w14:textId="3B25F988" w:rsidR="005F5B7B" w:rsidRPr="001E63DE" w:rsidRDefault="00C3711B" w:rsidP="008C71BD">
            <w:pPr>
              <w:ind w:firstLineChars="200" w:firstLine="48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主要由于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kern w:val="0"/>
                <w:sz w:val="24"/>
              </w:rPr>
              <w:t>年度公司</w:t>
            </w:r>
            <w:r w:rsidRPr="00C3711B">
              <w:rPr>
                <w:rFonts w:hint="eastAsia"/>
                <w:kern w:val="0"/>
                <w:sz w:val="24"/>
              </w:rPr>
              <w:t>于</w:t>
            </w:r>
            <w:r w:rsidRPr="00C3711B"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kern w:val="0"/>
                <w:sz w:val="24"/>
              </w:rPr>
              <w:t>月实施了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次中期分红，导致此科目金额同比有所增长。</w:t>
            </w:r>
          </w:p>
          <w:p w14:paraId="07C62C59" w14:textId="77777777" w:rsidR="005F5B7B" w:rsidRDefault="005F5B7B" w:rsidP="00273AA1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</w:t>
            </w:r>
            <w:r w:rsidR="009670E1"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年度，</w:t>
            </w:r>
            <w:r w:rsidR="004854A5">
              <w:rPr>
                <w:rFonts w:hint="eastAsia"/>
                <w:kern w:val="0"/>
                <w:sz w:val="24"/>
              </w:rPr>
              <w:t>公司</w:t>
            </w:r>
            <w:r w:rsidR="009670E1">
              <w:rPr>
                <w:rFonts w:hint="eastAsia"/>
                <w:kern w:val="0"/>
                <w:sz w:val="24"/>
              </w:rPr>
              <w:t>将延续“按季分红”的模式</w:t>
            </w:r>
            <w:r w:rsidR="00502AEF">
              <w:rPr>
                <w:rFonts w:hint="eastAsia"/>
                <w:kern w:val="0"/>
                <w:sz w:val="24"/>
              </w:rPr>
              <w:t>，</w:t>
            </w:r>
            <w:r w:rsidR="007B5CEF">
              <w:rPr>
                <w:rFonts w:hint="eastAsia"/>
                <w:kern w:val="0"/>
                <w:sz w:val="24"/>
              </w:rPr>
              <w:t>拟结合当期</w:t>
            </w:r>
            <w:r w:rsidR="007B5CEF" w:rsidRPr="007B5CEF">
              <w:rPr>
                <w:rFonts w:hint="eastAsia"/>
                <w:kern w:val="0"/>
                <w:sz w:val="24"/>
              </w:rPr>
              <w:t>未分配利润与业绩，于</w:t>
            </w:r>
            <w:r w:rsidR="007B5CEF" w:rsidRPr="007B5CEF">
              <w:rPr>
                <w:rFonts w:hint="eastAsia"/>
                <w:kern w:val="0"/>
                <w:sz w:val="24"/>
              </w:rPr>
              <w:t>2025</w:t>
            </w:r>
            <w:r w:rsidR="007B5CEF" w:rsidRPr="007B5CEF">
              <w:rPr>
                <w:rFonts w:hint="eastAsia"/>
                <w:kern w:val="0"/>
                <w:sz w:val="24"/>
              </w:rPr>
              <w:t>年</w:t>
            </w:r>
            <w:r w:rsidR="007B5CEF" w:rsidRPr="007B5CEF">
              <w:rPr>
                <w:rFonts w:hint="eastAsia"/>
                <w:kern w:val="0"/>
                <w:sz w:val="24"/>
              </w:rPr>
              <w:t>9</w:t>
            </w:r>
            <w:r w:rsidR="007B5CEF" w:rsidRPr="007B5CEF">
              <w:rPr>
                <w:rFonts w:hint="eastAsia"/>
                <w:kern w:val="0"/>
                <w:sz w:val="24"/>
              </w:rPr>
              <w:t>月、</w:t>
            </w:r>
            <w:r w:rsidR="007B5CEF" w:rsidRPr="007B5CEF">
              <w:rPr>
                <w:rFonts w:hint="eastAsia"/>
                <w:kern w:val="0"/>
                <w:sz w:val="24"/>
              </w:rPr>
              <w:t>12</w:t>
            </w:r>
            <w:r w:rsidR="007B5CEF" w:rsidRPr="007B5CEF">
              <w:rPr>
                <w:rFonts w:hint="eastAsia"/>
                <w:kern w:val="0"/>
                <w:sz w:val="24"/>
              </w:rPr>
              <w:t>月及</w:t>
            </w:r>
            <w:r w:rsidR="007B5CEF" w:rsidRPr="007B5CEF">
              <w:rPr>
                <w:rFonts w:hint="eastAsia"/>
                <w:kern w:val="0"/>
                <w:sz w:val="24"/>
              </w:rPr>
              <w:t>2026</w:t>
            </w:r>
            <w:r w:rsidR="007B5CEF" w:rsidRPr="007B5CEF">
              <w:rPr>
                <w:rFonts w:hint="eastAsia"/>
                <w:kern w:val="0"/>
                <w:sz w:val="24"/>
              </w:rPr>
              <w:t>年</w:t>
            </w:r>
            <w:r w:rsidR="007B5CEF" w:rsidRPr="007B5CEF">
              <w:rPr>
                <w:rFonts w:hint="eastAsia"/>
                <w:kern w:val="0"/>
                <w:sz w:val="24"/>
              </w:rPr>
              <w:t>3</w:t>
            </w:r>
            <w:r w:rsidR="007B5CEF" w:rsidRPr="007B5CEF">
              <w:rPr>
                <w:rFonts w:hint="eastAsia"/>
                <w:kern w:val="0"/>
                <w:sz w:val="24"/>
              </w:rPr>
              <w:t>月实施三次中期分红</w:t>
            </w:r>
            <w:r w:rsidR="00273AA1">
              <w:rPr>
                <w:rFonts w:hint="eastAsia"/>
                <w:kern w:val="0"/>
                <w:sz w:val="24"/>
              </w:rPr>
              <w:t>，具体</w:t>
            </w:r>
            <w:r w:rsidR="00AC6F85">
              <w:rPr>
                <w:rFonts w:hint="eastAsia"/>
                <w:kern w:val="0"/>
                <w:sz w:val="24"/>
              </w:rPr>
              <w:t>实施情况</w:t>
            </w:r>
            <w:r w:rsidR="00273AA1">
              <w:rPr>
                <w:rFonts w:hint="eastAsia"/>
                <w:kern w:val="0"/>
                <w:sz w:val="24"/>
              </w:rPr>
              <w:t>请关注后续公告</w:t>
            </w:r>
            <w:r w:rsidR="007B5CEF">
              <w:rPr>
                <w:rFonts w:hint="eastAsia"/>
                <w:kern w:val="0"/>
                <w:sz w:val="24"/>
              </w:rPr>
              <w:t>。</w:t>
            </w:r>
          </w:p>
          <w:p w14:paraId="78785B33" w14:textId="29E135BC" w:rsidR="008C71BD" w:rsidRPr="001E63DE" w:rsidRDefault="003677A3" w:rsidP="008C71BD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3677A3">
              <w:rPr>
                <w:rFonts w:hint="eastAsia"/>
                <w:b/>
                <w:bCs/>
                <w:kern w:val="0"/>
                <w:sz w:val="24"/>
              </w:rPr>
              <w:t>大股东增持情况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3841A2CB" w14:textId="77777777" w:rsidR="00BC3E2C" w:rsidRDefault="008C71BD" w:rsidP="008C71BD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公司已于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18</w:t>
            </w:r>
            <w:r>
              <w:rPr>
                <w:kern w:val="0"/>
                <w:sz w:val="24"/>
              </w:rPr>
              <w:t>日披露《</w:t>
            </w:r>
            <w:r w:rsidRPr="008C71BD">
              <w:rPr>
                <w:rFonts w:hint="eastAsia"/>
                <w:kern w:val="0"/>
                <w:sz w:val="24"/>
              </w:rPr>
              <w:t>控股股东增持公司股份结果公告</w:t>
            </w:r>
            <w:r>
              <w:rPr>
                <w:kern w:val="0"/>
                <w:sz w:val="24"/>
              </w:rPr>
              <w:t>》，公司控股股东宁波雅戈尔控股有限公司</w:t>
            </w:r>
            <w:r w:rsidRPr="008C71BD">
              <w:rPr>
                <w:rFonts w:hint="eastAsia"/>
                <w:kern w:val="0"/>
                <w:sz w:val="24"/>
              </w:rPr>
              <w:t>及其一致行动人累计增持公司股份股</w:t>
            </w:r>
            <w:r>
              <w:rPr>
                <w:rFonts w:hint="eastAsia"/>
                <w:kern w:val="0"/>
                <w:sz w:val="24"/>
              </w:rPr>
              <w:t>9,246.88</w:t>
            </w:r>
            <w:r>
              <w:rPr>
                <w:kern w:val="0"/>
                <w:sz w:val="24"/>
              </w:rPr>
              <w:t>万股，</w:t>
            </w:r>
            <w:r w:rsidRPr="008C71BD">
              <w:rPr>
                <w:rFonts w:hint="eastAsia"/>
                <w:kern w:val="0"/>
                <w:sz w:val="24"/>
              </w:rPr>
              <w:t>占公司总股本的</w:t>
            </w:r>
            <w:r w:rsidRPr="008C71BD">
              <w:rPr>
                <w:rFonts w:hint="eastAsia"/>
                <w:kern w:val="0"/>
                <w:sz w:val="24"/>
              </w:rPr>
              <w:t>2.00%</w:t>
            </w:r>
            <w:r>
              <w:rPr>
                <w:rFonts w:hint="eastAsia"/>
                <w:kern w:val="0"/>
                <w:sz w:val="24"/>
              </w:rPr>
              <w:t>。本次增持计划</w:t>
            </w:r>
            <w:r w:rsidR="00393453">
              <w:rPr>
                <w:rFonts w:hint="eastAsia"/>
                <w:kern w:val="0"/>
                <w:sz w:val="24"/>
              </w:rPr>
              <w:t>完成后宁</w:t>
            </w:r>
            <w:r w:rsidR="00393453" w:rsidRPr="00393453">
              <w:rPr>
                <w:rFonts w:hint="eastAsia"/>
                <w:kern w:val="0"/>
                <w:sz w:val="24"/>
              </w:rPr>
              <w:t>波雅戈尔控股有限公司及其一致行动人持股占比</w:t>
            </w:r>
            <w:r w:rsidR="00AC6322">
              <w:rPr>
                <w:rFonts w:hint="eastAsia"/>
                <w:kern w:val="0"/>
                <w:sz w:val="24"/>
              </w:rPr>
              <w:t>为</w:t>
            </w:r>
            <w:r w:rsidR="00AC6322">
              <w:rPr>
                <w:rFonts w:hint="eastAsia"/>
                <w:kern w:val="0"/>
                <w:sz w:val="24"/>
              </w:rPr>
              <w:t>42.67%</w:t>
            </w:r>
            <w:r w:rsidR="00AC6322">
              <w:rPr>
                <w:kern w:val="0"/>
                <w:sz w:val="24"/>
              </w:rPr>
              <w:t>。</w:t>
            </w:r>
          </w:p>
          <w:p w14:paraId="57AC650D" w14:textId="55A30694" w:rsidR="00C75C8C" w:rsidRPr="001E63DE" w:rsidRDefault="00C75C8C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6</w:t>
            </w:r>
            <w:r>
              <w:rPr>
                <w:rFonts w:hint="eastAsia"/>
                <w:b/>
                <w:bCs/>
                <w:kern w:val="0"/>
                <w:sz w:val="24"/>
              </w:rPr>
              <w:t>、投资板块的规划？</w:t>
            </w:r>
          </w:p>
          <w:p w14:paraId="353D9372" w14:textId="77777777" w:rsidR="00C75C8C" w:rsidRDefault="00C75C8C" w:rsidP="00C75C8C">
            <w:pPr>
              <w:ind w:firstLineChars="200" w:firstLine="480"/>
              <w:rPr>
                <w:kern w:val="0"/>
                <w:sz w:val="24"/>
              </w:rPr>
            </w:pPr>
            <w:r w:rsidRPr="00C75C8C">
              <w:rPr>
                <w:rFonts w:hint="eastAsia"/>
                <w:kern w:val="0"/>
                <w:sz w:val="24"/>
              </w:rPr>
              <w:t>加快退出财务性投资项目，强化现金流量管理，持续优化投资结构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164E4A58" w14:textId="3AA59551" w:rsidR="009076BB" w:rsidRPr="001E63DE" w:rsidRDefault="009076BB" w:rsidP="009076B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7</w:t>
            </w:r>
            <w:r>
              <w:rPr>
                <w:rFonts w:hint="eastAsia"/>
                <w:b/>
                <w:bCs/>
                <w:kern w:val="0"/>
                <w:sz w:val="24"/>
              </w:rPr>
              <w:t>、有息负债水平？</w:t>
            </w:r>
          </w:p>
          <w:p w14:paraId="6FA5D75F" w14:textId="628B4383" w:rsidR="009076BB" w:rsidRPr="005F5B7B" w:rsidRDefault="009076BB" w:rsidP="009076BB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2024</w:t>
            </w:r>
            <w:r>
              <w:rPr>
                <w:kern w:val="0"/>
                <w:sz w:val="24"/>
              </w:rPr>
              <w:t>年末，公司有息负债率</w:t>
            </w:r>
            <w:r>
              <w:rPr>
                <w:rFonts w:hint="eastAsia"/>
                <w:kern w:val="0"/>
                <w:sz w:val="24"/>
              </w:rPr>
              <w:t>26.</w:t>
            </w:r>
            <w:r w:rsidR="001B34CD">
              <w:rPr>
                <w:rFonts w:hint="eastAsia"/>
                <w:kern w:val="0"/>
                <w:sz w:val="24"/>
              </w:rPr>
              <w:t>49%</w:t>
            </w:r>
            <w:r w:rsidR="001B34C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23A6134A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26509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C97D" w14:textId="77777777" w:rsidR="002F0A69" w:rsidRDefault="002F0A69" w:rsidP="00AF10EF">
      <w:r>
        <w:separator/>
      </w:r>
    </w:p>
  </w:endnote>
  <w:endnote w:type="continuationSeparator" w:id="0">
    <w:p w14:paraId="1288411E" w14:textId="77777777" w:rsidR="002F0A69" w:rsidRDefault="002F0A69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82E3" w14:textId="77777777" w:rsidR="002F0A69" w:rsidRDefault="002F0A69" w:rsidP="00AF10EF">
      <w:r>
        <w:separator/>
      </w:r>
    </w:p>
  </w:footnote>
  <w:footnote w:type="continuationSeparator" w:id="0">
    <w:p w14:paraId="1A390A40" w14:textId="77777777" w:rsidR="002F0A69" w:rsidRDefault="002F0A69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37C49"/>
    <w:rsid w:val="00041FA1"/>
    <w:rsid w:val="00042B60"/>
    <w:rsid w:val="00043447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97C36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2CB"/>
    <w:rsid w:val="000B27DF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5C38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330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64F3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34CD"/>
    <w:rsid w:val="001B4B14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D3F5D"/>
    <w:rsid w:val="001E0DD9"/>
    <w:rsid w:val="001E1EFA"/>
    <w:rsid w:val="001E1FD4"/>
    <w:rsid w:val="001E4A15"/>
    <w:rsid w:val="001E4C23"/>
    <w:rsid w:val="001E6120"/>
    <w:rsid w:val="001E63DE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1B96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CD4"/>
    <w:rsid w:val="00224D05"/>
    <w:rsid w:val="0022646D"/>
    <w:rsid w:val="0022658D"/>
    <w:rsid w:val="00227123"/>
    <w:rsid w:val="00227E77"/>
    <w:rsid w:val="0023040F"/>
    <w:rsid w:val="00230DAA"/>
    <w:rsid w:val="002319E1"/>
    <w:rsid w:val="00231CED"/>
    <w:rsid w:val="002324D9"/>
    <w:rsid w:val="00233547"/>
    <w:rsid w:val="002339B3"/>
    <w:rsid w:val="002350B7"/>
    <w:rsid w:val="00235832"/>
    <w:rsid w:val="00235F13"/>
    <w:rsid w:val="002375A4"/>
    <w:rsid w:val="00240437"/>
    <w:rsid w:val="0024044D"/>
    <w:rsid w:val="002404C5"/>
    <w:rsid w:val="00241084"/>
    <w:rsid w:val="00241425"/>
    <w:rsid w:val="00243A49"/>
    <w:rsid w:val="002443CC"/>
    <w:rsid w:val="00245F31"/>
    <w:rsid w:val="0024666D"/>
    <w:rsid w:val="002468E9"/>
    <w:rsid w:val="002477EC"/>
    <w:rsid w:val="002478D4"/>
    <w:rsid w:val="002506B0"/>
    <w:rsid w:val="00252D81"/>
    <w:rsid w:val="00252F0F"/>
    <w:rsid w:val="002538C6"/>
    <w:rsid w:val="00253FF4"/>
    <w:rsid w:val="002540FF"/>
    <w:rsid w:val="00254315"/>
    <w:rsid w:val="00255283"/>
    <w:rsid w:val="00255F73"/>
    <w:rsid w:val="00260B06"/>
    <w:rsid w:val="002615E8"/>
    <w:rsid w:val="00262E2B"/>
    <w:rsid w:val="00262E7D"/>
    <w:rsid w:val="00263432"/>
    <w:rsid w:val="00263ABC"/>
    <w:rsid w:val="00265095"/>
    <w:rsid w:val="00266C87"/>
    <w:rsid w:val="00272A96"/>
    <w:rsid w:val="0027313A"/>
    <w:rsid w:val="00273AA1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F0F"/>
    <w:rsid w:val="002C330C"/>
    <w:rsid w:val="002C5893"/>
    <w:rsid w:val="002C5AAC"/>
    <w:rsid w:val="002C5E31"/>
    <w:rsid w:val="002C6DFC"/>
    <w:rsid w:val="002D2146"/>
    <w:rsid w:val="002D3623"/>
    <w:rsid w:val="002D45B5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A69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0BE"/>
    <w:rsid w:val="00312238"/>
    <w:rsid w:val="00312D13"/>
    <w:rsid w:val="00315E5E"/>
    <w:rsid w:val="0032002D"/>
    <w:rsid w:val="00320C29"/>
    <w:rsid w:val="00321762"/>
    <w:rsid w:val="0032187A"/>
    <w:rsid w:val="00324776"/>
    <w:rsid w:val="00324EC3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F5A"/>
    <w:rsid w:val="003610D0"/>
    <w:rsid w:val="00365324"/>
    <w:rsid w:val="00365681"/>
    <w:rsid w:val="00365863"/>
    <w:rsid w:val="003658FF"/>
    <w:rsid w:val="003665A0"/>
    <w:rsid w:val="0036675D"/>
    <w:rsid w:val="003677A3"/>
    <w:rsid w:val="003678CC"/>
    <w:rsid w:val="003706A1"/>
    <w:rsid w:val="00370984"/>
    <w:rsid w:val="003727CF"/>
    <w:rsid w:val="0037485C"/>
    <w:rsid w:val="00375755"/>
    <w:rsid w:val="0037705F"/>
    <w:rsid w:val="00377E41"/>
    <w:rsid w:val="00382D12"/>
    <w:rsid w:val="0038360C"/>
    <w:rsid w:val="00385CF5"/>
    <w:rsid w:val="00386B96"/>
    <w:rsid w:val="0038794C"/>
    <w:rsid w:val="00390B0F"/>
    <w:rsid w:val="00392EA4"/>
    <w:rsid w:val="00393453"/>
    <w:rsid w:val="003940E2"/>
    <w:rsid w:val="003949F9"/>
    <w:rsid w:val="00394CCB"/>
    <w:rsid w:val="003969CE"/>
    <w:rsid w:val="0039789A"/>
    <w:rsid w:val="003A08A6"/>
    <w:rsid w:val="003A23A0"/>
    <w:rsid w:val="003A36AD"/>
    <w:rsid w:val="003A4255"/>
    <w:rsid w:val="003A63AE"/>
    <w:rsid w:val="003B2F5B"/>
    <w:rsid w:val="003B4421"/>
    <w:rsid w:val="003B49B0"/>
    <w:rsid w:val="003B5A47"/>
    <w:rsid w:val="003B6B28"/>
    <w:rsid w:val="003B7A04"/>
    <w:rsid w:val="003C0B17"/>
    <w:rsid w:val="003C0C8D"/>
    <w:rsid w:val="003C3A0E"/>
    <w:rsid w:val="003C3C01"/>
    <w:rsid w:val="003C51C6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E7C3C"/>
    <w:rsid w:val="003F0196"/>
    <w:rsid w:val="003F2C34"/>
    <w:rsid w:val="003F3D81"/>
    <w:rsid w:val="003F41EA"/>
    <w:rsid w:val="003F589D"/>
    <w:rsid w:val="003F5F95"/>
    <w:rsid w:val="003F6BF3"/>
    <w:rsid w:val="003F6F1C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AB6"/>
    <w:rsid w:val="00421C6A"/>
    <w:rsid w:val="00423D85"/>
    <w:rsid w:val="004246C2"/>
    <w:rsid w:val="00424B8C"/>
    <w:rsid w:val="00424DF4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7E69"/>
    <w:rsid w:val="00437E97"/>
    <w:rsid w:val="004401C3"/>
    <w:rsid w:val="00440993"/>
    <w:rsid w:val="004411B3"/>
    <w:rsid w:val="00442496"/>
    <w:rsid w:val="004435A1"/>
    <w:rsid w:val="004438D8"/>
    <w:rsid w:val="00443E3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58"/>
    <w:rsid w:val="004754BE"/>
    <w:rsid w:val="00477010"/>
    <w:rsid w:val="0047736A"/>
    <w:rsid w:val="0047788F"/>
    <w:rsid w:val="004819F5"/>
    <w:rsid w:val="00483165"/>
    <w:rsid w:val="004834E7"/>
    <w:rsid w:val="00484450"/>
    <w:rsid w:val="004854A5"/>
    <w:rsid w:val="004863EC"/>
    <w:rsid w:val="00486B66"/>
    <w:rsid w:val="004873FC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99"/>
    <w:rsid w:val="004C2796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1843"/>
    <w:rsid w:val="00502AEF"/>
    <w:rsid w:val="00503C88"/>
    <w:rsid w:val="00504CB3"/>
    <w:rsid w:val="005056FD"/>
    <w:rsid w:val="00507064"/>
    <w:rsid w:val="005074E2"/>
    <w:rsid w:val="00507D87"/>
    <w:rsid w:val="00507E0C"/>
    <w:rsid w:val="00510055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577"/>
    <w:rsid w:val="00550DD8"/>
    <w:rsid w:val="00551E38"/>
    <w:rsid w:val="00551EE0"/>
    <w:rsid w:val="00552454"/>
    <w:rsid w:val="00553046"/>
    <w:rsid w:val="00556CFC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E77"/>
    <w:rsid w:val="00573F74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5253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DC7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1E74"/>
    <w:rsid w:val="005F23E0"/>
    <w:rsid w:val="005F3106"/>
    <w:rsid w:val="005F316D"/>
    <w:rsid w:val="005F4563"/>
    <w:rsid w:val="005F5595"/>
    <w:rsid w:val="005F5B7B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05"/>
    <w:rsid w:val="00606258"/>
    <w:rsid w:val="00606545"/>
    <w:rsid w:val="00610EEF"/>
    <w:rsid w:val="00611287"/>
    <w:rsid w:val="00612824"/>
    <w:rsid w:val="00612F95"/>
    <w:rsid w:val="00613EBF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4749"/>
    <w:rsid w:val="00635F67"/>
    <w:rsid w:val="00637CF2"/>
    <w:rsid w:val="00644D91"/>
    <w:rsid w:val="00646446"/>
    <w:rsid w:val="0064650B"/>
    <w:rsid w:val="00646D81"/>
    <w:rsid w:val="00646E75"/>
    <w:rsid w:val="0065089F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1CEA"/>
    <w:rsid w:val="00672A17"/>
    <w:rsid w:val="0067357D"/>
    <w:rsid w:val="006737FA"/>
    <w:rsid w:val="0067599D"/>
    <w:rsid w:val="0068077D"/>
    <w:rsid w:val="00681279"/>
    <w:rsid w:val="00682D1B"/>
    <w:rsid w:val="0068391C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1B6F"/>
    <w:rsid w:val="006C273E"/>
    <w:rsid w:val="006C2EFD"/>
    <w:rsid w:val="006C62EE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C36"/>
    <w:rsid w:val="006E4F63"/>
    <w:rsid w:val="006E6BFD"/>
    <w:rsid w:val="006E74D9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6C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A7C"/>
    <w:rsid w:val="00785F8D"/>
    <w:rsid w:val="0078707D"/>
    <w:rsid w:val="0078732D"/>
    <w:rsid w:val="00787FD3"/>
    <w:rsid w:val="00790587"/>
    <w:rsid w:val="007930FF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B000F"/>
    <w:rsid w:val="007B0E46"/>
    <w:rsid w:val="007B3299"/>
    <w:rsid w:val="007B4102"/>
    <w:rsid w:val="007B4550"/>
    <w:rsid w:val="007B53E0"/>
    <w:rsid w:val="007B5A09"/>
    <w:rsid w:val="007B5CEF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5A6D"/>
    <w:rsid w:val="007F7980"/>
    <w:rsid w:val="0080050B"/>
    <w:rsid w:val="00800DA1"/>
    <w:rsid w:val="00801015"/>
    <w:rsid w:val="00802302"/>
    <w:rsid w:val="00802FD6"/>
    <w:rsid w:val="00803A20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4816"/>
    <w:rsid w:val="008258A9"/>
    <w:rsid w:val="00825D5E"/>
    <w:rsid w:val="00826832"/>
    <w:rsid w:val="00831C79"/>
    <w:rsid w:val="00835D3D"/>
    <w:rsid w:val="00836F47"/>
    <w:rsid w:val="008372D5"/>
    <w:rsid w:val="008412A7"/>
    <w:rsid w:val="0084131A"/>
    <w:rsid w:val="0084172F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661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80751"/>
    <w:rsid w:val="00883FDE"/>
    <w:rsid w:val="008855D6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52B0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8A8"/>
    <w:rsid w:val="008B7D83"/>
    <w:rsid w:val="008C0464"/>
    <w:rsid w:val="008C0948"/>
    <w:rsid w:val="008C1AB4"/>
    <w:rsid w:val="008C2811"/>
    <w:rsid w:val="008C488E"/>
    <w:rsid w:val="008C53BB"/>
    <w:rsid w:val="008C57A1"/>
    <w:rsid w:val="008C5C09"/>
    <w:rsid w:val="008C6138"/>
    <w:rsid w:val="008C64F1"/>
    <w:rsid w:val="008C6D9D"/>
    <w:rsid w:val="008C71BD"/>
    <w:rsid w:val="008C73A3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189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48E9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6BB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2D34"/>
    <w:rsid w:val="00934372"/>
    <w:rsid w:val="00934951"/>
    <w:rsid w:val="00934F0E"/>
    <w:rsid w:val="00934F67"/>
    <w:rsid w:val="009352AC"/>
    <w:rsid w:val="009362E0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0E1"/>
    <w:rsid w:val="009679BB"/>
    <w:rsid w:val="00967C1F"/>
    <w:rsid w:val="00967E1D"/>
    <w:rsid w:val="00970071"/>
    <w:rsid w:val="00970672"/>
    <w:rsid w:val="00970C3E"/>
    <w:rsid w:val="00971C75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2F8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4D97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424"/>
    <w:rsid w:val="009C4394"/>
    <w:rsid w:val="009C48AE"/>
    <w:rsid w:val="009C4CAC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4260"/>
    <w:rsid w:val="00A453E9"/>
    <w:rsid w:val="00A4546C"/>
    <w:rsid w:val="00A46E18"/>
    <w:rsid w:val="00A4757E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309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04B9"/>
    <w:rsid w:val="00AB18F5"/>
    <w:rsid w:val="00AB1B89"/>
    <w:rsid w:val="00AB1E51"/>
    <w:rsid w:val="00AB2C2C"/>
    <w:rsid w:val="00AB3190"/>
    <w:rsid w:val="00AB3E2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322"/>
    <w:rsid w:val="00AC6E50"/>
    <w:rsid w:val="00AC6F85"/>
    <w:rsid w:val="00AC7204"/>
    <w:rsid w:val="00AD0ADC"/>
    <w:rsid w:val="00AD17B6"/>
    <w:rsid w:val="00AD193C"/>
    <w:rsid w:val="00AD22D0"/>
    <w:rsid w:val="00AD3D29"/>
    <w:rsid w:val="00AD3D78"/>
    <w:rsid w:val="00AD465E"/>
    <w:rsid w:val="00AD51F8"/>
    <w:rsid w:val="00AD52B7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57EC"/>
    <w:rsid w:val="00B06029"/>
    <w:rsid w:val="00B069B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26B"/>
    <w:rsid w:val="00B44957"/>
    <w:rsid w:val="00B45169"/>
    <w:rsid w:val="00B45FBD"/>
    <w:rsid w:val="00B471FC"/>
    <w:rsid w:val="00B501C9"/>
    <w:rsid w:val="00B50A1F"/>
    <w:rsid w:val="00B51C87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67EFE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7C46"/>
    <w:rsid w:val="00B90FC1"/>
    <w:rsid w:val="00B91CAC"/>
    <w:rsid w:val="00B91EDC"/>
    <w:rsid w:val="00B9201C"/>
    <w:rsid w:val="00B93B83"/>
    <w:rsid w:val="00B94E4D"/>
    <w:rsid w:val="00B9567D"/>
    <w:rsid w:val="00B96DB4"/>
    <w:rsid w:val="00B96E19"/>
    <w:rsid w:val="00BA1890"/>
    <w:rsid w:val="00BA43BF"/>
    <w:rsid w:val="00BA4937"/>
    <w:rsid w:val="00BA7010"/>
    <w:rsid w:val="00BA7A47"/>
    <w:rsid w:val="00BB0104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C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C79C6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62A9"/>
    <w:rsid w:val="00BE7C44"/>
    <w:rsid w:val="00BE7F84"/>
    <w:rsid w:val="00BF1076"/>
    <w:rsid w:val="00BF10EA"/>
    <w:rsid w:val="00BF28A8"/>
    <w:rsid w:val="00BF2DD1"/>
    <w:rsid w:val="00BF6116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6FA9"/>
    <w:rsid w:val="00C2746C"/>
    <w:rsid w:val="00C27B17"/>
    <w:rsid w:val="00C30ED9"/>
    <w:rsid w:val="00C32811"/>
    <w:rsid w:val="00C352C4"/>
    <w:rsid w:val="00C3568B"/>
    <w:rsid w:val="00C36C28"/>
    <w:rsid w:val="00C3711B"/>
    <w:rsid w:val="00C3729F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E46"/>
    <w:rsid w:val="00C73227"/>
    <w:rsid w:val="00C73E28"/>
    <w:rsid w:val="00C74B09"/>
    <w:rsid w:val="00C75C8C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5D46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43AB"/>
    <w:rsid w:val="00D05ED8"/>
    <w:rsid w:val="00D066AB"/>
    <w:rsid w:val="00D072C0"/>
    <w:rsid w:val="00D0782F"/>
    <w:rsid w:val="00D10398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1FD7"/>
    <w:rsid w:val="00D331F9"/>
    <w:rsid w:val="00D34409"/>
    <w:rsid w:val="00D35069"/>
    <w:rsid w:val="00D358F9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4DB6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5C64"/>
    <w:rsid w:val="00D8686E"/>
    <w:rsid w:val="00D873D3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12DB"/>
    <w:rsid w:val="00DA515C"/>
    <w:rsid w:val="00DA52DA"/>
    <w:rsid w:val="00DA5B8A"/>
    <w:rsid w:val="00DB06D2"/>
    <w:rsid w:val="00DB1437"/>
    <w:rsid w:val="00DB26C0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84F"/>
    <w:rsid w:val="00DF4E49"/>
    <w:rsid w:val="00DF5772"/>
    <w:rsid w:val="00DF7758"/>
    <w:rsid w:val="00DF79CD"/>
    <w:rsid w:val="00DF7E1B"/>
    <w:rsid w:val="00E008A4"/>
    <w:rsid w:val="00E01D07"/>
    <w:rsid w:val="00E02A1A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44D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5AA8"/>
    <w:rsid w:val="00E865DE"/>
    <w:rsid w:val="00E86A60"/>
    <w:rsid w:val="00E87191"/>
    <w:rsid w:val="00E91AE3"/>
    <w:rsid w:val="00E9268D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2082"/>
    <w:rsid w:val="00EA6315"/>
    <w:rsid w:val="00EB056F"/>
    <w:rsid w:val="00EB12D4"/>
    <w:rsid w:val="00EB1C5C"/>
    <w:rsid w:val="00EB210D"/>
    <w:rsid w:val="00EB225B"/>
    <w:rsid w:val="00EB4C49"/>
    <w:rsid w:val="00EB5867"/>
    <w:rsid w:val="00EB5C4F"/>
    <w:rsid w:val="00EB6728"/>
    <w:rsid w:val="00EC0F51"/>
    <w:rsid w:val="00EC0F77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E4E12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90F"/>
    <w:rsid w:val="00F20FC4"/>
    <w:rsid w:val="00F224C5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B96"/>
    <w:rsid w:val="00F37CB7"/>
    <w:rsid w:val="00F40897"/>
    <w:rsid w:val="00F415C1"/>
    <w:rsid w:val="00F41DBD"/>
    <w:rsid w:val="00F4354B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3783"/>
    <w:rsid w:val="00F756F0"/>
    <w:rsid w:val="00F75AD3"/>
    <w:rsid w:val="00F76CAE"/>
    <w:rsid w:val="00F81022"/>
    <w:rsid w:val="00F82351"/>
    <w:rsid w:val="00F9067F"/>
    <w:rsid w:val="00F9188A"/>
    <w:rsid w:val="00F92DD6"/>
    <w:rsid w:val="00F92FFC"/>
    <w:rsid w:val="00F93D45"/>
    <w:rsid w:val="00F94051"/>
    <w:rsid w:val="00F947E2"/>
    <w:rsid w:val="00F94ACF"/>
    <w:rsid w:val="00F95DE7"/>
    <w:rsid w:val="00F96866"/>
    <w:rsid w:val="00FA1137"/>
    <w:rsid w:val="00FA2914"/>
    <w:rsid w:val="00FA46B6"/>
    <w:rsid w:val="00FA55B8"/>
    <w:rsid w:val="00FA5FEA"/>
    <w:rsid w:val="00FA7795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30ED"/>
    <w:rsid w:val="00FD42D4"/>
    <w:rsid w:val="00FD4555"/>
    <w:rsid w:val="00FD4F06"/>
    <w:rsid w:val="00FD6CA4"/>
    <w:rsid w:val="00FD6CA5"/>
    <w:rsid w:val="00FE22C2"/>
    <w:rsid w:val="00FE23CF"/>
    <w:rsid w:val="00FE2FE0"/>
    <w:rsid w:val="00FE350E"/>
    <w:rsid w:val="00FE48A2"/>
    <w:rsid w:val="00FE7AEA"/>
    <w:rsid w:val="00FE7DE3"/>
    <w:rsid w:val="00FF1064"/>
    <w:rsid w:val="00FF320F"/>
    <w:rsid w:val="00FF4536"/>
    <w:rsid w:val="00FF4BEE"/>
    <w:rsid w:val="00FF4C9F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5253</TotalTime>
  <Pages>2</Pages>
  <Words>365</Words>
  <Characters>668</Characters>
  <Application>Microsoft Office Word</Application>
  <DocSecurity>0</DocSecurity>
  <Lines>83</Lines>
  <Paragraphs>79</Paragraphs>
  <ScaleCrop>false</ScaleCrop>
  <Company>acer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Yuchaoo Cao</cp:lastModifiedBy>
  <cp:revision>268</cp:revision>
  <cp:lastPrinted>2025-02-21T08:46:00Z</cp:lastPrinted>
  <dcterms:created xsi:type="dcterms:W3CDTF">2025-02-08T04:09:00Z</dcterms:created>
  <dcterms:modified xsi:type="dcterms:W3CDTF">2025-04-28T08:30:00Z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