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E6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证券代码</w:t>
      </w:r>
      <w:r>
        <w:rPr>
          <w:rFonts w:hint="default" w:ascii="Times New Roman" w:hAnsi="Times New Roman" w:cs="Times New Roman"/>
          <w:sz w:val="24"/>
          <w:szCs w:val="24"/>
        </w:rPr>
        <w:t>：605099                                           证券简称：共创草坪</w:t>
      </w:r>
    </w:p>
    <w:p w14:paraId="04FB1DA2">
      <w:pPr>
        <w:rPr>
          <w:rFonts w:hint="default" w:ascii="Times New Roman" w:hAnsi="Times New Roman" w:cs="Times New Roman"/>
          <w:sz w:val="24"/>
          <w:szCs w:val="24"/>
        </w:rPr>
      </w:pPr>
    </w:p>
    <w:p w14:paraId="30AC8C2C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江苏共创人造草坪股份有限公司</w:t>
      </w:r>
    </w:p>
    <w:p w14:paraId="668A2FED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投资者关系活动记录表</w:t>
      </w:r>
    </w:p>
    <w:p w14:paraId="5E5D7CEC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2025年4月2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84"/>
        <w:gridCol w:w="4916"/>
        <w:gridCol w:w="1467"/>
      </w:tblGrid>
      <w:tr w14:paraId="0825B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23" w:type="pct"/>
            <w:vAlign w:val="center"/>
          </w:tcPr>
          <w:p w14:paraId="438E642B">
            <w:pPr>
              <w:ind w:right="2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投资者关系</w:t>
            </w:r>
          </w:p>
          <w:p w14:paraId="48A597D1">
            <w:pPr>
              <w:ind w:right="2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活动类别</w:t>
            </w:r>
          </w:p>
        </w:tc>
        <w:tc>
          <w:tcPr>
            <w:tcW w:w="3976" w:type="pct"/>
            <w:gridSpan w:val="3"/>
            <w:vAlign w:val="center"/>
          </w:tcPr>
          <w:p w14:paraId="13BE10BC">
            <w:pPr>
              <w:ind w:right="2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□特定对象调研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□分析师会议</w:t>
            </w:r>
          </w:p>
          <w:p w14:paraId="7D94ADAC">
            <w:pPr>
              <w:ind w:right="2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□媒体采访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hint="default" w:ascii="Times New Roman" w:hAnsi="Times New Roman" w:eastAsia="MS Gothic" w:cs="Times New Roman"/>
                <w:sz w:val="24"/>
                <w:szCs w:val="24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业绩说明会</w:t>
            </w:r>
          </w:p>
          <w:p w14:paraId="4BD79439">
            <w:pPr>
              <w:ind w:right="2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□新闻发布会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□路演活动</w:t>
            </w:r>
          </w:p>
          <w:p w14:paraId="285E288C">
            <w:pPr>
              <w:ind w:right="2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□现场参观</w:t>
            </w:r>
          </w:p>
          <w:p w14:paraId="3F465488">
            <w:pPr>
              <w:ind w:right="2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电话会议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14:paraId="6A327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3" w:type="pct"/>
            <w:vAlign w:val="center"/>
          </w:tcPr>
          <w:p w14:paraId="2B15665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22" w:type="pct"/>
            <w:vAlign w:val="center"/>
          </w:tcPr>
          <w:p w14:paraId="6F03BCF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2583" w:type="pct"/>
            <w:vAlign w:val="center"/>
          </w:tcPr>
          <w:p w14:paraId="7D764E9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参与单位或人员名称</w:t>
            </w:r>
          </w:p>
        </w:tc>
        <w:tc>
          <w:tcPr>
            <w:tcW w:w="770" w:type="pct"/>
            <w:vAlign w:val="center"/>
          </w:tcPr>
          <w:p w14:paraId="3EB2BE1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本公司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参与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人员</w:t>
            </w:r>
          </w:p>
        </w:tc>
      </w:tr>
      <w:tr w14:paraId="726B3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3" w:type="pct"/>
            <w:vAlign w:val="center"/>
          </w:tcPr>
          <w:p w14:paraId="2CB4182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2025年4月2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日</w:t>
            </w:r>
          </w:p>
        </w:tc>
        <w:tc>
          <w:tcPr>
            <w:tcW w:w="622" w:type="pct"/>
            <w:vAlign w:val="center"/>
          </w:tcPr>
          <w:p w14:paraId="140E4B5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电话会议</w:t>
            </w:r>
          </w:p>
        </w:tc>
        <w:tc>
          <w:tcPr>
            <w:tcW w:w="2583" w:type="pct"/>
            <w:vAlign w:val="center"/>
          </w:tcPr>
          <w:p w14:paraId="036CCF34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中信证券、信达证券、申万宏源、煜德投资、浙商资管、同泰基金、肇万资产、奇盛投资、苏州高新投、广东天创、闻天投资、景顺长城基金、金鹰基金、中信保诚基金、建信基金、太平养老、兴全基金、申万菱信基金、海富通基金、尚诚资产、大家资产、长江证券、明曜投资、上海磐厚、国寿安保基金、域秀资产、上汽颀臻、中信建投基金、兴业证券、东北证券、广发证券、于翼资产、浙商证券、天风证券、国联证券、东方财富证券、中金公司、中信建投、华福证券、禾永投资投研、中银基金、富尊投资、华夏久盈、递归资产、华泰保兴、富安达基金、华泰柏瑞、海辰投资、鑫元基金、安信基金、中加基金、东方基金、农银汇理（以上排名不分先后）</w:t>
            </w:r>
          </w:p>
        </w:tc>
        <w:tc>
          <w:tcPr>
            <w:tcW w:w="770" w:type="pct"/>
            <w:vAlign w:val="center"/>
          </w:tcPr>
          <w:p w14:paraId="0055B0C5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董事、副总裁、财务总监兼董事会秘书姜世毅、证券事务代表董京</w:t>
            </w:r>
          </w:p>
        </w:tc>
      </w:tr>
      <w:tr w14:paraId="7DE5C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pct"/>
            <w:vAlign w:val="center"/>
          </w:tcPr>
          <w:p w14:paraId="15FDE6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投资者关系活动主要内容</w:t>
            </w:r>
          </w:p>
        </w:tc>
        <w:tc>
          <w:tcPr>
            <w:tcW w:w="3976" w:type="pct"/>
            <w:gridSpan w:val="3"/>
            <w:vAlign w:val="center"/>
          </w:tcPr>
          <w:p w14:paraId="4882AF46">
            <w:pPr>
              <w:spacing w:line="360" w:lineRule="auto"/>
              <w:ind w:right="240" w:firstLine="422" w:firstLineChars="2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回顾公司2024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年及2025年第一季度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的经营情况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88AFA87">
            <w:pPr>
              <w:spacing w:line="360" w:lineRule="auto"/>
              <w:ind w:right="240" w:firstLine="420" w:firstLineChars="2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，面对全球市场增长不及预期，红海航运危机、国际贸易政策扰动、局部市场竞争加剧等外部挑战加剧，公司重点加强市场拓展和降本增效工作，启动人力资源机制变革和优化，推进全球产能布局，营业收入、净利润等主要财务指标增速取得上市以来的最好成绩。</w:t>
            </w:r>
          </w:p>
          <w:p w14:paraId="66B9EEAC">
            <w:pPr>
              <w:spacing w:line="360" w:lineRule="auto"/>
              <w:ind w:right="240" w:firstLine="420" w:firstLineChars="2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2024年，公司实现营业收入295,183.71万元，同比增长1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9.92%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；实现归母净利润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,12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万元，同比增长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18.56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%；累计销售人造草坪产品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万平方米，同比增长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25.48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%；全年毛利率为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30.01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%，净利润1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7.32%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。完成了公司年初预定的业绩目标。</w:t>
            </w:r>
          </w:p>
          <w:p w14:paraId="06063054">
            <w:pPr>
              <w:spacing w:line="360" w:lineRule="auto"/>
              <w:ind w:right="240" w:firstLine="420" w:firstLineChars="2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2025年第一季度，公司实现营业收入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79,312.31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万元，同比增长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15.27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%；实现归母净利润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15,599.42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万元，同比增长2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8.73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%；公司毛利率为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32.55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%，同比增长2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.47个百分点，主要是由于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结构改善、人民币汇率贬值、生产运营持续降本、原材料价格也有所下降。</w:t>
            </w:r>
          </w:p>
          <w:p w14:paraId="3678B2F3">
            <w:pPr>
              <w:spacing w:line="360" w:lineRule="auto"/>
              <w:ind w:right="240" w:firstLine="420" w:firstLineChars="200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2025年，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公司经营管理层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将继续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积极应对市场和贸易政策的变化，努力开拓新市场、新客户、新渠道，加快全球化布局，努力实现人造草坪销量和业绩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全年增长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目标。</w:t>
            </w:r>
          </w:p>
          <w:p w14:paraId="17825BD5">
            <w:pPr>
              <w:spacing w:line="360" w:lineRule="auto"/>
              <w:ind w:right="240" w:firstLine="420" w:firstLineChars="200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5E31A">
            <w:pPr>
              <w:spacing w:line="360" w:lineRule="auto"/>
              <w:ind w:right="240" w:firstLine="422" w:firstLineChars="200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回答投资者和研究员提出的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关于公司在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年及2025年第一季度经营情况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的相关问题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8963994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1、公司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025年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业绩展望是怎样的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7E23E032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公司2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025年销售收入增长目标是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5%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计海外市场如美洲区、欧洲区、亚太等主要区域销量仍将保持增长趋势；国内市场方面，随着国家振兴足球经济的各项措施的逐步落地，预计2025年国内运动草市场会有不错的表现；除此之外，仿真植物、外卖草丝等业务也将实现快速增长。</w:t>
            </w:r>
          </w:p>
          <w:p w14:paraId="2C413753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美国加征关税的影响以及公司相关应对措施？目前和美国大客户谈的情况如何？是否考虑其它生产基地建设？</w:t>
            </w:r>
          </w:p>
          <w:p w14:paraId="5CF43D92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美国加征的对等关税超出预期，现阶段对公司影响的主要是越南生产基地，目前美国暂缓越南90天加征关税，并将税率降至10%，公司通过与美国经销商积极沟通与洽谈，加征10%关税最终基本由终端消费者实际承担，对公司生产经营暂未造成重大影响。由于美国加征关税具有不确定性，公司将密切关注国际贸易政策变化，积极做好各项应对措施，其中墨西哥生产基地土地已经购买，并已提前完成厂房及设备规划，具备动工前的招标条件，未来将根据外部政策变化相应调整全球产能布局。</w:t>
            </w:r>
          </w:p>
          <w:p w14:paraId="489FD750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现在感受到的行业竞争情况如何？在主要地区的市占率有何变化？</w:t>
            </w:r>
          </w:p>
          <w:p w14:paraId="3713F2E0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 年至今，人造草坪行业的竞争格局维持稳定，未出现重大变动。由于美国加征关税导致全球贸易政策出现较大波动，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对于未布局海外生产基地的国内人造草坪厂商而言，美国市场份额正面临流失风险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就公司而言，主要面临的竞争仍来自国内的草坪企业。全球部分市场仍将有较为激烈的竞争态势，但相对于以往年度竞争导致产品价格下降幅度已经有所收窄，一季度价格甚至同比出现一定幅度的上涨。此外，公司聚焦重点区域的精细化运营， 深度洞察主要市场变化并合理调配资源， 制定了具有针对性的市场策略， 持续加大新客户开发力度， 2024年主要市场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有2-3个百分点的份额提升。</w:t>
            </w:r>
          </w:p>
          <w:p w14:paraId="29EC7928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公司比美国本土产能的成本优势有多大？美国本土替代中国产能难度如何？</w:t>
            </w:r>
          </w:p>
          <w:p w14:paraId="6FF0CF77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答：公司越南生产基地相对于美国本土厂商，在人工成本、原材料价格等方面具有十分明显的成本优势。经初步测算，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即便面临美国对越南加征 46% 关税的压力，公司产品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到客户仓库的价格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仍较美国本土制造的同类产品低 30%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基于越南生产基地显著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的成本优势，极大地提高了美国本土厂家将生产回流美国的难度。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我们判断美国加征关税后，休闲草产品在美国市场的供应格局不会发生根本性改变，仍将以中国厂家供应为主，我们通过与美国经销商的深度沟通也证实了这一观点。</w:t>
            </w:r>
          </w:p>
          <w:p w14:paraId="13595AE9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公司未来在分红政策上有什么规划？</w:t>
            </w:r>
          </w:p>
          <w:p w14:paraId="660166D2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答：公司自上市以来一直保持5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0%的分红比例，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累计分红4次，累计分红金额为8.32亿元；2024年度预计将分配现金红利2.57亿元。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除非有重大资本开支计划，股利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分配政策将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维持5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的固定分配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比例不变。</w:t>
            </w:r>
          </w:p>
          <w:p w14:paraId="5ED27FBF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今年毛利率情况如何判断？公司目前在生产上是否有降本增效的措施？</w:t>
            </w:r>
          </w:p>
          <w:p w14:paraId="4C7BAD16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答：公司销售毛利率主要受原材料价格、汇率、竞争等因素影响，预计2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025年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季度主要原材料价格有一定幅度的下降，人民币汇率也基本保持较高的水平，如果上述因素不出现巨幅变化，预计全年销售毛利率仍将维持30%以上。成本领先是我们保持行业第一的必要条件，降本增效不仅是生产部门的事情，2025年公司管理层提出了全面降本的目标，研发、采购、营销等系统也相应制订了降本措施与目标，预计这些措施落实到位后，将进一步确保全年净利润目标的顺利实现。</w:t>
            </w:r>
          </w:p>
          <w:p w14:paraId="3FABF1A5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025年一季度产品价格增长的原因是什么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？全年来看产品价格有何展望？</w:t>
            </w:r>
          </w:p>
          <w:p w14:paraId="426219D0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答：2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025年一季度产品均价上涨的原因，一是汇率因素，今年一季度的人民币汇率好于去年同期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；二是因为区域结构的变化，今年一季度欧美地区销量占比较高，而中东、非洲等均价较低的地区销量增速不高。综合考虑品种结构和区域结构变化以及竞争影响，预计全年的产品均价将持平或略有下降。</w:t>
            </w:r>
          </w:p>
          <w:p w14:paraId="4885165B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近期的订单的增长情况如何？ 美国的订单情况如何？</w:t>
            </w:r>
          </w:p>
          <w:p w14:paraId="34B77A13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答：公司目前订单和出货仍然保持增长势头。受客户下单节奏以及加征关税扰动影响，4月份美国订单保持个位数以上的增长。</w:t>
            </w:r>
          </w:p>
          <w:p w14:paraId="02C9266E">
            <w:pPr>
              <w:pStyle w:val="6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中国和越南工厂目前的产能利用率情况？现在的净利率情况有何差异？</w:t>
            </w:r>
          </w:p>
          <w:p w14:paraId="79D3E8E7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答：越南工厂产能处于满产状态，公司越南三期项目正在设备安装调试，投产后将满足新增的市场需求，国内工厂目前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能利用率约为70%左右。受盈利高的订单相对高于国内工厂的结构影响，越南公司的净利润率明显高于国内工厂。</w:t>
            </w:r>
          </w:p>
          <w:p w14:paraId="5ED03D1A">
            <w:pPr>
              <w:rPr>
                <w:rFonts w:hint="default"/>
              </w:rPr>
            </w:pPr>
            <w:bookmarkStart w:id="0" w:name="_GoBack"/>
            <w:bookmarkEnd w:id="0"/>
          </w:p>
          <w:p w14:paraId="406D59DB">
            <w:pPr>
              <w:pStyle w:val="6"/>
              <w:spacing w:before="0" w:after="0" w:line="360" w:lineRule="auto"/>
              <w:ind w:firstLine="422" w:firstLineChars="2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草坪系统、仿真植物及草丝业务的发展情况如何？如何展望未来的发展？</w:t>
            </w:r>
          </w:p>
          <w:p w14:paraId="687F7CDB">
            <w:pPr>
              <w:pStyle w:val="6"/>
              <w:spacing w:before="0" w:after="0"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答：2024年度公司草坪系统、仿真植物及草丝业务收入同比均有较大幅度的增长。这些业务领域也是公司着力拓展的增长点，预计未来3年内营收占比有可能达到15%左右。</w:t>
            </w:r>
          </w:p>
        </w:tc>
      </w:tr>
    </w:tbl>
    <w:p w14:paraId="72C79E0F">
      <w:pPr>
        <w:spacing w:line="360" w:lineRule="auto"/>
        <w:ind w:right="24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iNTZhZTU0ZjA0OTgzYjUwNWI1ZTJkMTM4YmJmNWMifQ=="/>
  </w:docVars>
  <w:rsids>
    <w:rsidRoot w:val="008E4EA2"/>
    <w:rsid w:val="00004C6E"/>
    <w:rsid w:val="0001071E"/>
    <w:rsid w:val="00010892"/>
    <w:rsid w:val="00017591"/>
    <w:rsid w:val="00037F81"/>
    <w:rsid w:val="000753BC"/>
    <w:rsid w:val="00076610"/>
    <w:rsid w:val="00082827"/>
    <w:rsid w:val="000A05A7"/>
    <w:rsid w:val="000A3CAE"/>
    <w:rsid w:val="000D1A55"/>
    <w:rsid w:val="000D5303"/>
    <w:rsid w:val="000F4A3E"/>
    <w:rsid w:val="000F7BF8"/>
    <w:rsid w:val="001038B2"/>
    <w:rsid w:val="00121E5A"/>
    <w:rsid w:val="001351CD"/>
    <w:rsid w:val="001379FF"/>
    <w:rsid w:val="00140B73"/>
    <w:rsid w:val="0015328D"/>
    <w:rsid w:val="00157769"/>
    <w:rsid w:val="00166DB2"/>
    <w:rsid w:val="001A2F4E"/>
    <w:rsid w:val="001C3F05"/>
    <w:rsid w:val="001F2424"/>
    <w:rsid w:val="0020171D"/>
    <w:rsid w:val="00210174"/>
    <w:rsid w:val="002305EB"/>
    <w:rsid w:val="0023441E"/>
    <w:rsid w:val="00264B89"/>
    <w:rsid w:val="00282AA7"/>
    <w:rsid w:val="00284DFD"/>
    <w:rsid w:val="002C6B90"/>
    <w:rsid w:val="002D0CAF"/>
    <w:rsid w:val="002D1F38"/>
    <w:rsid w:val="002D30E3"/>
    <w:rsid w:val="00303C16"/>
    <w:rsid w:val="00306EBE"/>
    <w:rsid w:val="003143A2"/>
    <w:rsid w:val="003323B6"/>
    <w:rsid w:val="00336EC7"/>
    <w:rsid w:val="0037221E"/>
    <w:rsid w:val="00376EAC"/>
    <w:rsid w:val="00392098"/>
    <w:rsid w:val="003A612F"/>
    <w:rsid w:val="003C06B3"/>
    <w:rsid w:val="003D303C"/>
    <w:rsid w:val="003E0126"/>
    <w:rsid w:val="003E4F44"/>
    <w:rsid w:val="00411083"/>
    <w:rsid w:val="00414B25"/>
    <w:rsid w:val="00417625"/>
    <w:rsid w:val="004212FD"/>
    <w:rsid w:val="004213BB"/>
    <w:rsid w:val="004376D5"/>
    <w:rsid w:val="004540E8"/>
    <w:rsid w:val="0046513A"/>
    <w:rsid w:val="004A48F5"/>
    <w:rsid w:val="004A6B3F"/>
    <w:rsid w:val="004B2597"/>
    <w:rsid w:val="004F1499"/>
    <w:rsid w:val="004F2F6D"/>
    <w:rsid w:val="00520545"/>
    <w:rsid w:val="00562039"/>
    <w:rsid w:val="005820AB"/>
    <w:rsid w:val="00582B77"/>
    <w:rsid w:val="00591924"/>
    <w:rsid w:val="005B64B9"/>
    <w:rsid w:val="005C69BC"/>
    <w:rsid w:val="005C78BB"/>
    <w:rsid w:val="00602117"/>
    <w:rsid w:val="0060470C"/>
    <w:rsid w:val="00611256"/>
    <w:rsid w:val="006376EF"/>
    <w:rsid w:val="006602AE"/>
    <w:rsid w:val="00672991"/>
    <w:rsid w:val="006752DE"/>
    <w:rsid w:val="006764B5"/>
    <w:rsid w:val="006819F4"/>
    <w:rsid w:val="00681C1E"/>
    <w:rsid w:val="00681ED2"/>
    <w:rsid w:val="00693FFE"/>
    <w:rsid w:val="006B17D9"/>
    <w:rsid w:val="006C17FD"/>
    <w:rsid w:val="006E272F"/>
    <w:rsid w:val="006E63CB"/>
    <w:rsid w:val="006E7E6C"/>
    <w:rsid w:val="006F41B4"/>
    <w:rsid w:val="006F728D"/>
    <w:rsid w:val="00704C10"/>
    <w:rsid w:val="00727D5C"/>
    <w:rsid w:val="0076610C"/>
    <w:rsid w:val="00794C01"/>
    <w:rsid w:val="007A3C4F"/>
    <w:rsid w:val="007C0267"/>
    <w:rsid w:val="007E7A59"/>
    <w:rsid w:val="007F207F"/>
    <w:rsid w:val="007F5C54"/>
    <w:rsid w:val="0080258D"/>
    <w:rsid w:val="008101F1"/>
    <w:rsid w:val="00811C4E"/>
    <w:rsid w:val="008133E2"/>
    <w:rsid w:val="00845C27"/>
    <w:rsid w:val="0086290D"/>
    <w:rsid w:val="00881130"/>
    <w:rsid w:val="00897ABF"/>
    <w:rsid w:val="008A049C"/>
    <w:rsid w:val="008B464B"/>
    <w:rsid w:val="008C1F4A"/>
    <w:rsid w:val="008D45F1"/>
    <w:rsid w:val="008E4EA2"/>
    <w:rsid w:val="00902CFA"/>
    <w:rsid w:val="009122BC"/>
    <w:rsid w:val="0092472B"/>
    <w:rsid w:val="00934B69"/>
    <w:rsid w:val="00937622"/>
    <w:rsid w:val="00942F97"/>
    <w:rsid w:val="0094527A"/>
    <w:rsid w:val="0094632A"/>
    <w:rsid w:val="0096334F"/>
    <w:rsid w:val="00977851"/>
    <w:rsid w:val="0098015F"/>
    <w:rsid w:val="00983A17"/>
    <w:rsid w:val="00993292"/>
    <w:rsid w:val="009A32E5"/>
    <w:rsid w:val="009B109D"/>
    <w:rsid w:val="009C5901"/>
    <w:rsid w:val="009D159D"/>
    <w:rsid w:val="009D1CF7"/>
    <w:rsid w:val="009D7BA9"/>
    <w:rsid w:val="009F2C2D"/>
    <w:rsid w:val="00A12F2D"/>
    <w:rsid w:val="00A15D47"/>
    <w:rsid w:val="00A175C1"/>
    <w:rsid w:val="00A201C9"/>
    <w:rsid w:val="00A31978"/>
    <w:rsid w:val="00A33249"/>
    <w:rsid w:val="00A373B6"/>
    <w:rsid w:val="00A4249E"/>
    <w:rsid w:val="00A5165C"/>
    <w:rsid w:val="00A7689F"/>
    <w:rsid w:val="00AA0F1F"/>
    <w:rsid w:val="00AA6BE8"/>
    <w:rsid w:val="00AB6576"/>
    <w:rsid w:val="00AC602D"/>
    <w:rsid w:val="00AD2869"/>
    <w:rsid w:val="00B36310"/>
    <w:rsid w:val="00B67F02"/>
    <w:rsid w:val="00B71D58"/>
    <w:rsid w:val="00B834F7"/>
    <w:rsid w:val="00B90C20"/>
    <w:rsid w:val="00B92007"/>
    <w:rsid w:val="00BA76F8"/>
    <w:rsid w:val="00BD04BD"/>
    <w:rsid w:val="00BD58B3"/>
    <w:rsid w:val="00BD5930"/>
    <w:rsid w:val="00C11616"/>
    <w:rsid w:val="00C54467"/>
    <w:rsid w:val="00C608B6"/>
    <w:rsid w:val="00C611C9"/>
    <w:rsid w:val="00C64E5E"/>
    <w:rsid w:val="00CC5CA5"/>
    <w:rsid w:val="00CF2D68"/>
    <w:rsid w:val="00CF47E7"/>
    <w:rsid w:val="00D07ED7"/>
    <w:rsid w:val="00D20148"/>
    <w:rsid w:val="00D271C0"/>
    <w:rsid w:val="00D5355F"/>
    <w:rsid w:val="00D72DFF"/>
    <w:rsid w:val="00D8385B"/>
    <w:rsid w:val="00D9312C"/>
    <w:rsid w:val="00DD0845"/>
    <w:rsid w:val="00DD0CDD"/>
    <w:rsid w:val="00DE1BFC"/>
    <w:rsid w:val="00DF64F8"/>
    <w:rsid w:val="00E34F58"/>
    <w:rsid w:val="00E672C6"/>
    <w:rsid w:val="00E739B3"/>
    <w:rsid w:val="00E747EB"/>
    <w:rsid w:val="00E74C88"/>
    <w:rsid w:val="00E87DD3"/>
    <w:rsid w:val="00E92156"/>
    <w:rsid w:val="00EC1345"/>
    <w:rsid w:val="00EC1A3D"/>
    <w:rsid w:val="00EC20D8"/>
    <w:rsid w:val="00EE2B21"/>
    <w:rsid w:val="00EE3AFF"/>
    <w:rsid w:val="00F04644"/>
    <w:rsid w:val="00F22EC9"/>
    <w:rsid w:val="00F23311"/>
    <w:rsid w:val="00F501F6"/>
    <w:rsid w:val="00F53D5A"/>
    <w:rsid w:val="00F567D9"/>
    <w:rsid w:val="00F62621"/>
    <w:rsid w:val="00F8029D"/>
    <w:rsid w:val="00F916A7"/>
    <w:rsid w:val="00F95EBC"/>
    <w:rsid w:val="00FD1EEA"/>
    <w:rsid w:val="00FE245A"/>
    <w:rsid w:val="00FE4ADD"/>
    <w:rsid w:val="00FF0029"/>
    <w:rsid w:val="018F4C90"/>
    <w:rsid w:val="02704AC1"/>
    <w:rsid w:val="03BF4259"/>
    <w:rsid w:val="07230354"/>
    <w:rsid w:val="0E6B25E0"/>
    <w:rsid w:val="0F346E76"/>
    <w:rsid w:val="0F7F6343"/>
    <w:rsid w:val="156D4E90"/>
    <w:rsid w:val="190B0C48"/>
    <w:rsid w:val="1B297880"/>
    <w:rsid w:val="1CF87735"/>
    <w:rsid w:val="20711CD8"/>
    <w:rsid w:val="21C83B7A"/>
    <w:rsid w:val="22AC6FF8"/>
    <w:rsid w:val="2EBC6814"/>
    <w:rsid w:val="2ED973C6"/>
    <w:rsid w:val="34DB376C"/>
    <w:rsid w:val="364610BA"/>
    <w:rsid w:val="3B40257B"/>
    <w:rsid w:val="41652D3C"/>
    <w:rsid w:val="42393551"/>
    <w:rsid w:val="42D068DB"/>
    <w:rsid w:val="454163AE"/>
    <w:rsid w:val="476A1A11"/>
    <w:rsid w:val="4A4A0D21"/>
    <w:rsid w:val="4DA53F6D"/>
    <w:rsid w:val="51363DAD"/>
    <w:rsid w:val="5B3F31B7"/>
    <w:rsid w:val="5E0F7E5F"/>
    <w:rsid w:val="60A11EA2"/>
    <w:rsid w:val="63894210"/>
    <w:rsid w:val="67F500C6"/>
    <w:rsid w:val="69894F6A"/>
    <w:rsid w:val="6C50569B"/>
    <w:rsid w:val="6FE85416"/>
    <w:rsid w:val="7881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4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副标题 字符"/>
    <w:basedOn w:val="10"/>
    <w:link w:val="6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批注文字 字符"/>
    <w:basedOn w:val="10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2682</Words>
  <Characters>2868</Characters>
  <Lines>21</Lines>
  <Paragraphs>6</Paragraphs>
  <TotalTime>48</TotalTime>
  <ScaleCrop>false</ScaleCrop>
  <LinksUpToDate>false</LinksUpToDate>
  <CharactersWithSpaces>2971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2025-04-29T07:44:00Z</dcterms:created>
  <dc:creator>zhangjian</dc:creator>
  <cp:lastModifiedBy>JoyZ</cp:lastModifiedBy>
  <cp:lastPrinted>2021-04-11T03:59:00Z</cp:lastPrinted>
  <dcterms:modified xsi:type="dcterms:W3CDTF">2025-04-29T08:42:06Z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EFED668ED10E4170B8881D4757F49954_13</vt:lpwstr>
  </property>
  <property fmtid="{D5CDD505-2E9C-101B-9397-08002B2CF9AE}" pid="4" name="KSOTemplateDocerSaveRecord">
    <vt:lpwstr>eyJoZGlkIjoiMzdiNTZhZTU0ZjA0OTgzYjUwNWI1ZTJkMTM4YmJmNWMiLCJ1c2VySWQiOiIyMzAxODgzOTgifQ==</vt:lpwstr>
  </property>
</Properties>
</file>