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E7555" w14:textId="77777777" w:rsidR="00C05979" w:rsidRDefault="00E917D4">
      <w:pPr>
        <w:spacing w:beforeLines="50" w:before="156" w:line="480" w:lineRule="auto"/>
        <w:jc w:val="center"/>
        <w:rPr>
          <w:rFonts w:ascii="宋体" w:eastAsia="宋体" w:hAnsi="宋体"/>
          <w:b/>
          <w:bCs/>
          <w:sz w:val="32"/>
          <w:szCs w:val="32"/>
        </w:rPr>
      </w:pPr>
      <w:r>
        <w:rPr>
          <w:rFonts w:ascii="宋体" w:eastAsia="宋体" w:hAnsi="宋体" w:hint="eastAsia"/>
          <w:sz w:val="24"/>
          <w:szCs w:val="24"/>
        </w:rPr>
        <w:t>证券代码：</w:t>
      </w:r>
      <w:r>
        <w:rPr>
          <w:rFonts w:ascii="宋体" w:eastAsia="宋体" w:hAnsi="宋体"/>
          <w:sz w:val="24"/>
          <w:szCs w:val="24"/>
        </w:rPr>
        <w:t>603076                                   证券简称：乐惠国际</w:t>
      </w:r>
      <w:r>
        <w:rPr>
          <w:rFonts w:ascii="宋体" w:eastAsia="宋体" w:hAnsi="宋体" w:hint="eastAsia"/>
          <w:b/>
          <w:bCs/>
          <w:sz w:val="32"/>
          <w:szCs w:val="32"/>
        </w:rPr>
        <w:t>乐惠国际投资者关系活动记录表</w:t>
      </w:r>
    </w:p>
    <w:tbl>
      <w:tblPr>
        <w:tblStyle w:val="ad"/>
        <w:tblW w:w="8624" w:type="dxa"/>
        <w:tblLook w:val="04A0" w:firstRow="1" w:lastRow="0" w:firstColumn="1" w:lastColumn="0" w:noHBand="0" w:noVBand="1"/>
      </w:tblPr>
      <w:tblGrid>
        <w:gridCol w:w="2263"/>
        <w:gridCol w:w="6361"/>
      </w:tblGrid>
      <w:tr w:rsidR="00C05979" w14:paraId="0CDB71D3" w14:textId="77777777">
        <w:trPr>
          <w:trHeight w:val="3028"/>
        </w:trPr>
        <w:tc>
          <w:tcPr>
            <w:tcW w:w="2263" w:type="dxa"/>
            <w:vAlign w:val="center"/>
          </w:tcPr>
          <w:p w14:paraId="1A284C05" w14:textId="77777777" w:rsidR="00C05979" w:rsidRDefault="00E917D4">
            <w:pPr>
              <w:jc w:val="center"/>
              <w:rPr>
                <w:rFonts w:ascii="宋体" w:eastAsia="宋体" w:hAnsi="宋体"/>
                <w:b/>
                <w:bCs/>
                <w:sz w:val="24"/>
                <w:szCs w:val="24"/>
              </w:rPr>
            </w:pPr>
            <w:r>
              <w:rPr>
                <w:rFonts w:ascii="宋体" w:eastAsia="宋体" w:hAnsi="宋体" w:hint="eastAsia"/>
                <w:b/>
                <w:bCs/>
                <w:sz w:val="24"/>
                <w:szCs w:val="24"/>
              </w:rPr>
              <w:t>投资者关系</w:t>
            </w:r>
            <w:r>
              <w:rPr>
                <w:rFonts w:ascii="宋体" w:eastAsia="宋体" w:hAnsi="宋体"/>
                <w:b/>
                <w:bCs/>
                <w:sz w:val="24"/>
                <w:szCs w:val="24"/>
              </w:rPr>
              <w:br/>
            </w:r>
            <w:r>
              <w:rPr>
                <w:rFonts w:ascii="宋体" w:eastAsia="宋体" w:hAnsi="宋体" w:hint="eastAsia"/>
                <w:b/>
                <w:bCs/>
                <w:sz w:val="24"/>
                <w:szCs w:val="24"/>
              </w:rPr>
              <w:t>活动类别</w:t>
            </w:r>
          </w:p>
        </w:tc>
        <w:tc>
          <w:tcPr>
            <w:tcW w:w="6361" w:type="dxa"/>
            <w:vAlign w:val="center"/>
          </w:tcPr>
          <w:p w14:paraId="16F92553" w14:textId="45D7F007" w:rsidR="00C05979" w:rsidRDefault="00E917D4">
            <w:pPr>
              <w:ind w:firstLineChars="300" w:firstLine="720"/>
              <w:rPr>
                <w:rFonts w:ascii="宋体" w:eastAsia="宋体" w:hAnsi="宋体"/>
                <w:sz w:val="24"/>
                <w:szCs w:val="24"/>
              </w:rPr>
            </w:pPr>
            <w:r>
              <w:rPr>
                <w:rFonts w:ascii="Segoe UI Symbol" w:eastAsia="宋体" w:hAnsi="Segoe UI Symbol" w:cs="Segoe UI Symbol"/>
                <w:sz w:val="24"/>
                <w:szCs w:val="24"/>
              </w:rPr>
              <w:t>☐</w:t>
            </w:r>
            <w:r>
              <w:rPr>
                <w:rFonts w:ascii="宋体" w:eastAsia="宋体" w:hAnsi="宋体" w:cs="Segoe UI Symbol"/>
                <w:sz w:val="24"/>
                <w:szCs w:val="24"/>
              </w:rPr>
              <w:t xml:space="preserve"> </w:t>
            </w:r>
            <w:r>
              <w:rPr>
                <w:rFonts w:ascii="宋体" w:eastAsia="宋体" w:hAnsi="宋体"/>
                <w:sz w:val="24"/>
                <w:szCs w:val="24"/>
              </w:rPr>
              <w:t xml:space="preserve">特定对象调研   </w:t>
            </w:r>
            <w:r>
              <w:rPr>
                <w:rFonts w:ascii="Segoe UI Symbol" w:eastAsia="宋体" w:hAnsi="Segoe UI Symbol" w:cs="Segoe UI Symbol"/>
                <w:sz w:val="24"/>
                <w:szCs w:val="24"/>
              </w:rPr>
              <w:t>☐</w:t>
            </w:r>
            <w:r>
              <w:rPr>
                <w:rFonts w:ascii="宋体" w:eastAsia="宋体" w:hAnsi="宋体" w:cs="Segoe UI Symbol"/>
                <w:sz w:val="24"/>
                <w:szCs w:val="24"/>
              </w:rPr>
              <w:t xml:space="preserve"> </w:t>
            </w:r>
            <w:r>
              <w:rPr>
                <w:rFonts w:ascii="宋体" w:eastAsia="宋体" w:hAnsi="宋体"/>
                <w:sz w:val="24"/>
                <w:szCs w:val="24"/>
              </w:rPr>
              <w:t>分析师会议</w:t>
            </w:r>
          </w:p>
          <w:p w14:paraId="6F199BE5" w14:textId="77777777" w:rsidR="00C05979" w:rsidRDefault="00E917D4">
            <w:pPr>
              <w:ind w:firstLineChars="300" w:firstLine="720"/>
              <w:rPr>
                <w:rFonts w:ascii="宋体" w:eastAsia="宋体" w:hAnsi="宋体"/>
                <w:sz w:val="24"/>
                <w:szCs w:val="24"/>
              </w:rPr>
            </w:pPr>
            <w:r>
              <w:rPr>
                <w:rFonts w:ascii="Segoe UI Symbol" w:eastAsia="宋体" w:hAnsi="Segoe UI Symbol" w:cs="Segoe UI Symbol"/>
                <w:sz w:val="24"/>
                <w:szCs w:val="24"/>
              </w:rPr>
              <w:t>☐</w:t>
            </w:r>
            <w:r>
              <w:rPr>
                <w:rFonts w:ascii="宋体" w:eastAsia="宋体" w:hAnsi="宋体" w:cs="Segoe UI Symbol"/>
                <w:sz w:val="24"/>
                <w:szCs w:val="24"/>
              </w:rPr>
              <w:t xml:space="preserve"> </w:t>
            </w:r>
            <w:r>
              <w:rPr>
                <w:rFonts w:ascii="宋体" w:eastAsia="宋体" w:hAnsi="宋体"/>
                <w:sz w:val="24"/>
                <w:szCs w:val="24"/>
              </w:rPr>
              <w:t xml:space="preserve">媒体采访       </w:t>
            </w:r>
            <w:r>
              <w:rPr>
                <w:rFonts w:ascii="Segoe UI Symbol" w:eastAsia="宋体" w:hAnsi="Segoe UI Symbol" w:cs="Segoe UI Symbol"/>
                <w:sz w:val="24"/>
                <w:szCs w:val="24"/>
              </w:rPr>
              <w:sym w:font="Wingdings 2" w:char="F052"/>
            </w:r>
            <w:r>
              <w:rPr>
                <w:rFonts w:ascii="宋体" w:eastAsia="宋体" w:hAnsi="宋体" w:cs="Segoe UI Symbol"/>
                <w:sz w:val="24"/>
                <w:szCs w:val="24"/>
              </w:rPr>
              <w:t xml:space="preserve"> </w:t>
            </w:r>
            <w:r>
              <w:rPr>
                <w:rFonts w:ascii="宋体" w:eastAsia="宋体" w:hAnsi="宋体"/>
                <w:sz w:val="24"/>
                <w:szCs w:val="24"/>
              </w:rPr>
              <w:t>业绩说明会</w:t>
            </w:r>
          </w:p>
          <w:p w14:paraId="447E899E" w14:textId="77777777" w:rsidR="00C05979" w:rsidRDefault="00E917D4">
            <w:pPr>
              <w:ind w:firstLineChars="300" w:firstLine="720"/>
              <w:rPr>
                <w:rFonts w:ascii="宋体" w:eastAsia="宋体" w:hAnsi="宋体"/>
                <w:sz w:val="24"/>
                <w:szCs w:val="24"/>
              </w:rPr>
            </w:pPr>
            <w:r>
              <w:rPr>
                <w:rFonts w:ascii="Segoe UI Symbol" w:eastAsia="宋体" w:hAnsi="Segoe UI Symbol" w:cs="Segoe UI Symbol"/>
                <w:sz w:val="24"/>
                <w:szCs w:val="24"/>
              </w:rPr>
              <w:t>☐</w:t>
            </w:r>
            <w:r>
              <w:rPr>
                <w:rFonts w:ascii="宋体" w:eastAsia="宋体" w:hAnsi="宋体" w:cs="Segoe UI Symbol"/>
                <w:sz w:val="24"/>
                <w:szCs w:val="24"/>
              </w:rPr>
              <w:t xml:space="preserve"> </w:t>
            </w:r>
            <w:r>
              <w:rPr>
                <w:rFonts w:ascii="宋体" w:eastAsia="宋体" w:hAnsi="宋体"/>
                <w:sz w:val="24"/>
                <w:szCs w:val="24"/>
              </w:rPr>
              <w:t>新闻发布会</w:t>
            </w:r>
            <w:r>
              <w:rPr>
                <w:rFonts w:ascii="宋体" w:eastAsia="宋体" w:hAnsi="宋体" w:hint="eastAsia"/>
                <w:sz w:val="24"/>
                <w:szCs w:val="24"/>
              </w:rPr>
              <w:t xml:space="preserve"> </w:t>
            </w:r>
            <w:r>
              <w:rPr>
                <w:rFonts w:ascii="宋体" w:eastAsia="宋体" w:hAnsi="宋体"/>
                <w:sz w:val="24"/>
                <w:szCs w:val="24"/>
              </w:rPr>
              <w:t xml:space="preserve">    </w:t>
            </w:r>
            <w:r>
              <w:rPr>
                <w:rFonts w:ascii="Segoe UI Symbol" w:eastAsia="宋体" w:hAnsi="Segoe UI Symbol" w:cs="Segoe UI Symbol"/>
                <w:sz w:val="24"/>
                <w:szCs w:val="24"/>
              </w:rPr>
              <w:t>☐</w:t>
            </w:r>
            <w:r>
              <w:rPr>
                <w:rFonts w:ascii="宋体" w:eastAsia="宋体" w:hAnsi="宋体" w:cs="Segoe UI Symbol"/>
                <w:sz w:val="24"/>
                <w:szCs w:val="24"/>
              </w:rPr>
              <w:t xml:space="preserve"> </w:t>
            </w:r>
            <w:r>
              <w:rPr>
                <w:rFonts w:ascii="宋体" w:eastAsia="宋体" w:hAnsi="宋体"/>
                <w:sz w:val="24"/>
                <w:szCs w:val="24"/>
              </w:rPr>
              <w:t>路演活动</w:t>
            </w:r>
          </w:p>
          <w:p w14:paraId="45723BC1" w14:textId="77777777" w:rsidR="00C05979" w:rsidRDefault="00E917D4">
            <w:pPr>
              <w:ind w:firstLineChars="300" w:firstLine="720"/>
              <w:rPr>
                <w:rFonts w:ascii="宋体" w:eastAsia="宋体" w:hAnsi="宋体"/>
                <w:sz w:val="24"/>
                <w:szCs w:val="24"/>
              </w:rPr>
            </w:pPr>
            <w:r>
              <w:rPr>
                <w:rFonts w:ascii="Segoe UI Symbol" w:eastAsia="宋体" w:hAnsi="Segoe UI Symbol" w:cs="Segoe UI Symbol"/>
                <w:sz w:val="24"/>
                <w:szCs w:val="24"/>
              </w:rPr>
              <w:t>☐</w:t>
            </w:r>
            <w:r>
              <w:rPr>
                <w:rFonts w:ascii="宋体" w:eastAsia="宋体" w:hAnsi="宋体" w:cs="Segoe UI Symbol"/>
                <w:sz w:val="24"/>
                <w:szCs w:val="24"/>
              </w:rPr>
              <w:t xml:space="preserve"> </w:t>
            </w:r>
            <w:r>
              <w:rPr>
                <w:rFonts w:ascii="宋体" w:eastAsia="宋体" w:hAnsi="宋体"/>
                <w:sz w:val="24"/>
                <w:szCs w:val="24"/>
              </w:rPr>
              <w:t>现场参观</w:t>
            </w:r>
            <w:r>
              <w:rPr>
                <w:rFonts w:ascii="宋体" w:eastAsia="宋体" w:hAnsi="宋体" w:hint="eastAsia"/>
                <w:sz w:val="24"/>
                <w:szCs w:val="24"/>
              </w:rPr>
              <w:t xml:space="preserve"> </w:t>
            </w:r>
            <w:r>
              <w:rPr>
                <w:rFonts w:ascii="宋体" w:eastAsia="宋体" w:hAnsi="宋体"/>
                <w:sz w:val="24"/>
                <w:szCs w:val="24"/>
              </w:rPr>
              <w:t xml:space="preserve">      </w:t>
            </w:r>
            <w:r>
              <w:rPr>
                <w:rFonts w:ascii="Segoe UI Symbol" w:eastAsia="宋体" w:hAnsi="Segoe UI Symbol" w:cs="Segoe UI Symbol"/>
                <w:sz w:val="24"/>
                <w:szCs w:val="24"/>
              </w:rPr>
              <w:t>☐</w:t>
            </w:r>
            <w:r>
              <w:rPr>
                <w:rFonts w:ascii="宋体" w:eastAsia="宋体" w:hAnsi="宋体" w:cs="Segoe UI Symbol"/>
                <w:sz w:val="24"/>
                <w:szCs w:val="24"/>
              </w:rPr>
              <w:t xml:space="preserve"> </w:t>
            </w:r>
            <w:r>
              <w:rPr>
                <w:rFonts w:ascii="宋体" w:eastAsia="宋体" w:hAnsi="宋体"/>
                <w:sz w:val="24"/>
                <w:szCs w:val="24"/>
              </w:rPr>
              <w:t>电话调研</w:t>
            </w:r>
          </w:p>
          <w:p w14:paraId="4A6B2E49" w14:textId="77777777" w:rsidR="00C05979" w:rsidRDefault="00E917D4">
            <w:pPr>
              <w:ind w:firstLineChars="300" w:firstLine="720"/>
              <w:rPr>
                <w:rFonts w:ascii="宋体" w:eastAsia="宋体" w:hAnsi="宋体"/>
                <w:sz w:val="24"/>
                <w:szCs w:val="24"/>
              </w:rPr>
            </w:pPr>
            <w:r>
              <w:rPr>
                <w:rFonts w:ascii="Segoe UI Symbol" w:eastAsia="宋体" w:hAnsi="Segoe UI Symbol" w:cs="Segoe UI Symbol"/>
                <w:sz w:val="24"/>
                <w:szCs w:val="24"/>
              </w:rPr>
              <w:t>☐</w:t>
            </w:r>
            <w:r>
              <w:rPr>
                <w:rFonts w:ascii="宋体" w:eastAsia="宋体" w:hAnsi="宋体" w:cs="Segoe UI Symbol"/>
                <w:sz w:val="24"/>
                <w:szCs w:val="24"/>
              </w:rPr>
              <w:t xml:space="preserve"> </w:t>
            </w:r>
            <w:r>
              <w:rPr>
                <w:rFonts w:ascii="宋体" w:eastAsia="宋体" w:hAnsi="宋体"/>
                <w:sz w:val="24"/>
                <w:szCs w:val="24"/>
              </w:rPr>
              <w:t>其他</w:t>
            </w:r>
          </w:p>
        </w:tc>
      </w:tr>
      <w:tr w:rsidR="00C05979" w14:paraId="2EBDD610" w14:textId="77777777">
        <w:trPr>
          <w:trHeight w:val="625"/>
        </w:trPr>
        <w:tc>
          <w:tcPr>
            <w:tcW w:w="2263" w:type="dxa"/>
            <w:vAlign w:val="center"/>
          </w:tcPr>
          <w:p w14:paraId="59AA742F" w14:textId="77777777" w:rsidR="00C05979" w:rsidRDefault="00E917D4">
            <w:pPr>
              <w:jc w:val="center"/>
              <w:rPr>
                <w:rFonts w:ascii="宋体" w:eastAsia="宋体" w:hAnsi="宋体"/>
                <w:b/>
                <w:bCs/>
                <w:sz w:val="24"/>
                <w:szCs w:val="24"/>
              </w:rPr>
            </w:pPr>
            <w:r>
              <w:rPr>
                <w:rFonts w:ascii="宋体" w:eastAsia="宋体" w:hAnsi="宋体" w:hint="eastAsia"/>
                <w:b/>
                <w:bCs/>
                <w:sz w:val="24"/>
                <w:szCs w:val="24"/>
              </w:rPr>
              <w:t>调研人员单位</w:t>
            </w:r>
          </w:p>
        </w:tc>
        <w:tc>
          <w:tcPr>
            <w:tcW w:w="6361" w:type="dxa"/>
            <w:vAlign w:val="center"/>
          </w:tcPr>
          <w:p w14:paraId="7B380251" w14:textId="77777777" w:rsidR="00C05979" w:rsidRDefault="00E917D4">
            <w:pPr>
              <w:spacing w:line="276" w:lineRule="auto"/>
              <w:rPr>
                <w:rFonts w:ascii="宋体" w:eastAsia="宋体" w:hAnsi="宋体" w:cs="Segoe UI Symbol"/>
                <w:sz w:val="24"/>
                <w:szCs w:val="24"/>
              </w:rPr>
            </w:pPr>
            <w:r>
              <w:rPr>
                <w:rFonts w:ascii="宋体" w:eastAsia="宋体" w:hAnsi="宋体" w:cs="Segoe UI Symbol"/>
                <w:sz w:val="24"/>
                <w:szCs w:val="24"/>
              </w:rPr>
              <w:t>浙商证券研究所、天治基金管理有限公司、国泰君安资产管理股份有限公司、北银理财有限责任公司、上海贵源投资、深圳红石榴投资、上海七曜投资管理合伙企业(有限合伙）、西部利得基金管理有限公司、生命人寿保险股份有限公司、中金资管、上海聚劲投资有限公司、太平基金管理有限公司、太平洋资产管理有限责任公司、深圳前海乾元资始资产管理有限公司、三商资产。</w:t>
            </w:r>
          </w:p>
        </w:tc>
      </w:tr>
      <w:tr w:rsidR="00C05979" w14:paraId="5C2C870C" w14:textId="77777777">
        <w:trPr>
          <w:trHeight w:val="625"/>
        </w:trPr>
        <w:tc>
          <w:tcPr>
            <w:tcW w:w="2263" w:type="dxa"/>
            <w:vAlign w:val="center"/>
          </w:tcPr>
          <w:p w14:paraId="43C9E85F" w14:textId="77777777" w:rsidR="00C05979" w:rsidRDefault="00E917D4">
            <w:pPr>
              <w:jc w:val="center"/>
              <w:rPr>
                <w:rFonts w:ascii="宋体" w:eastAsia="宋体" w:hAnsi="宋体"/>
                <w:b/>
                <w:bCs/>
                <w:sz w:val="24"/>
                <w:szCs w:val="24"/>
              </w:rPr>
            </w:pPr>
            <w:r>
              <w:rPr>
                <w:rFonts w:ascii="宋体" w:eastAsia="宋体" w:hAnsi="宋体" w:hint="eastAsia"/>
                <w:b/>
                <w:bCs/>
                <w:sz w:val="24"/>
                <w:szCs w:val="24"/>
              </w:rPr>
              <w:t>调研时间</w:t>
            </w:r>
          </w:p>
        </w:tc>
        <w:tc>
          <w:tcPr>
            <w:tcW w:w="6361" w:type="dxa"/>
            <w:vAlign w:val="center"/>
          </w:tcPr>
          <w:p w14:paraId="33E46612" w14:textId="77777777" w:rsidR="00C05979" w:rsidRDefault="00E917D4">
            <w:pPr>
              <w:ind w:firstLineChars="300" w:firstLine="720"/>
              <w:rPr>
                <w:rFonts w:ascii="宋体" w:eastAsia="宋体" w:hAnsi="宋体" w:cs="Segoe UI Symbol"/>
                <w:sz w:val="24"/>
                <w:szCs w:val="24"/>
              </w:rPr>
            </w:pPr>
            <w:r>
              <w:rPr>
                <w:rFonts w:ascii="宋体" w:eastAsia="宋体" w:hAnsi="宋体" w:cs="Segoe UI Symbol"/>
                <w:sz w:val="24"/>
                <w:szCs w:val="24"/>
              </w:rPr>
              <w:t>2025年4月</w:t>
            </w:r>
            <w:r>
              <w:rPr>
                <w:rFonts w:ascii="宋体" w:eastAsia="宋体" w:hAnsi="宋体" w:cs="Segoe UI Symbol" w:hint="eastAsia"/>
                <w:sz w:val="24"/>
                <w:szCs w:val="24"/>
              </w:rPr>
              <w:t>2</w:t>
            </w:r>
            <w:r>
              <w:rPr>
                <w:rFonts w:ascii="宋体" w:eastAsia="宋体" w:hAnsi="宋体" w:cs="Segoe UI Symbol"/>
                <w:sz w:val="24"/>
                <w:szCs w:val="24"/>
              </w:rPr>
              <w:t>8日下午4点</w:t>
            </w:r>
          </w:p>
        </w:tc>
      </w:tr>
      <w:tr w:rsidR="00C05979" w14:paraId="72B2332E" w14:textId="77777777">
        <w:trPr>
          <w:trHeight w:val="625"/>
        </w:trPr>
        <w:tc>
          <w:tcPr>
            <w:tcW w:w="2263" w:type="dxa"/>
            <w:vAlign w:val="center"/>
          </w:tcPr>
          <w:p w14:paraId="3345AE47" w14:textId="77777777" w:rsidR="00C05979" w:rsidRDefault="00E917D4">
            <w:pPr>
              <w:jc w:val="center"/>
              <w:rPr>
                <w:rFonts w:ascii="宋体" w:eastAsia="宋体" w:hAnsi="宋体"/>
                <w:b/>
                <w:bCs/>
                <w:sz w:val="24"/>
                <w:szCs w:val="24"/>
              </w:rPr>
            </w:pPr>
            <w:r>
              <w:rPr>
                <w:rFonts w:ascii="宋体" w:eastAsia="宋体" w:hAnsi="宋体" w:hint="eastAsia"/>
                <w:b/>
                <w:bCs/>
                <w:sz w:val="24"/>
                <w:szCs w:val="24"/>
              </w:rPr>
              <w:t>调研地点</w:t>
            </w:r>
          </w:p>
        </w:tc>
        <w:tc>
          <w:tcPr>
            <w:tcW w:w="6361" w:type="dxa"/>
            <w:vAlign w:val="center"/>
          </w:tcPr>
          <w:p w14:paraId="133BA83F" w14:textId="77777777" w:rsidR="00C05979" w:rsidRDefault="00E917D4">
            <w:pPr>
              <w:ind w:firstLineChars="300" w:firstLine="720"/>
              <w:rPr>
                <w:rFonts w:ascii="宋体" w:eastAsia="宋体" w:hAnsi="宋体" w:cs="Segoe UI Symbol"/>
                <w:sz w:val="24"/>
                <w:szCs w:val="24"/>
              </w:rPr>
            </w:pPr>
            <w:r>
              <w:rPr>
                <w:rFonts w:ascii="宋体" w:eastAsia="宋体" w:hAnsi="宋体" w:cs="Segoe UI Symbol" w:hint="eastAsia"/>
                <w:sz w:val="24"/>
                <w:szCs w:val="24"/>
              </w:rPr>
              <w:t>电话会议</w:t>
            </w:r>
          </w:p>
        </w:tc>
      </w:tr>
      <w:tr w:rsidR="00C05979" w14:paraId="5F1B23BD" w14:textId="77777777">
        <w:trPr>
          <w:trHeight w:val="625"/>
        </w:trPr>
        <w:tc>
          <w:tcPr>
            <w:tcW w:w="2263" w:type="dxa"/>
            <w:vAlign w:val="center"/>
          </w:tcPr>
          <w:p w14:paraId="396251B0" w14:textId="77777777" w:rsidR="00C05979" w:rsidRDefault="00E917D4">
            <w:pPr>
              <w:jc w:val="center"/>
              <w:rPr>
                <w:rFonts w:ascii="宋体" w:eastAsia="宋体" w:hAnsi="宋体"/>
                <w:b/>
                <w:bCs/>
                <w:sz w:val="24"/>
                <w:szCs w:val="24"/>
              </w:rPr>
            </w:pPr>
            <w:r>
              <w:rPr>
                <w:rFonts w:ascii="宋体" w:eastAsia="宋体" w:hAnsi="宋体" w:hint="eastAsia"/>
                <w:b/>
                <w:bCs/>
                <w:sz w:val="24"/>
                <w:szCs w:val="24"/>
              </w:rPr>
              <w:t xml:space="preserve">上市公司接待人员 </w:t>
            </w:r>
          </w:p>
        </w:tc>
        <w:tc>
          <w:tcPr>
            <w:tcW w:w="6361" w:type="dxa"/>
            <w:vAlign w:val="center"/>
          </w:tcPr>
          <w:p w14:paraId="0BE4AF06" w14:textId="77777777" w:rsidR="00C05979" w:rsidRDefault="00E917D4">
            <w:pPr>
              <w:ind w:firstLineChars="300" w:firstLine="720"/>
              <w:rPr>
                <w:rFonts w:ascii="Segoe UI Symbol" w:eastAsia="宋体" w:hAnsi="Segoe UI Symbol" w:cs="Segoe UI Symbol"/>
                <w:sz w:val="24"/>
                <w:szCs w:val="24"/>
              </w:rPr>
            </w:pPr>
            <w:r>
              <w:rPr>
                <w:rFonts w:ascii="Segoe UI Symbol" w:eastAsia="宋体" w:hAnsi="Segoe UI Symbol" w:cs="Segoe UI Symbol" w:hint="eastAsia"/>
                <w:sz w:val="24"/>
                <w:szCs w:val="24"/>
              </w:rPr>
              <w:t>黄粤宁、徐力韬、舒思晨</w:t>
            </w:r>
          </w:p>
        </w:tc>
      </w:tr>
      <w:tr w:rsidR="00C05979" w14:paraId="66D24719" w14:textId="77777777">
        <w:trPr>
          <w:trHeight w:val="625"/>
        </w:trPr>
        <w:tc>
          <w:tcPr>
            <w:tcW w:w="2263" w:type="dxa"/>
            <w:vAlign w:val="center"/>
          </w:tcPr>
          <w:p w14:paraId="2F36EA18" w14:textId="77777777" w:rsidR="00C05979" w:rsidRDefault="00E917D4">
            <w:pPr>
              <w:jc w:val="center"/>
              <w:rPr>
                <w:rFonts w:ascii="宋体" w:eastAsia="宋体" w:hAnsi="宋体"/>
                <w:b/>
                <w:bCs/>
                <w:sz w:val="24"/>
                <w:szCs w:val="24"/>
              </w:rPr>
            </w:pPr>
            <w:r>
              <w:rPr>
                <w:rFonts w:ascii="宋体" w:eastAsia="宋体" w:hAnsi="宋体" w:hint="eastAsia"/>
                <w:b/>
                <w:bCs/>
                <w:sz w:val="24"/>
                <w:szCs w:val="24"/>
              </w:rPr>
              <w:t>投资者关系活动</w:t>
            </w:r>
            <w:r>
              <w:rPr>
                <w:rFonts w:ascii="宋体" w:eastAsia="宋体" w:hAnsi="宋体"/>
                <w:b/>
                <w:bCs/>
                <w:sz w:val="24"/>
                <w:szCs w:val="24"/>
              </w:rPr>
              <w:br/>
            </w:r>
            <w:r>
              <w:rPr>
                <w:rFonts w:ascii="宋体" w:eastAsia="宋体" w:hAnsi="宋体" w:hint="eastAsia"/>
                <w:b/>
                <w:bCs/>
                <w:sz w:val="24"/>
                <w:szCs w:val="24"/>
              </w:rPr>
              <w:t>主要内容介绍</w:t>
            </w:r>
          </w:p>
        </w:tc>
        <w:tc>
          <w:tcPr>
            <w:tcW w:w="6361" w:type="dxa"/>
            <w:vAlign w:val="center"/>
          </w:tcPr>
          <w:p w14:paraId="1337B34B" w14:textId="77777777" w:rsidR="00C05979" w:rsidRDefault="00E917D4">
            <w:pPr>
              <w:spacing w:line="276" w:lineRule="auto"/>
              <w:rPr>
                <w:rFonts w:ascii="宋体" w:eastAsia="宋体" w:hAnsi="宋体"/>
                <w:b/>
                <w:bCs/>
                <w:sz w:val="24"/>
                <w:szCs w:val="24"/>
                <w:u w:val="single"/>
              </w:rPr>
            </w:pPr>
            <w:r>
              <w:rPr>
                <w:rFonts w:ascii="宋体" w:eastAsia="宋体" w:hAnsi="宋体"/>
                <w:b/>
                <w:bCs/>
                <w:sz w:val="24"/>
                <w:szCs w:val="24"/>
                <w:u w:val="single"/>
              </w:rPr>
              <w:t>会议主题</w:t>
            </w:r>
          </w:p>
          <w:p w14:paraId="58FAFB46" w14:textId="77777777" w:rsidR="00C05979" w:rsidRDefault="00E917D4">
            <w:pPr>
              <w:spacing w:line="276" w:lineRule="auto"/>
              <w:rPr>
                <w:rFonts w:ascii="宋体" w:eastAsia="宋体" w:hAnsi="宋体"/>
                <w:bCs/>
                <w:sz w:val="24"/>
                <w:szCs w:val="24"/>
              </w:rPr>
            </w:pPr>
            <w:r>
              <w:rPr>
                <w:rFonts w:ascii="宋体" w:eastAsia="宋体" w:hAnsi="宋体"/>
                <w:bCs/>
                <w:sz w:val="24"/>
                <w:szCs w:val="24"/>
              </w:rPr>
              <w:t>2024年年报暨2025年一季报业绩交流电话会</w:t>
            </w:r>
          </w:p>
          <w:p w14:paraId="0BE3ECEE" w14:textId="77777777" w:rsidR="00C05979" w:rsidRDefault="00C05979">
            <w:pPr>
              <w:spacing w:line="276" w:lineRule="auto"/>
              <w:rPr>
                <w:rFonts w:ascii="宋体" w:eastAsia="宋体" w:hAnsi="宋体"/>
                <w:bCs/>
                <w:sz w:val="24"/>
                <w:szCs w:val="24"/>
              </w:rPr>
            </w:pPr>
          </w:p>
          <w:p w14:paraId="0E9D4B52" w14:textId="77777777" w:rsidR="00C05979" w:rsidRDefault="00E917D4">
            <w:pPr>
              <w:spacing w:line="276" w:lineRule="auto"/>
              <w:rPr>
                <w:rFonts w:ascii="宋体" w:eastAsia="宋体" w:hAnsi="宋体"/>
                <w:b/>
                <w:sz w:val="24"/>
                <w:szCs w:val="24"/>
              </w:rPr>
            </w:pPr>
            <w:r>
              <w:rPr>
                <w:rFonts w:ascii="宋体" w:eastAsia="宋体" w:hAnsi="宋体" w:hint="eastAsia"/>
                <w:b/>
                <w:sz w:val="24"/>
                <w:szCs w:val="24"/>
              </w:rPr>
              <w:t>Q：2024 年公司整体业绩情况如何？</w:t>
            </w:r>
          </w:p>
          <w:p w14:paraId="6A89F80F" w14:textId="77777777" w:rsidR="00C05979" w:rsidRDefault="00E917D4">
            <w:pPr>
              <w:spacing w:line="276" w:lineRule="auto"/>
              <w:rPr>
                <w:rFonts w:ascii="宋体" w:eastAsia="宋体" w:hAnsi="宋体"/>
                <w:bCs/>
                <w:sz w:val="24"/>
                <w:szCs w:val="24"/>
              </w:rPr>
            </w:pPr>
            <w:r>
              <w:rPr>
                <w:rFonts w:ascii="宋体" w:eastAsia="宋体" w:hAnsi="宋体" w:hint="eastAsia"/>
                <w:bCs/>
                <w:sz w:val="24"/>
                <w:szCs w:val="24"/>
              </w:rPr>
              <w:t>A：2024年乐惠国际营业收入达14.9亿元，同比下降9.77%。归母净利润2110万元，同比增长7.16%。2024年年经营性现金流达3.34亿，较2023年增长达 5,321.62%。</w:t>
            </w:r>
          </w:p>
          <w:p w14:paraId="06BCD760" w14:textId="501D1832" w:rsidR="00C05979" w:rsidRDefault="00E917D4">
            <w:pPr>
              <w:spacing w:line="276" w:lineRule="auto"/>
              <w:rPr>
                <w:rFonts w:ascii="宋体" w:eastAsia="宋体" w:hAnsi="宋体"/>
                <w:bCs/>
                <w:sz w:val="24"/>
                <w:szCs w:val="24"/>
              </w:rPr>
            </w:pPr>
            <w:r>
              <w:rPr>
                <w:rFonts w:ascii="宋体" w:eastAsia="宋体" w:hAnsi="宋体" w:hint="eastAsia"/>
                <w:bCs/>
                <w:sz w:val="24"/>
                <w:szCs w:val="24"/>
              </w:rPr>
              <w:t>公司装备板块业绩稳定，保持</w:t>
            </w:r>
            <w:r w:rsidR="003C2AD2" w:rsidRPr="003C2AD2">
              <w:rPr>
                <w:rFonts w:ascii="宋体" w:eastAsia="宋体" w:hAnsi="宋体"/>
                <w:bCs/>
                <w:sz w:val="24"/>
                <w:szCs w:val="24"/>
              </w:rPr>
              <w:t>9,637.88</w:t>
            </w:r>
            <w:r>
              <w:rPr>
                <w:rFonts w:ascii="宋体" w:eastAsia="宋体" w:hAnsi="宋体" w:hint="eastAsia"/>
                <w:bCs/>
                <w:sz w:val="24"/>
                <w:szCs w:val="24"/>
              </w:rPr>
              <w:t>万</w:t>
            </w:r>
            <w:r w:rsidR="003C2AD2">
              <w:rPr>
                <w:rFonts w:ascii="宋体" w:eastAsia="宋体" w:hAnsi="宋体" w:hint="eastAsia"/>
                <w:bCs/>
                <w:sz w:val="24"/>
                <w:szCs w:val="24"/>
              </w:rPr>
              <w:t>元</w:t>
            </w:r>
            <w:r>
              <w:rPr>
                <w:rFonts w:ascii="宋体" w:eastAsia="宋体" w:hAnsi="宋体" w:hint="eastAsia"/>
                <w:bCs/>
                <w:sz w:val="24"/>
                <w:szCs w:val="24"/>
              </w:rPr>
              <w:t xml:space="preserve">利润且每年稳定增长；鲜啤板块因工厂、渠道和市场等投入，2024 年度亏损 </w:t>
            </w:r>
            <w:r w:rsidRPr="00E917D4">
              <w:rPr>
                <w:rFonts w:ascii="宋体" w:eastAsia="宋体" w:hAnsi="宋体"/>
                <w:bCs/>
                <w:sz w:val="24"/>
                <w:szCs w:val="24"/>
              </w:rPr>
              <w:t>7,527.88万元</w:t>
            </w:r>
            <w:r>
              <w:rPr>
                <w:rFonts w:ascii="宋体" w:eastAsia="宋体" w:hAnsi="宋体" w:hint="eastAsia"/>
                <w:bCs/>
                <w:sz w:val="24"/>
                <w:szCs w:val="24"/>
              </w:rPr>
              <w:t>。鲜啤的销售增长3</w:t>
            </w:r>
            <w:r>
              <w:rPr>
                <w:rFonts w:ascii="宋体" w:eastAsia="宋体" w:hAnsi="宋体"/>
                <w:bCs/>
                <w:sz w:val="24"/>
                <w:szCs w:val="24"/>
              </w:rPr>
              <w:t>3.36</w:t>
            </w:r>
            <w:r>
              <w:rPr>
                <w:rFonts w:ascii="宋体" w:eastAsia="宋体" w:hAnsi="宋体" w:hint="eastAsia"/>
                <w:bCs/>
                <w:sz w:val="24"/>
                <w:szCs w:val="24"/>
              </w:rPr>
              <w:t>%，符合预期。</w:t>
            </w:r>
          </w:p>
          <w:p w14:paraId="5AD53129" w14:textId="0736206B" w:rsidR="00C05979" w:rsidRDefault="00E917D4">
            <w:pPr>
              <w:pStyle w:val="p1"/>
              <w:rPr>
                <w:rFonts w:ascii="宋体" w:hAnsi="宋体"/>
                <w:bCs/>
                <w:sz w:val="24"/>
                <w:szCs w:val="24"/>
              </w:rPr>
            </w:pPr>
            <w:r>
              <w:rPr>
                <w:rFonts w:ascii="宋体" w:hAnsi="宋体" w:hint="eastAsia"/>
                <w:bCs/>
                <w:sz w:val="24"/>
                <w:szCs w:val="24"/>
              </w:rPr>
              <w:t>公司2025年第一季度收入总额达2.06亿元，净利润893.</w:t>
            </w:r>
            <w:r>
              <w:rPr>
                <w:rFonts w:ascii="宋体" w:hAnsi="宋体"/>
                <w:bCs/>
                <w:sz w:val="24"/>
                <w:szCs w:val="24"/>
              </w:rPr>
              <w:t>83</w:t>
            </w:r>
            <w:r>
              <w:rPr>
                <w:rFonts w:ascii="宋体" w:hAnsi="宋体" w:hint="eastAsia"/>
                <w:bCs/>
                <w:sz w:val="24"/>
                <w:szCs w:val="24"/>
              </w:rPr>
              <w:t>万元，较2023年同期提升160</w:t>
            </w:r>
            <w:r>
              <w:rPr>
                <w:rFonts w:ascii="宋体" w:hAnsi="宋体"/>
                <w:bCs/>
                <w:sz w:val="24"/>
                <w:szCs w:val="24"/>
              </w:rPr>
              <w:t>.61</w:t>
            </w:r>
            <w:r>
              <w:rPr>
                <w:rFonts w:ascii="宋体" w:hAnsi="宋体" w:hint="eastAsia"/>
                <w:bCs/>
                <w:sz w:val="24"/>
                <w:szCs w:val="24"/>
              </w:rPr>
              <w:t>%。扣非利润400.</w:t>
            </w:r>
            <w:r>
              <w:rPr>
                <w:rFonts w:ascii="宋体" w:hAnsi="宋体"/>
                <w:bCs/>
                <w:sz w:val="24"/>
                <w:szCs w:val="24"/>
              </w:rPr>
              <w:t>49</w:t>
            </w:r>
            <w:r>
              <w:rPr>
                <w:rFonts w:ascii="宋体" w:hAnsi="宋体" w:hint="eastAsia"/>
                <w:bCs/>
                <w:sz w:val="24"/>
                <w:szCs w:val="24"/>
              </w:rPr>
              <w:t>万元，较去年同期提升185</w:t>
            </w:r>
            <w:r>
              <w:rPr>
                <w:rFonts w:ascii="宋体" w:hAnsi="宋体"/>
                <w:bCs/>
                <w:sz w:val="24"/>
                <w:szCs w:val="24"/>
              </w:rPr>
              <w:t>.73</w:t>
            </w:r>
            <w:r>
              <w:rPr>
                <w:rFonts w:ascii="宋体" w:hAnsi="宋体" w:hint="eastAsia"/>
                <w:bCs/>
                <w:sz w:val="24"/>
                <w:szCs w:val="24"/>
              </w:rPr>
              <w:t>%。同时2025年第一季度我们同样保持了优秀的经营性现金流，达1.75亿元，</w:t>
            </w:r>
            <w:r>
              <w:rPr>
                <w:rFonts w:ascii="宋体" w:hAnsi="宋体" w:hint="eastAsia"/>
                <w:bCs/>
                <w:sz w:val="24"/>
                <w:szCs w:val="24"/>
              </w:rPr>
              <w:lastRenderedPageBreak/>
              <w:t>较去年同期增长2494.67%。一季度鲜啤板块EBITDA实现盈利202.02万元。</w:t>
            </w:r>
          </w:p>
          <w:p w14:paraId="7722AECA" w14:textId="77777777" w:rsidR="00C05979" w:rsidRDefault="00C05979">
            <w:pPr>
              <w:spacing w:line="276" w:lineRule="auto"/>
              <w:rPr>
                <w:rFonts w:ascii="宋体" w:eastAsia="宋体" w:hAnsi="宋体"/>
                <w:bCs/>
                <w:sz w:val="24"/>
                <w:szCs w:val="24"/>
              </w:rPr>
            </w:pPr>
          </w:p>
          <w:p w14:paraId="5DAC8886" w14:textId="77777777" w:rsidR="00C05979" w:rsidRDefault="00E917D4">
            <w:pPr>
              <w:spacing w:line="276" w:lineRule="auto"/>
              <w:rPr>
                <w:rFonts w:ascii="宋体" w:eastAsia="宋体" w:hAnsi="宋体"/>
                <w:b/>
                <w:sz w:val="24"/>
                <w:szCs w:val="24"/>
              </w:rPr>
            </w:pPr>
            <w:r>
              <w:rPr>
                <w:rFonts w:ascii="宋体" w:eastAsia="宋体" w:hAnsi="宋体" w:hint="eastAsia"/>
                <w:b/>
                <w:sz w:val="24"/>
                <w:szCs w:val="24"/>
              </w:rPr>
              <w:t>Q：2024 年鲜啤板块亏损原因及应对措施？</w:t>
            </w:r>
          </w:p>
          <w:p w14:paraId="1F0A9F69" w14:textId="42864BB7" w:rsidR="00C05979" w:rsidRDefault="00E917D4">
            <w:pPr>
              <w:spacing w:line="276" w:lineRule="auto"/>
              <w:rPr>
                <w:rFonts w:ascii="宋体" w:eastAsia="宋体" w:hAnsi="宋体"/>
                <w:bCs/>
                <w:sz w:val="24"/>
                <w:szCs w:val="24"/>
              </w:rPr>
            </w:pPr>
            <w:r>
              <w:rPr>
                <w:rFonts w:ascii="宋体" w:eastAsia="宋体" w:hAnsi="宋体" w:hint="eastAsia"/>
                <w:bCs/>
                <w:sz w:val="24"/>
                <w:szCs w:val="24"/>
              </w:rPr>
              <w:t>A：亏损原因包括新建设工厂的固定资产折旧、直营店装修及人员费用等投入大，酒馆建设投入多，资产摊销折旧占比较重。2024 年就已把酒馆转为加盟模式减少投入；同时随着鲜啤销量的增长，预计2</w:t>
            </w:r>
            <w:r w:rsidR="00CC1780">
              <w:rPr>
                <w:rFonts w:ascii="宋体" w:eastAsia="宋体" w:hAnsi="宋体"/>
                <w:bCs/>
                <w:sz w:val="24"/>
                <w:szCs w:val="24"/>
              </w:rPr>
              <w:t>025</w:t>
            </w:r>
            <w:r>
              <w:rPr>
                <w:rFonts w:ascii="宋体" w:eastAsia="宋体" w:hAnsi="宋体" w:hint="eastAsia"/>
                <w:bCs/>
                <w:sz w:val="24"/>
                <w:szCs w:val="24"/>
              </w:rPr>
              <w:t>年会跨过盈亏平衡，争取鲜啤业务实现盈利我们的策略还是双聚焦策略，坚持聚焦即饮渠道，坚持聚焦酒厂城市所在地的核心市场。</w:t>
            </w:r>
          </w:p>
          <w:p w14:paraId="54ECCB0D" w14:textId="77777777" w:rsidR="00C05979" w:rsidRDefault="00C05979">
            <w:pPr>
              <w:spacing w:line="276" w:lineRule="auto"/>
              <w:rPr>
                <w:rFonts w:ascii="宋体" w:eastAsia="宋体" w:hAnsi="宋体"/>
                <w:bCs/>
                <w:sz w:val="24"/>
                <w:szCs w:val="24"/>
              </w:rPr>
            </w:pPr>
          </w:p>
          <w:p w14:paraId="774E2CCB" w14:textId="77777777" w:rsidR="00C05979" w:rsidRDefault="00E917D4">
            <w:pPr>
              <w:spacing w:line="276" w:lineRule="auto"/>
              <w:rPr>
                <w:rFonts w:ascii="宋体" w:eastAsia="宋体" w:hAnsi="宋体"/>
                <w:b/>
                <w:sz w:val="24"/>
                <w:szCs w:val="24"/>
              </w:rPr>
            </w:pPr>
            <w:r>
              <w:rPr>
                <w:rFonts w:ascii="宋体" w:eastAsia="宋体" w:hAnsi="宋体" w:hint="eastAsia"/>
                <w:b/>
                <w:sz w:val="24"/>
                <w:szCs w:val="24"/>
              </w:rPr>
              <w:t>Q：2025年是否有新的鲜啤营销策略？</w:t>
            </w:r>
          </w:p>
          <w:p w14:paraId="1B7AEB3A" w14:textId="0494C678" w:rsidR="00C05979" w:rsidRDefault="0057104D">
            <w:pPr>
              <w:spacing w:line="276" w:lineRule="auto"/>
              <w:rPr>
                <w:rFonts w:ascii="宋体" w:eastAsia="宋体" w:hAnsi="宋体"/>
                <w:bCs/>
                <w:sz w:val="24"/>
                <w:szCs w:val="24"/>
              </w:rPr>
            </w:pPr>
            <w:r>
              <w:rPr>
                <w:rFonts w:ascii="宋体" w:eastAsia="宋体" w:hAnsi="宋体"/>
                <w:bCs/>
                <w:sz w:val="24"/>
                <w:szCs w:val="24"/>
              </w:rPr>
              <w:t>A:</w:t>
            </w:r>
            <w:r w:rsidR="00E917D4">
              <w:rPr>
                <w:rFonts w:ascii="宋体" w:eastAsia="宋体" w:hAnsi="宋体" w:hint="eastAsia"/>
                <w:bCs/>
                <w:sz w:val="24"/>
                <w:szCs w:val="24"/>
              </w:rPr>
              <w:t>鲜啤</w:t>
            </w:r>
            <w:bookmarkStart w:id="0" w:name="_GoBack"/>
            <w:bookmarkEnd w:id="0"/>
            <w:r w:rsidR="00E917D4">
              <w:rPr>
                <w:rFonts w:ascii="宋体" w:eastAsia="宋体" w:hAnsi="宋体" w:hint="eastAsia"/>
                <w:bCs/>
                <w:sz w:val="24"/>
                <w:szCs w:val="24"/>
              </w:rPr>
              <w:t>30公里是中国啤酒行业精酿鲜啤细分品类的开创者，在我们的引领下，鲜啤已经成为国内啤酒的新发展趋势。目前国内的扎啤市场渗透率远不及欧美日韩，我们判断未来国内扎啤市场会有一个明显的增长势头。</w:t>
            </w:r>
          </w:p>
          <w:p w14:paraId="365F78C7" w14:textId="77777777" w:rsidR="00C05979" w:rsidRDefault="00C05979">
            <w:pPr>
              <w:spacing w:line="276" w:lineRule="auto"/>
              <w:rPr>
                <w:rFonts w:ascii="宋体" w:eastAsia="宋体" w:hAnsi="宋体"/>
                <w:bCs/>
                <w:sz w:val="24"/>
                <w:szCs w:val="24"/>
              </w:rPr>
            </w:pPr>
          </w:p>
          <w:p w14:paraId="5A9CEBDB" w14:textId="77777777" w:rsidR="00C05979" w:rsidRDefault="00E917D4">
            <w:pPr>
              <w:spacing w:line="276" w:lineRule="auto"/>
              <w:rPr>
                <w:rFonts w:ascii="宋体" w:eastAsia="宋体" w:hAnsi="宋体"/>
                <w:b/>
                <w:sz w:val="24"/>
                <w:szCs w:val="24"/>
              </w:rPr>
            </w:pPr>
            <w:r>
              <w:rPr>
                <w:rFonts w:ascii="宋体" w:eastAsia="宋体" w:hAnsi="宋体" w:hint="eastAsia"/>
                <w:b/>
                <w:sz w:val="24"/>
                <w:szCs w:val="24"/>
              </w:rPr>
              <w:t>Q：公司现金流好的原因？</w:t>
            </w:r>
          </w:p>
          <w:p w14:paraId="692FB238" w14:textId="77777777" w:rsidR="00C05979" w:rsidRDefault="00E917D4">
            <w:pPr>
              <w:spacing w:line="276" w:lineRule="auto"/>
              <w:rPr>
                <w:rFonts w:ascii="宋体" w:eastAsia="宋体" w:hAnsi="宋体"/>
                <w:bCs/>
                <w:sz w:val="24"/>
                <w:szCs w:val="24"/>
              </w:rPr>
            </w:pPr>
            <w:r>
              <w:rPr>
                <w:rFonts w:ascii="宋体" w:eastAsia="宋体" w:hAnsi="宋体" w:hint="eastAsia"/>
                <w:bCs/>
                <w:sz w:val="24"/>
                <w:szCs w:val="24"/>
              </w:rPr>
              <w:t>A：注重合同质量，放弃质量不好的合同；设备市场话语权逐步增加，合同条款更加有利；同时应收款安排专人盯管，减少应收未收的情况；管理效率提升，尤其是现金回收层面，经营风险大幅降低。</w:t>
            </w:r>
          </w:p>
          <w:p w14:paraId="5326E38A" w14:textId="77777777" w:rsidR="00C05979" w:rsidRDefault="00C05979">
            <w:pPr>
              <w:spacing w:line="276" w:lineRule="auto"/>
              <w:rPr>
                <w:rFonts w:ascii="宋体" w:eastAsia="宋体" w:hAnsi="宋体"/>
                <w:bCs/>
                <w:sz w:val="24"/>
                <w:szCs w:val="24"/>
              </w:rPr>
            </w:pPr>
          </w:p>
          <w:p w14:paraId="773A5175" w14:textId="77777777" w:rsidR="00C05979" w:rsidRDefault="00E917D4">
            <w:pPr>
              <w:spacing w:line="276" w:lineRule="auto"/>
              <w:rPr>
                <w:rFonts w:ascii="宋体" w:eastAsia="宋体" w:hAnsi="宋体"/>
                <w:sz w:val="24"/>
                <w:szCs w:val="28"/>
              </w:rPr>
            </w:pPr>
            <w:r>
              <w:rPr>
                <w:rFonts w:ascii="宋体" w:eastAsia="宋体" w:hAnsi="宋体" w:hint="eastAsia"/>
                <w:b/>
                <w:bCs/>
                <w:sz w:val="24"/>
                <w:szCs w:val="28"/>
              </w:rPr>
              <w:t>Q：昆明、长春工厂建设进展及已建成工厂产能利用情况</w:t>
            </w:r>
            <w:r>
              <w:rPr>
                <w:rFonts w:ascii="宋体" w:eastAsia="宋体" w:hAnsi="宋体" w:hint="eastAsia"/>
                <w:sz w:val="24"/>
                <w:szCs w:val="28"/>
              </w:rPr>
              <w:t>？</w:t>
            </w:r>
          </w:p>
          <w:p w14:paraId="4EBD6EE9" w14:textId="77777777" w:rsidR="00C05979" w:rsidRDefault="00E917D4">
            <w:pPr>
              <w:spacing w:line="276" w:lineRule="auto"/>
              <w:rPr>
                <w:rFonts w:ascii="宋体" w:eastAsia="宋体" w:hAnsi="宋体"/>
                <w:sz w:val="24"/>
                <w:szCs w:val="28"/>
              </w:rPr>
            </w:pPr>
            <w:r>
              <w:rPr>
                <w:rFonts w:ascii="宋体" w:eastAsia="宋体" w:hAnsi="宋体" w:hint="eastAsia"/>
                <w:sz w:val="24"/>
                <w:szCs w:val="28"/>
              </w:rPr>
              <w:t>A：昆明和长春工厂今年启动建设，预计 2026 年建成，2027 年达到预定可使用状态；宁波工厂产能利用率较高，武汉工厂刚建成利用率较低，长沙厂产能约一半；除了通过销售拉动产能，我们还将做一些高端客户的 ODM 产品代工。</w:t>
            </w:r>
          </w:p>
          <w:p w14:paraId="1F05AC64" w14:textId="77777777" w:rsidR="00C05979" w:rsidRDefault="00C05979">
            <w:pPr>
              <w:spacing w:line="276" w:lineRule="auto"/>
              <w:rPr>
                <w:rFonts w:ascii="宋体" w:eastAsia="宋体" w:hAnsi="宋体"/>
                <w:sz w:val="24"/>
                <w:szCs w:val="28"/>
              </w:rPr>
            </w:pPr>
          </w:p>
          <w:p w14:paraId="75833E65" w14:textId="77777777" w:rsidR="00C05979" w:rsidRDefault="00E917D4">
            <w:pPr>
              <w:spacing w:line="276" w:lineRule="auto"/>
              <w:rPr>
                <w:rFonts w:ascii="宋体" w:eastAsia="宋体" w:hAnsi="宋体"/>
                <w:b/>
                <w:bCs/>
                <w:sz w:val="24"/>
                <w:szCs w:val="28"/>
              </w:rPr>
            </w:pPr>
            <w:r>
              <w:rPr>
                <w:rFonts w:ascii="宋体" w:eastAsia="宋体" w:hAnsi="宋体"/>
                <w:b/>
                <w:bCs/>
                <w:sz w:val="24"/>
                <w:szCs w:val="28"/>
              </w:rPr>
              <w:t>Q：公司装备板块海外市场情况？</w:t>
            </w:r>
          </w:p>
          <w:p w14:paraId="56ED6156" w14:textId="77777777" w:rsidR="00C05979" w:rsidRDefault="00E917D4">
            <w:pPr>
              <w:spacing w:line="276" w:lineRule="auto"/>
              <w:rPr>
                <w:rFonts w:ascii="宋体" w:eastAsia="宋体" w:hAnsi="宋体"/>
                <w:sz w:val="24"/>
                <w:szCs w:val="28"/>
              </w:rPr>
            </w:pPr>
            <w:r>
              <w:rPr>
                <w:rFonts w:ascii="宋体" w:eastAsia="宋体" w:hAnsi="宋体"/>
                <w:sz w:val="24"/>
                <w:szCs w:val="28"/>
              </w:rPr>
              <w:t>A：公司装备产品多数销往亚非拉等一带一路国家，美国销售很少；装备业务 98% 订单来自亚非拉、俄罗斯、东南亚等地，出口占比多数年份超 50%。</w:t>
            </w:r>
          </w:p>
          <w:p w14:paraId="6C098146" w14:textId="77777777" w:rsidR="00C05979" w:rsidRDefault="00C05979">
            <w:pPr>
              <w:spacing w:line="276" w:lineRule="auto"/>
              <w:rPr>
                <w:rFonts w:ascii="宋体" w:eastAsia="宋体" w:hAnsi="宋体"/>
                <w:sz w:val="24"/>
                <w:szCs w:val="28"/>
              </w:rPr>
            </w:pPr>
          </w:p>
          <w:p w14:paraId="28EC846C" w14:textId="77777777" w:rsidR="00C05979" w:rsidRDefault="00E917D4">
            <w:pPr>
              <w:spacing w:line="276" w:lineRule="auto"/>
              <w:rPr>
                <w:rFonts w:ascii="宋体" w:eastAsia="宋体" w:hAnsi="宋体"/>
                <w:b/>
                <w:bCs/>
                <w:sz w:val="24"/>
                <w:szCs w:val="28"/>
              </w:rPr>
            </w:pPr>
            <w:r>
              <w:rPr>
                <w:rFonts w:ascii="宋体" w:eastAsia="宋体" w:hAnsi="宋体"/>
                <w:b/>
                <w:bCs/>
                <w:sz w:val="24"/>
                <w:szCs w:val="28"/>
              </w:rPr>
              <w:t>Q：公司</w:t>
            </w:r>
            <w:r>
              <w:rPr>
                <w:rFonts w:ascii="宋体" w:eastAsia="宋体" w:hAnsi="宋体" w:hint="eastAsia"/>
                <w:b/>
                <w:bCs/>
                <w:sz w:val="24"/>
                <w:szCs w:val="28"/>
              </w:rPr>
              <w:t>包装设备板块的发展情况</w:t>
            </w:r>
          </w:p>
          <w:p w14:paraId="1A6CC3C6" w14:textId="77777777" w:rsidR="00C05979" w:rsidRDefault="00E917D4">
            <w:pPr>
              <w:spacing w:line="276" w:lineRule="auto"/>
              <w:rPr>
                <w:rFonts w:ascii="宋体" w:eastAsia="宋体" w:hAnsi="宋体"/>
                <w:sz w:val="24"/>
                <w:szCs w:val="28"/>
              </w:rPr>
            </w:pPr>
            <w:r>
              <w:rPr>
                <w:rFonts w:ascii="宋体" w:eastAsia="宋体" w:hAnsi="宋体"/>
                <w:sz w:val="24"/>
                <w:szCs w:val="28"/>
              </w:rPr>
              <w:t>A：南京的包装机械板块是厚积薄发的产业，南京保立隆过去几年合计利润8400多万</w:t>
            </w:r>
            <w:r>
              <w:rPr>
                <w:rFonts w:ascii="宋体" w:eastAsia="宋体" w:hAnsi="宋体" w:hint="eastAsia"/>
                <w:sz w:val="24"/>
                <w:szCs w:val="28"/>
              </w:rPr>
              <w:t>，这几年已经积累了许多优质客户</w:t>
            </w:r>
            <w:r>
              <w:rPr>
                <w:rFonts w:ascii="宋体" w:eastAsia="宋体" w:hAnsi="宋体"/>
                <w:sz w:val="24"/>
                <w:szCs w:val="28"/>
              </w:rPr>
              <w:t>。</w:t>
            </w:r>
            <w:r>
              <w:rPr>
                <w:rFonts w:ascii="宋体" w:eastAsia="宋体" w:hAnsi="宋体" w:hint="eastAsia"/>
                <w:sz w:val="24"/>
                <w:szCs w:val="28"/>
              </w:rPr>
              <w:t>包装设备的产能提升是需要持续投入的，在过去几年我们已经添加大量的加工母机，不断迭代生产技术和提高产</w:t>
            </w:r>
            <w:r>
              <w:rPr>
                <w:rFonts w:ascii="宋体" w:eastAsia="宋体" w:hAnsi="宋体" w:hint="eastAsia"/>
                <w:sz w:val="24"/>
                <w:szCs w:val="28"/>
              </w:rPr>
              <w:lastRenderedPageBreak/>
              <w:t>能。目前，乐惠国际的包装业务订单饱满。</w:t>
            </w:r>
          </w:p>
          <w:p w14:paraId="2B441EB6" w14:textId="77777777" w:rsidR="00C05979" w:rsidRDefault="00C05979">
            <w:pPr>
              <w:spacing w:line="276" w:lineRule="auto"/>
              <w:rPr>
                <w:rFonts w:ascii="宋体" w:eastAsia="宋体" w:hAnsi="宋体"/>
                <w:sz w:val="24"/>
                <w:szCs w:val="28"/>
              </w:rPr>
            </w:pPr>
          </w:p>
          <w:p w14:paraId="5C2BE17D" w14:textId="77777777" w:rsidR="00C05979" w:rsidRDefault="00C05979">
            <w:pPr>
              <w:spacing w:line="276" w:lineRule="auto"/>
              <w:rPr>
                <w:rFonts w:ascii="宋体" w:eastAsia="宋体" w:hAnsi="宋体"/>
              </w:rPr>
            </w:pPr>
          </w:p>
        </w:tc>
      </w:tr>
      <w:tr w:rsidR="00C05979" w14:paraId="04B733DD" w14:textId="77777777">
        <w:trPr>
          <w:trHeight w:val="625"/>
        </w:trPr>
        <w:tc>
          <w:tcPr>
            <w:tcW w:w="2263" w:type="dxa"/>
            <w:vAlign w:val="center"/>
          </w:tcPr>
          <w:p w14:paraId="2BFE64D2" w14:textId="77777777" w:rsidR="00C05979" w:rsidRDefault="00E917D4">
            <w:pPr>
              <w:jc w:val="center"/>
              <w:rPr>
                <w:rFonts w:ascii="宋体" w:eastAsia="宋体" w:hAnsi="宋体"/>
                <w:b/>
                <w:bCs/>
                <w:sz w:val="24"/>
                <w:szCs w:val="24"/>
              </w:rPr>
            </w:pPr>
            <w:r>
              <w:rPr>
                <w:rFonts w:ascii="宋体" w:eastAsia="宋体" w:hAnsi="宋体" w:hint="eastAsia"/>
                <w:b/>
                <w:bCs/>
                <w:sz w:val="24"/>
                <w:szCs w:val="24"/>
              </w:rPr>
              <w:lastRenderedPageBreak/>
              <w:t>附件清单（如有）</w:t>
            </w:r>
          </w:p>
        </w:tc>
        <w:tc>
          <w:tcPr>
            <w:tcW w:w="6361" w:type="dxa"/>
            <w:vAlign w:val="center"/>
          </w:tcPr>
          <w:p w14:paraId="596EA4DA" w14:textId="77777777" w:rsidR="00C05979" w:rsidRDefault="00C05979">
            <w:pPr>
              <w:ind w:firstLineChars="300" w:firstLine="720"/>
              <w:rPr>
                <w:rFonts w:ascii="Segoe UI Symbol" w:eastAsia="宋体" w:hAnsi="Segoe UI Symbol" w:cs="Segoe UI Symbol"/>
                <w:sz w:val="24"/>
                <w:szCs w:val="24"/>
              </w:rPr>
            </w:pPr>
          </w:p>
        </w:tc>
      </w:tr>
    </w:tbl>
    <w:p w14:paraId="034D51A6" w14:textId="77777777" w:rsidR="00C05979" w:rsidRDefault="00C05979">
      <w:pPr>
        <w:rPr>
          <w:rFonts w:ascii="宋体" w:eastAsia="宋体" w:hAnsi="宋体"/>
          <w:b/>
          <w:bCs/>
          <w:szCs w:val="21"/>
        </w:rPr>
      </w:pPr>
    </w:p>
    <w:p w14:paraId="4841EECC" w14:textId="77777777" w:rsidR="00C05979" w:rsidRDefault="00E917D4">
      <w:pPr>
        <w:ind w:firstLineChars="200" w:firstLine="422"/>
        <w:rPr>
          <w:rFonts w:ascii="宋体" w:eastAsia="宋体" w:hAnsi="宋体"/>
          <w:szCs w:val="21"/>
        </w:rPr>
      </w:pPr>
      <w:bookmarkStart w:id="1" w:name="_Hlk113614570"/>
      <w:r>
        <w:rPr>
          <w:rFonts w:ascii="宋体" w:eastAsia="宋体" w:hAnsi="宋体" w:hint="eastAsia"/>
          <w:b/>
          <w:bCs/>
          <w:szCs w:val="21"/>
        </w:rPr>
        <w:t>风险提示：</w:t>
      </w:r>
      <w:r>
        <w:rPr>
          <w:rFonts w:ascii="宋体" w:eastAsia="宋体" w:hAnsi="宋体" w:hint="eastAsia"/>
          <w:szCs w:val="21"/>
        </w:rPr>
        <w:t>上述内容涉及公司对业务规划、财务状况、发展战略等前瞻性陈述。相关陈述是基于当前能够掌握的信息与数据对未来所做出的估计或预测，不构成公司对公司发展或未来业绩的实质性承诺，敬请投资者注意投资风险。</w:t>
      </w:r>
      <w:bookmarkEnd w:id="1"/>
    </w:p>
    <w:sectPr w:rsidR="00C05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ppleSystemUIFont">
    <w:altName w:val="Cambria"/>
    <w:charset w:val="00"/>
    <w:family w:val="roman"/>
    <w:pitch w:val="default"/>
  </w:font>
  <w:font w:name="UICTFontTextStyleBody">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mI1OTI4M2ZmZGQ2MDVjZTE2OWQ2OTEyY2ZjZDEifQ=="/>
  </w:docVars>
  <w:rsids>
    <w:rsidRoot w:val="00196936"/>
    <w:rsid w:val="00031622"/>
    <w:rsid w:val="000635C2"/>
    <w:rsid w:val="0007202F"/>
    <w:rsid w:val="00097A20"/>
    <w:rsid w:val="000F4756"/>
    <w:rsid w:val="0012591A"/>
    <w:rsid w:val="00196936"/>
    <w:rsid w:val="001B0723"/>
    <w:rsid w:val="001D0B79"/>
    <w:rsid w:val="001D4A58"/>
    <w:rsid w:val="00226EC1"/>
    <w:rsid w:val="002428E2"/>
    <w:rsid w:val="002745E9"/>
    <w:rsid w:val="00276626"/>
    <w:rsid w:val="002C6500"/>
    <w:rsid w:val="002E0608"/>
    <w:rsid w:val="002F2D41"/>
    <w:rsid w:val="0033143E"/>
    <w:rsid w:val="0035661D"/>
    <w:rsid w:val="00396A2A"/>
    <w:rsid w:val="003C2AD2"/>
    <w:rsid w:val="004317DB"/>
    <w:rsid w:val="0045081E"/>
    <w:rsid w:val="00455C94"/>
    <w:rsid w:val="00496E52"/>
    <w:rsid w:val="004F5B50"/>
    <w:rsid w:val="005406EB"/>
    <w:rsid w:val="0057104D"/>
    <w:rsid w:val="005C6BAC"/>
    <w:rsid w:val="005C74F7"/>
    <w:rsid w:val="00611E5E"/>
    <w:rsid w:val="00662945"/>
    <w:rsid w:val="00676501"/>
    <w:rsid w:val="00690447"/>
    <w:rsid w:val="00691553"/>
    <w:rsid w:val="006C6D34"/>
    <w:rsid w:val="007126BE"/>
    <w:rsid w:val="0072676E"/>
    <w:rsid w:val="00751FE3"/>
    <w:rsid w:val="00791559"/>
    <w:rsid w:val="007E0F59"/>
    <w:rsid w:val="008755EB"/>
    <w:rsid w:val="008D18B4"/>
    <w:rsid w:val="008D51AB"/>
    <w:rsid w:val="008E1C9C"/>
    <w:rsid w:val="008E694A"/>
    <w:rsid w:val="00914991"/>
    <w:rsid w:val="00921FC3"/>
    <w:rsid w:val="00942E51"/>
    <w:rsid w:val="00984E10"/>
    <w:rsid w:val="00992288"/>
    <w:rsid w:val="009B7180"/>
    <w:rsid w:val="009D1523"/>
    <w:rsid w:val="009E6D9E"/>
    <w:rsid w:val="00A22061"/>
    <w:rsid w:val="00A3726E"/>
    <w:rsid w:val="00A56162"/>
    <w:rsid w:val="00AB054A"/>
    <w:rsid w:val="00AC304D"/>
    <w:rsid w:val="00AE4CB0"/>
    <w:rsid w:val="00B2139C"/>
    <w:rsid w:val="00BE6792"/>
    <w:rsid w:val="00C05979"/>
    <w:rsid w:val="00C513AD"/>
    <w:rsid w:val="00C531D6"/>
    <w:rsid w:val="00C53E95"/>
    <w:rsid w:val="00C8538F"/>
    <w:rsid w:val="00CC1780"/>
    <w:rsid w:val="00CD024A"/>
    <w:rsid w:val="00CD7BAE"/>
    <w:rsid w:val="00D30C01"/>
    <w:rsid w:val="00D3193F"/>
    <w:rsid w:val="00D72168"/>
    <w:rsid w:val="00DA3E52"/>
    <w:rsid w:val="00DD481A"/>
    <w:rsid w:val="00E1649F"/>
    <w:rsid w:val="00E25B69"/>
    <w:rsid w:val="00E30EEA"/>
    <w:rsid w:val="00E31B8C"/>
    <w:rsid w:val="00E917D4"/>
    <w:rsid w:val="00E932C0"/>
    <w:rsid w:val="00EB79F2"/>
    <w:rsid w:val="00EC22F1"/>
    <w:rsid w:val="00ED29C5"/>
    <w:rsid w:val="00EE667A"/>
    <w:rsid w:val="00EF0BE8"/>
    <w:rsid w:val="00EF79AC"/>
    <w:rsid w:val="00F313A9"/>
    <w:rsid w:val="00F41958"/>
    <w:rsid w:val="00F8226F"/>
    <w:rsid w:val="00F83BFF"/>
    <w:rsid w:val="00FD33BB"/>
    <w:rsid w:val="00FD4469"/>
    <w:rsid w:val="00FE52D8"/>
    <w:rsid w:val="05F11A75"/>
    <w:rsid w:val="07E070E7"/>
    <w:rsid w:val="1EA75ED9"/>
    <w:rsid w:val="3284056D"/>
    <w:rsid w:val="34253C86"/>
    <w:rsid w:val="37BA42ED"/>
    <w:rsid w:val="3FB7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A86D2"/>
  <w15:docId w15:val="{99BCDEB6-8068-4A2D-9F2A-D7C35C1B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p1">
    <w:name w:val="p1"/>
    <w:basedOn w:val="a"/>
    <w:qFormat/>
    <w:pPr>
      <w:widowControl/>
      <w:jc w:val="left"/>
    </w:pPr>
    <w:rPr>
      <w:rFonts w:ascii=".AppleSystemUIFont" w:eastAsia="宋体" w:hAnsi=".AppleSystemUIFont" w:cs="宋体"/>
      <w:kern w:val="0"/>
      <w:sz w:val="29"/>
      <w:szCs w:val="29"/>
    </w:rPr>
  </w:style>
  <w:style w:type="character" w:customStyle="1" w:styleId="s1">
    <w:name w:val="s1"/>
    <w:basedOn w:val="a0"/>
    <w:qFormat/>
    <w:rPr>
      <w:rFonts w:ascii="UICTFontTextStyleBody" w:hAnsi="UICTFontTextStyleBody" w:hint="default"/>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李桑袅</dc:creator>
  <cp:lastModifiedBy>李桑袅</cp:lastModifiedBy>
  <cp:revision>8</cp:revision>
  <dcterms:created xsi:type="dcterms:W3CDTF">2025-04-29T07:31:00Z</dcterms:created>
  <dcterms:modified xsi:type="dcterms:W3CDTF">2025-04-29T08:08:00Z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_Revisions_Count">
    <vt:lpwstr>0</vt:lpwstr>
  </property>
  <property fmtid="{D5CDD505-2E9C-101B-9397-08002B2CF9AE}" pid="3" name="BD_IsTrackRevisions">
    <vt:lpwstr>0</vt:lpwstr>
  </property>
  <property fmtid="{D5CDD505-2E9C-101B-9397-08002B2CF9AE}" pid="4" name="BD_Word_FileSize">
    <vt:lpwstr>20667</vt:lpwstr>
  </property>
  <property fmtid="{D5CDD505-2E9C-101B-9397-08002B2CF9AE}" pid="5" name="BD_Report_Pages">
    <vt:lpwstr>3</vt:lpwstr>
  </property>
  <property fmtid="{D5CDD505-2E9C-101B-9397-08002B2CF9AE}" pid="6" name="BD_Report_Characters">
    <vt:lpwstr>1946</vt:lpwstr>
  </property>
  <property fmtid="{D5CDD505-2E9C-101B-9397-08002B2CF9AE}" pid="7" name="BD_CompareCompanyModel">
    <vt:lpwstr/>
  </property>
  <property fmtid="{D5CDD505-2E9C-101B-9397-08002B2CF9AE}" pid="8" name="BD_WORD_Version">
    <vt:lpwstr>16.0.10372.20060</vt:lpwstr>
  </property>
  <property fmtid="{D5CDD505-2E9C-101B-9397-08002B2CF9AE}" pid="9" name="BD_Word_Protection_Status">
    <vt:lpwstr>0</vt:lpwstr>
  </property>
  <property fmtid="{D5CDD505-2E9C-101B-9397-08002B2CF9AE}" pid="10" name="BD_Word_Remind_Lock">
    <vt:lpwstr>0</vt:lpwstr>
  </property>
  <property fmtid="{D5CDD505-2E9C-101B-9397-08002B2CF9AE}" pid="11" name="KSOProductBuildVer">
    <vt:lpwstr>2052-12.1.0.20784</vt:lpwstr>
  </property>
  <property fmtid="{D5CDD505-2E9C-101B-9397-08002B2CF9AE}" pid="12" name="ICV">
    <vt:lpwstr>3456E3A8D4F04F10BA9EBA01F7F4C49E_13</vt:lpwstr>
  </property>
  <property fmtid="{D5CDD505-2E9C-101B-9397-08002B2CF9AE}" pid="13" name="KSOTemplateDocerSaveRecord">
    <vt:lpwstr>eyJoZGlkIjoiZTE1ZGE3MjRmZTYzNTIyMjhiZmY5NTM3MzExYjI5YWMiLCJ1c2VySWQiOiI2NzEwNTE2ODcifQ==</vt:lpwstr>
  </property>
</Properties>
</file>