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2A921" w14:textId="77777777" w:rsidR="006A6B6F" w:rsidRDefault="00541F99">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0D0F17F4" w14:textId="77777777" w:rsidR="006A6B6F" w:rsidRDefault="00541F99">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1716B1A0" w14:textId="77777777" w:rsidR="006A6B6F" w:rsidRDefault="00541F99">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6A6B6F" w14:paraId="21EC5854" w14:textId="77777777">
        <w:trPr>
          <w:trHeight w:val="1908"/>
          <w:jc w:val="center"/>
        </w:trPr>
        <w:tc>
          <w:tcPr>
            <w:tcW w:w="1849" w:type="dxa"/>
            <w:vAlign w:val="center"/>
          </w:tcPr>
          <w:p w14:paraId="5CA913A0" w14:textId="77777777" w:rsidR="006A6B6F" w:rsidRDefault="00541F99">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5D62CC6C" w14:textId="77777777" w:rsidR="006A6B6F" w:rsidRDefault="00541F99">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分析师会议</w:t>
            </w:r>
          </w:p>
          <w:p w14:paraId="32492945" w14:textId="77777777" w:rsidR="006A6B6F" w:rsidRDefault="00541F99">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bookmarkStart w:id="2" w:name="OLE_LINK7"/>
            <w:r>
              <w:rPr>
                <w:rFonts w:ascii="宋体" w:eastAsia="宋体" w:hAnsi="宋体" w:cs="Times New Roman" w:hint="eastAsia"/>
                <w:bCs/>
                <w:iCs/>
                <w:color w:val="000000"/>
                <w:sz w:val="24"/>
                <w:szCs w:val="24"/>
              </w:rPr>
              <w:t>■</w:t>
            </w:r>
            <w:bookmarkEnd w:id="2"/>
            <w:r>
              <w:rPr>
                <w:rFonts w:ascii="宋体" w:eastAsia="宋体" w:hAnsi="宋体" w:cs="Times New Roman" w:hint="eastAsia"/>
                <w:color w:val="000000"/>
                <w:sz w:val="24"/>
                <w:szCs w:val="24"/>
              </w:rPr>
              <w:t>业绩交流会</w:t>
            </w:r>
          </w:p>
          <w:p w14:paraId="3BC11455" w14:textId="77777777" w:rsidR="006A6B6F" w:rsidRDefault="00541F99">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7935D9AA" w14:textId="77777777" w:rsidR="006A6B6F" w:rsidRDefault="00541F99">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6A6B6F" w14:paraId="56801FC0" w14:textId="77777777">
        <w:trPr>
          <w:trHeight w:val="404"/>
          <w:jc w:val="center"/>
        </w:trPr>
        <w:tc>
          <w:tcPr>
            <w:tcW w:w="1849" w:type="dxa"/>
            <w:vAlign w:val="center"/>
          </w:tcPr>
          <w:p w14:paraId="030554E1" w14:textId="77777777" w:rsidR="006A6B6F" w:rsidRDefault="00541F99">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7E95DE5A" w14:textId="77777777" w:rsidR="006A6B6F" w:rsidRDefault="00541F99">
            <w:pPr>
              <w:adjustRightInd w:val="0"/>
              <w:snapToGrid w:val="0"/>
              <w:rPr>
                <w:rFonts w:ascii="Times New Roman" w:eastAsia="宋体" w:hAnsi="Times New Roman" w:cs="Times New Roman"/>
                <w:sz w:val="24"/>
                <w:szCs w:val="24"/>
              </w:rPr>
            </w:pPr>
            <w:r w:rsidRPr="0043311B">
              <w:rPr>
                <w:rFonts w:ascii="Times New Roman" w:eastAsia="宋体" w:hAnsi="Times New Roman" w:cs="Times New Roman" w:hint="eastAsia"/>
                <w:sz w:val="24"/>
                <w:szCs w:val="24"/>
              </w:rPr>
              <w:t>见附件</w:t>
            </w:r>
          </w:p>
        </w:tc>
      </w:tr>
      <w:tr w:rsidR="006A6B6F" w14:paraId="616F6E02" w14:textId="77777777">
        <w:trPr>
          <w:trHeight w:val="412"/>
          <w:jc w:val="center"/>
        </w:trPr>
        <w:tc>
          <w:tcPr>
            <w:tcW w:w="1849" w:type="dxa"/>
            <w:vAlign w:val="center"/>
          </w:tcPr>
          <w:p w14:paraId="0C4EFFAA" w14:textId="77777777" w:rsidR="006A6B6F" w:rsidRDefault="00541F99">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4DB2DA59" w14:textId="77777777" w:rsidR="006A6B6F" w:rsidRDefault="00541F99">
            <w:pPr>
              <w:adjustRightInd w:val="0"/>
              <w:snapToGrid w:val="0"/>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Pr>
                <w:rFonts w:ascii="宋体" w:eastAsia="宋体" w:hAnsi="宋体" w:cs="Times New Roman"/>
                <w:bCs/>
                <w:iCs/>
                <w:color w:val="000000"/>
                <w:sz w:val="24"/>
                <w:szCs w:val="24"/>
              </w:rPr>
              <w:t>4</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29</w:t>
            </w:r>
            <w:r>
              <w:rPr>
                <w:rFonts w:ascii="宋体" w:eastAsia="宋体" w:hAnsi="宋体" w:cs="Times New Roman" w:hint="eastAsia"/>
                <w:bCs/>
                <w:iCs/>
                <w:color w:val="000000"/>
                <w:sz w:val="24"/>
                <w:szCs w:val="24"/>
              </w:rPr>
              <w:t xml:space="preserve">日 </w:t>
            </w:r>
          </w:p>
        </w:tc>
      </w:tr>
      <w:tr w:rsidR="006A6B6F" w14:paraId="456A067F" w14:textId="77777777">
        <w:trPr>
          <w:trHeight w:val="462"/>
          <w:jc w:val="center"/>
        </w:trPr>
        <w:tc>
          <w:tcPr>
            <w:tcW w:w="1849" w:type="dxa"/>
            <w:vAlign w:val="center"/>
          </w:tcPr>
          <w:p w14:paraId="0ADC2F3A" w14:textId="77777777" w:rsidR="006A6B6F" w:rsidRDefault="00541F99">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3C0C7825" w14:textId="77777777" w:rsidR="006A6B6F" w:rsidRDefault="00541F99">
            <w:pPr>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线上会议</w:t>
            </w:r>
          </w:p>
        </w:tc>
      </w:tr>
      <w:tr w:rsidR="006A6B6F" w14:paraId="3721F6F3" w14:textId="77777777">
        <w:trPr>
          <w:jc w:val="center"/>
        </w:trPr>
        <w:tc>
          <w:tcPr>
            <w:tcW w:w="1849" w:type="dxa"/>
            <w:vAlign w:val="center"/>
          </w:tcPr>
          <w:p w14:paraId="0F8814ED" w14:textId="77777777" w:rsidR="006A6B6F" w:rsidRDefault="00541F99">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729772F4" w14:textId="1BFDE4C4" w:rsidR="006A6B6F" w:rsidRDefault="00541F99">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 xml:space="preserve">财务总监 </w:t>
            </w:r>
            <w:proofErr w:type="gramStart"/>
            <w:r>
              <w:rPr>
                <w:rFonts w:ascii="宋体" w:eastAsia="宋体" w:hAnsi="宋体" w:cs="Times New Roman" w:hint="eastAsia"/>
                <w:bCs/>
                <w:iCs/>
                <w:color w:val="000000"/>
                <w:sz w:val="24"/>
                <w:szCs w:val="24"/>
              </w:rPr>
              <w:t>任慧玲</w:t>
            </w:r>
            <w:proofErr w:type="gramEnd"/>
            <w:r w:rsidR="00AD67D5">
              <w:rPr>
                <w:rFonts w:ascii="宋体" w:eastAsia="宋体" w:hAnsi="宋体" w:cs="Times New Roman" w:hint="eastAsia"/>
                <w:bCs/>
                <w:iCs/>
                <w:color w:val="000000"/>
                <w:sz w:val="24"/>
                <w:szCs w:val="24"/>
              </w:rPr>
              <w:t>，</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董事会秘书 刘亚锋，证券事务代表 齐亚娟</w:t>
            </w:r>
          </w:p>
        </w:tc>
      </w:tr>
      <w:tr w:rsidR="006A6B6F" w14:paraId="491A9EFD" w14:textId="77777777">
        <w:trPr>
          <w:trHeight w:val="274"/>
          <w:jc w:val="center"/>
        </w:trPr>
        <w:tc>
          <w:tcPr>
            <w:tcW w:w="1849" w:type="dxa"/>
            <w:vAlign w:val="center"/>
          </w:tcPr>
          <w:p w14:paraId="2D0B88F1" w14:textId="77777777" w:rsidR="006A6B6F" w:rsidRDefault="00541F99">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2E915606" w14:textId="77777777"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3" w:name="OLE_LINK5"/>
            <w:bookmarkStart w:id="4" w:name="OLE_LINK1"/>
            <w:r>
              <w:rPr>
                <w:rFonts w:ascii="宋体" w:eastAsia="宋体" w:hAnsi="宋体" w:cs="Arial" w:hint="eastAsia"/>
                <w:b/>
                <w:bCs/>
                <w:sz w:val="24"/>
                <w:szCs w:val="24"/>
                <w:shd w:val="clear" w:color="auto" w:fill="FFFFFF"/>
              </w:rPr>
              <w:t>一、</w:t>
            </w:r>
            <w:r>
              <w:rPr>
                <w:rFonts w:ascii="宋体" w:eastAsia="宋体" w:hAnsi="宋体" w:cs="Arial"/>
                <w:b/>
                <w:bCs/>
                <w:sz w:val="24"/>
                <w:szCs w:val="24"/>
                <w:shd w:val="clear" w:color="auto" w:fill="FFFFFF"/>
              </w:rPr>
              <w:t>介绍公司经营情况</w:t>
            </w:r>
          </w:p>
          <w:p w14:paraId="189E012B" w14:textId="2419CADF"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2024年</w:t>
            </w:r>
            <w:r>
              <w:rPr>
                <w:rFonts w:ascii="宋体" w:eastAsia="宋体" w:hAnsi="宋体" w:cs="Arial" w:hint="eastAsia"/>
                <w:sz w:val="24"/>
                <w:szCs w:val="24"/>
                <w:shd w:val="clear" w:color="auto" w:fill="FFFFFF"/>
              </w:rPr>
              <w:t>一季度</w:t>
            </w:r>
            <w:r>
              <w:rPr>
                <w:rFonts w:ascii="宋体" w:eastAsia="宋体" w:hAnsi="宋体" w:cs="Arial"/>
                <w:sz w:val="24"/>
                <w:szCs w:val="24"/>
                <w:shd w:val="clear" w:color="auto" w:fill="FFFFFF"/>
              </w:rPr>
              <w:t>，公司实现营业收入</w:t>
            </w:r>
            <w:r>
              <w:rPr>
                <w:rFonts w:ascii="宋体" w:eastAsia="宋体" w:hAnsi="宋体" w:cs="Arial" w:hint="eastAsia"/>
                <w:sz w:val="24"/>
                <w:szCs w:val="24"/>
                <w:shd w:val="clear" w:color="auto" w:fill="FFFFFF"/>
              </w:rPr>
              <w:t>3.</w:t>
            </w:r>
            <w:r>
              <w:rPr>
                <w:rFonts w:ascii="宋体" w:eastAsia="宋体" w:hAnsi="宋体" w:cs="Arial"/>
                <w:sz w:val="24"/>
                <w:szCs w:val="24"/>
                <w:shd w:val="clear" w:color="auto" w:fill="FFFFFF"/>
              </w:rPr>
              <w:t>17亿元</w:t>
            </w:r>
            <w:r>
              <w:rPr>
                <w:rFonts w:ascii="宋体" w:eastAsia="宋体" w:hAnsi="宋体" w:cs="Arial" w:hint="eastAsia"/>
                <w:sz w:val="24"/>
                <w:szCs w:val="24"/>
                <w:shd w:val="clear" w:color="auto" w:fill="FFFFFF"/>
              </w:rPr>
              <w:t>，同比增长3</w:t>
            </w:r>
            <w:r>
              <w:rPr>
                <w:rFonts w:ascii="宋体" w:eastAsia="宋体" w:hAnsi="宋体" w:cs="Arial"/>
                <w:sz w:val="24"/>
                <w:szCs w:val="24"/>
                <w:shd w:val="clear" w:color="auto" w:fill="FFFFFF"/>
              </w:rPr>
              <w:t>1</w:t>
            </w:r>
            <w:r>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71</w:t>
            </w:r>
            <w:r>
              <w:rPr>
                <w:rFonts w:ascii="宋体" w:eastAsia="宋体" w:hAnsi="宋体" w:cs="Arial" w:hint="eastAsia"/>
                <w:sz w:val="24"/>
                <w:szCs w:val="24"/>
                <w:shd w:val="clear" w:color="auto" w:fill="FFFFFF"/>
              </w:rPr>
              <w:t>%，归属于上市公司股东的净利润</w:t>
            </w:r>
            <w:bookmarkStart w:id="5" w:name="OLE_LINK14"/>
            <w:r>
              <w:rPr>
                <w:rFonts w:ascii="宋体" w:eastAsia="宋体" w:hAnsi="宋体" w:cs="Arial" w:hint="eastAsia"/>
                <w:sz w:val="24"/>
                <w:szCs w:val="24"/>
                <w:shd w:val="clear" w:color="auto" w:fill="FFFFFF"/>
              </w:rPr>
              <w:t>9</w:t>
            </w:r>
            <w:r>
              <w:rPr>
                <w:rFonts w:ascii="宋体" w:eastAsia="宋体" w:hAnsi="宋体" w:cs="Arial"/>
                <w:sz w:val="24"/>
                <w:szCs w:val="24"/>
                <w:shd w:val="clear" w:color="auto" w:fill="FFFFFF"/>
              </w:rPr>
              <w:t>,854</w:t>
            </w:r>
            <w:r>
              <w:rPr>
                <w:rFonts w:ascii="宋体" w:eastAsia="宋体" w:hAnsi="宋体" w:cs="Arial" w:hint="eastAsia"/>
                <w:sz w:val="24"/>
                <w:szCs w:val="24"/>
                <w:shd w:val="clear" w:color="auto" w:fill="FFFFFF"/>
              </w:rPr>
              <w:t>万元</w:t>
            </w:r>
            <w:bookmarkEnd w:id="5"/>
            <w:r>
              <w:rPr>
                <w:rFonts w:ascii="宋体" w:eastAsia="宋体" w:hAnsi="宋体" w:cs="Arial" w:hint="eastAsia"/>
                <w:sz w:val="24"/>
                <w:szCs w:val="24"/>
                <w:shd w:val="clear" w:color="auto" w:fill="FFFFFF"/>
              </w:rPr>
              <w:t>，同比增长6</w:t>
            </w:r>
            <w:r>
              <w:rPr>
                <w:rFonts w:ascii="宋体" w:eastAsia="宋体" w:hAnsi="宋体" w:cs="Arial"/>
                <w:sz w:val="24"/>
                <w:szCs w:val="24"/>
                <w:shd w:val="clear" w:color="auto" w:fill="FFFFFF"/>
              </w:rPr>
              <w:t>8</w:t>
            </w:r>
            <w:r>
              <w:rPr>
                <w:rFonts w:ascii="宋体" w:eastAsia="宋体" w:hAnsi="宋体" w:cs="Arial" w:hint="eastAsia"/>
                <w:sz w:val="24"/>
                <w:szCs w:val="24"/>
                <w:shd w:val="clear" w:color="auto" w:fill="FFFFFF"/>
              </w:rPr>
              <w:t>.</w:t>
            </w:r>
            <w:r w:rsidR="008F7502">
              <w:rPr>
                <w:rFonts w:ascii="宋体" w:eastAsia="宋体" w:hAnsi="宋体" w:cs="Arial"/>
                <w:sz w:val="24"/>
                <w:szCs w:val="24"/>
                <w:shd w:val="clear" w:color="auto" w:fill="FFFFFF"/>
              </w:rPr>
              <w:t>7</w:t>
            </w:r>
            <w:r>
              <w:rPr>
                <w:rFonts w:ascii="宋体" w:eastAsia="宋体" w:hAnsi="宋体" w:cs="Arial"/>
                <w:sz w:val="24"/>
                <w:szCs w:val="24"/>
                <w:shd w:val="clear" w:color="auto" w:fill="FFFFFF"/>
              </w:rPr>
              <w:t>8</w:t>
            </w:r>
            <w:r>
              <w:rPr>
                <w:rFonts w:ascii="宋体" w:eastAsia="宋体" w:hAnsi="宋体" w:cs="Arial" w:hint="eastAsia"/>
                <w:sz w:val="24"/>
                <w:szCs w:val="24"/>
                <w:shd w:val="clear" w:color="auto" w:fill="FFFFFF"/>
              </w:rPr>
              <w:t>%，归属于上市公司股东的扣除非经常性损益的净利润</w:t>
            </w:r>
            <w:r>
              <w:rPr>
                <w:rFonts w:ascii="宋体" w:eastAsia="宋体" w:hAnsi="宋体" w:cs="Arial"/>
                <w:sz w:val="24"/>
                <w:szCs w:val="24"/>
                <w:shd w:val="clear" w:color="auto" w:fill="FFFFFF"/>
              </w:rPr>
              <w:t>9,314万元</w:t>
            </w:r>
            <w:r>
              <w:rPr>
                <w:rFonts w:ascii="宋体" w:eastAsia="宋体" w:hAnsi="宋体" w:cs="Arial" w:hint="eastAsia"/>
                <w:sz w:val="24"/>
                <w:szCs w:val="24"/>
                <w:shd w:val="clear" w:color="auto" w:fill="FFFFFF"/>
              </w:rPr>
              <w:t>，同比增长7</w:t>
            </w:r>
            <w:r>
              <w:rPr>
                <w:rFonts w:ascii="宋体" w:eastAsia="宋体" w:hAnsi="宋体" w:cs="Arial"/>
                <w:sz w:val="24"/>
                <w:szCs w:val="24"/>
                <w:shd w:val="clear" w:color="auto" w:fill="FFFFFF"/>
              </w:rPr>
              <w:t>9</w:t>
            </w:r>
            <w:r>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13</w:t>
            </w:r>
            <w:r>
              <w:rPr>
                <w:rFonts w:ascii="宋体" w:eastAsia="宋体" w:hAnsi="宋体" w:cs="Arial" w:hint="eastAsia"/>
                <w:sz w:val="24"/>
                <w:szCs w:val="24"/>
                <w:shd w:val="clear" w:color="auto" w:fill="FFFFFF"/>
              </w:rPr>
              <w:t>%。</w:t>
            </w:r>
          </w:p>
          <w:p w14:paraId="009F9210" w14:textId="733009CE"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截至2</w:t>
            </w:r>
            <w:r>
              <w:rPr>
                <w:rFonts w:ascii="宋体" w:eastAsia="宋体" w:hAnsi="宋体" w:cs="Arial"/>
                <w:sz w:val="24"/>
                <w:szCs w:val="24"/>
                <w:shd w:val="clear" w:color="auto" w:fill="FFFFFF"/>
              </w:rPr>
              <w:t>025</w:t>
            </w:r>
            <w:r>
              <w:rPr>
                <w:rFonts w:ascii="宋体" w:eastAsia="宋体" w:hAnsi="宋体" w:cs="Arial" w:hint="eastAsia"/>
                <w:sz w:val="24"/>
                <w:szCs w:val="24"/>
                <w:shd w:val="clear" w:color="auto" w:fill="FFFFFF"/>
              </w:rPr>
              <w:t>年3月3</w:t>
            </w:r>
            <w:r>
              <w:rPr>
                <w:rFonts w:ascii="宋体" w:eastAsia="宋体" w:hAnsi="宋体" w:cs="Arial"/>
                <w:sz w:val="24"/>
                <w:szCs w:val="24"/>
                <w:shd w:val="clear" w:color="auto" w:fill="FFFFFF"/>
              </w:rPr>
              <w:t>1</w:t>
            </w:r>
            <w:r>
              <w:rPr>
                <w:rFonts w:ascii="宋体" w:eastAsia="宋体" w:hAnsi="宋体" w:cs="Arial" w:hint="eastAsia"/>
                <w:sz w:val="24"/>
                <w:szCs w:val="24"/>
                <w:shd w:val="clear" w:color="auto" w:fill="FFFFFF"/>
              </w:rPr>
              <w:t>日，公司总资产3</w:t>
            </w:r>
            <w:r>
              <w:rPr>
                <w:rFonts w:ascii="宋体" w:eastAsia="宋体" w:hAnsi="宋体" w:cs="Arial"/>
                <w:sz w:val="24"/>
                <w:szCs w:val="24"/>
                <w:shd w:val="clear" w:color="auto" w:fill="FFFFFF"/>
              </w:rPr>
              <w:t>3</w:t>
            </w:r>
            <w:r>
              <w:rPr>
                <w:rFonts w:ascii="宋体" w:eastAsia="宋体" w:hAnsi="宋体" w:cs="Arial" w:hint="eastAsia"/>
                <w:sz w:val="24"/>
                <w:szCs w:val="24"/>
                <w:shd w:val="clear" w:color="auto" w:fill="FFFFFF"/>
              </w:rPr>
              <w:t>.</w:t>
            </w:r>
            <w:r>
              <w:rPr>
                <w:rFonts w:ascii="宋体" w:eastAsia="宋体" w:hAnsi="宋体" w:cs="Arial"/>
                <w:sz w:val="24"/>
                <w:szCs w:val="24"/>
                <w:shd w:val="clear" w:color="auto" w:fill="FFFFFF"/>
              </w:rPr>
              <w:t>7</w:t>
            </w:r>
            <w:r>
              <w:rPr>
                <w:rFonts w:ascii="宋体" w:eastAsia="宋体" w:hAnsi="宋体" w:cs="Arial" w:hint="eastAsia"/>
                <w:sz w:val="24"/>
                <w:szCs w:val="24"/>
                <w:shd w:val="clear" w:color="auto" w:fill="FFFFFF"/>
              </w:rPr>
              <w:t>亿元，归属于上市公司股东净资产</w:t>
            </w:r>
            <w:r>
              <w:rPr>
                <w:rFonts w:ascii="宋体" w:eastAsia="宋体" w:hAnsi="宋体" w:cs="Arial"/>
                <w:sz w:val="24"/>
                <w:szCs w:val="24"/>
                <w:shd w:val="clear" w:color="auto" w:fill="FFFFFF"/>
              </w:rPr>
              <w:t>26.88</w:t>
            </w:r>
            <w:r>
              <w:rPr>
                <w:rFonts w:ascii="宋体" w:eastAsia="宋体" w:hAnsi="宋体" w:cs="Arial" w:hint="eastAsia"/>
                <w:sz w:val="24"/>
                <w:szCs w:val="24"/>
                <w:shd w:val="clear" w:color="auto" w:fill="FFFFFF"/>
              </w:rPr>
              <w:t>亿元。</w:t>
            </w:r>
          </w:p>
          <w:p w14:paraId="04B30F36" w14:textId="77777777"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二、问答环节</w:t>
            </w:r>
          </w:p>
          <w:p w14:paraId="645B4237" w14:textId="77777777"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1、请介绍下2</w:t>
            </w:r>
            <w:r>
              <w:rPr>
                <w:rFonts w:ascii="宋体" w:eastAsia="宋体" w:hAnsi="宋体" w:cs="Arial"/>
                <w:b/>
                <w:bCs/>
                <w:sz w:val="24"/>
                <w:szCs w:val="24"/>
                <w:shd w:val="clear" w:color="auto" w:fill="FFFFFF"/>
              </w:rPr>
              <w:t>024</w:t>
            </w:r>
            <w:r>
              <w:rPr>
                <w:rFonts w:ascii="宋体" w:eastAsia="宋体" w:hAnsi="宋体" w:cs="Arial" w:hint="eastAsia"/>
                <w:b/>
                <w:bCs/>
                <w:sz w:val="24"/>
                <w:szCs w:val="24"/>
                <w:shd w:val="clear" w:color="auto" w:fill="FFFFFF"/>
              </w:rPr>
              <w:t>年一季度公司内销及外销收入情况。</w:t>
            </w:r>
          </w:p>
          <w:p w14:paraId="1C0814C7" w14:textId="55C74973"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答：2</w:t>
            </w:r>
            <w:r>
              <w:rPr>
                <w:rFonts w:ascii="宋体" w:eastAsia="宋体" w:hAnsi="宋体" w:cs="Arial"/>
                <w:sz w:val="24"/>
                <w:szCs w:val="24"/>
                <w:shd w:val="clear" w:color="auto" w:fill="FFFFFF"/>
              </w:rPr>
              <w:t>024</w:t>
            </w:r>
            <w:r>
              <w:rPr>
                <w:rFonts w:ascii="宋体" w:eastAsia="宋体" w:hAnsi="宋体" w:cs="Arial" w:hint="eastAsia"/>
                <w:sz w:val="24"/>
                <w:szCs w:val="24"/>
                <w:shd w:val="clear" w:color="auto" w:fill="FFFFFF"/>
              </w:rPr>
              <w:t>年一季度外销收入占主营业务收入的5</w:t>
            </w:r>
            <w:r>
              <w:rPr>
                <w:rFonts w:ascii="宋体" w:eastAsia="宋体" w:hAnsi="宋体" w:cs="Arial"/>
                <w:sz w:val="24"/>
                <w:szCs w:val="24"/>
                <w:shd w:val="clear" w:color="auto" w:fill="FFFFFF"/>
              </w:rPr>
              <w:t>5</w:t>
            </w:r>
            <w:r>
              <w:rPr>
                <w:rFonts w:ascii="宋体" w:eastAsia="宋体" w:hAnsi="宋体" w:cs="Arial" w:hint="eastAsia"/>
                <w:sz w:val="24"/>
                <w:szCs w:val="24"/>
                <w:shd w:val="clear" w:color="auto" w:fill="FFFFFF"/>
              </w:rPr>
              <w:t>%，内销收入占主营业务收入的4</w:t>
            </w:r>
            <w:r>
              <w:rPr>
                <w:rFonts w:ascii="宋体" w:eastAsia="宋体" w:hAnsi="宋体" w:cs="Arial"/>
                <w:sz w:val="24"/>
                <w:szCs w:val="24"/>
                <w:shd w:val="clear" w:color="auto" w:fill="FFFFFF"/>
              </w:rPr>
              <w:t>5</w:t>
            </w:r>
            <w:r>
              <w:rPr>
                <w:rFonts w:ascii="宋体" w:eastAsia="宋体" w:hAnsi="宋体" w:cs="Arial" w:hint="eastAsia"/>
                <w:sz w:val="24"/>
                <w:szCs w:val="24"/>
                <w:shd w:val="clear" w:color="auto" w:fill="FFFFFF"/>
              </w:rPr>
              <w:t>%。</w:t>
            </w:r>
          </w:p>
          <w:p w14:paraId="7D11D3E1" w14:textId="77777777"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2、介绍下公司新增订单的增长趋势。</w:t>
            </w:r>
          </w:p>
          <w:p w14:paraId="2FFA6AC8" w14:textId="77777777"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答：公司2</w:t>
            </w:r>
            <w:r>
              <w:rPr>
                <w:rFonts w:ascii="宋体" w:eastAsia="宋体" w:hAnsi="宋体" w:cs="Arial"/>
                <w:sz w:val="24"/>
                <w:szCs w:val="24"/>
                <w:shd w:val="clear" w:color="auto" w:fill="FFFFFF"/>
              </w:rPr>
              <w:t>025</w:t>
            </w:r>
            <w:r>
              <w:rPr>
                <w:rFonts w:ascii="宋体" w:eastAsia="宋体" w:hAnsi="宋体" w:cs="Arial" w:hint="eastAsia"/>
                <w:sz w:val="24"/>
                <w:szCs w:val="24"/>
                <w:shd w:val="clear" w:color="auto" w:fill="FFFFFF"/>
              </w:rPr>
              <w:t>年1-</w:t>
            </w:r>
            <w:r>
              <w:rPr>
                <w:rFonts w:ascii="宋体" w:eastAsia="宋体" w:hAnsi="宋体" w:cs="Arial"/>
                <w:sz w:val="24"/>
                <w:szCs w:val="24"/>
                <w:shd w:val="clear" w:color="auto" w:fill="FFFFFF"/>
              </w:rPr>
              <w:t>3</w:t>
            </w:r>
            <w:r>
              <w:rPr>
                <w:rFonts w:ascii="宋体" w:eastAsia="宋体" w:hAnsi="宋体" w:cs="Arial" w:hint="eastAsia"/>
                <w:sz w:val="24"/>
                <w:szCs w:val="24"/>
                <w:shd w:val="clear" w:color="auto" w:fill="FFFFFF"/>
              </w:rPr>
              <w:t>月新签订单比去年同期增长约5</w:t>
            </w:r>
            <w:r>
              <w:rPr>
                <w:rFonts w:ascii="宋体" w:eastAsia="宋体" w:hAnsi="宋体" w:cs="Arial"/>
                <w:sz w:val="24"/>
                <w:szCs w:val="24"/>
                <w:shd w:val="clear" w:color="auto" w:fill="FFFFFF"/>
              </w:rPr>
              <w:t>0</w:t>
            </w:r>
            <w:r>
              <w:rPr>
                <w:rFonts w:ascii="宋体" w:eastAsia="宋体" w:hAnsi="宋体" w:cs="Arial" w:hint="eastAsia"/>
                <w:sz w:val="24"/>
                <w:szCs w:val="24"/>
                <w:shd w:val="clear" w:color="auto" w:fill="FFFFFF"/>
              </w:rPr>
              <w:t>%，内销订单增长高于外销订单增长。</w:t>
            </w:r>
          </w:p>
          <w:p w14:paraId="34DF40DD" w14:textId="77777777"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w:t>
            </w:r>
            <w:r>
              <w:rPr>
                <w:rFonts w:ascii="宋体" w:eastAsia="宋体" w:hAnsi="宋体" w:cs="Arial" w:hint="eastAsia"/>
                <w:b/>
                <w:bCs/>
                <w:sz w:val="24"/>
                <w:szCs w:val="24"/>
                <w:shd w:val="clear" w:color="auto" w:fill="FFFFFF"/>
              </w:rPr>
              <w:t>、公司合同负债指的是什么，为什么会增长。</w:t>
            </w:r>
          </w:p>
          <w:p w14:paraId="73C83FB0" w14:textId="77777777"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lastRenderedPageBreak/>
              <w:t>答：合同负债是指已发货产品到约定付款期后客户已付但尚未确认收入的合同款。这个指标反应了已执行待确认收入订单的情况，2</w:t>
            </w:r>
            <w:r>
              <w:rPr>
                <w:rFonts w:ascii="宋体" w:eastAsia="宋体" w:hAnsi="宋体" w:cs="Arial"/>
                <w:sz w:val="24"/>
                <w:szCs w:val="24"/>
                <w:shd w:val="clear" w:color="auto" w:fill="FFFFFF"/>
              </w:rPr>
              <w:t>025</w:t>
            </w:r>
            <w:r>
              <w:rPr>
                <w:rFonts w:ascii="宋体" w:eastAsia="宋体" w:hAnsi="宋体" w:cs="Arial" w:hint="eastAsia"/>
                <w:sz w:val="24"/>
                <w:szCs w:val="24"/>
                <w:shd w:val="clear" w:color="auto" w:fill="FFFFFF"/>
              </w:rPr>
              <w:t>年第一季度合同负债的增长，反映出公司发货并已执行的订单金额高于验收确认收入的金额。</w:t>
            </w:r>
          </w:p>
          <w:p w14:paraId="6440483C" w14:textId="77777777"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4</w:t>
            </w:r>
            <w:r>
              <w:rPr>
                <w:rFonts w:ascii="宋体" w:eastAsia="宋体" w:hAnsi="宋体" w:cs="Arial" w:hint="eastAsia"/>
                <w:b/>
                <w:bCs/>
                <w:sz w:val="24"/>
                <w:szCs w:val="24"/>
                <w:shd w:val="clear" w:color="auto" w:fill="FFFFFF"/>
              </w:rPr>
              <w:t>、</w:t>
            </w:r>
            <w:bookmarkStart w:id="6" w:name="OLE_LINK11"/>
            <w:r>
              <w:rPr>
                <w:rFonts w:ascii="宋体" w:eastAsia="宋体" w:hAnsi="宋体" w:cs="Arial" w:hint="eastAsia"/>
                <w:b/>
                <w:bCs/>
                <w:sz w:val="24"/>
                <w:szCs w:val="24"/>
                <w:shd w:val="clear" w:color="auto" w:fill="FFFFFF"/>
              </w:rPr>
              <w:t>公司毛利率增长</w:t>
            </w:r>
            <w:bookmarkEnd w:id="6"/>
            <w:r>
              <w:rPr>
                <w:rFonts w:ascii="宋体" w:eastAsia="宋体" w:hAnsi="宋体" w:cs="Arial" w:hint="eastAsia"/>
                <w:b/>
                <w:bCs/>
                <w:sz w:val="24"/>
                <w:szCs w:val="24"/>
                <w:shd w:val="clear" w:color="auto" w:fill="FFFFFF"/>
              </w:rPr>
              <w:t>的原因。</w:t>
            </w:r>
          </w:p>
          <w:p w14:paraId="11200509" w14:textId="77777777"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答：公司2</w:t>
            </w:r>
            <w:r>
              <w:rPr>
                <w:rFonts w:ascii="宋体" w:eastAsia="宋体" w:hAnsi="宋体" w:cs="Arial"/>
                <w:sz w:val="24"/>
                <w:szCs w:val="24"/>
                <w:shd w:val="clear" w:color="auto" w:fill="FFFFFF"/>
              </w:rPr>
              <w:t>025</w:t>
            </w:r>
            <w:r>
              <w:rPr>
                <w:rFonts w:ascii="宋体" w:eastAsia="宋体" w:hAnsi="宋体" w:cs="Arial" w:hint="eastAsia"/>
                <w:sz w:val="24"/>
                <w:szCs w:val="24"/>
                <w:shd w:val="clear" w:color="auto" w:fill="FFFFFF"/>
              </w:rPr>
              <w:t>年第一季度毛利率增长，主要受外销收入</w:t>
            </w:r>
            <w:r>
              <w:rPr>
                <w:rFonts w:ascii="宋体" w:eastAsia="宋体" w:hAnsi="宋体" w:cs="Arial"/>
                <w:sz w:val="24"/>
                <w:szCs w:val="24"/>
                <w:shd w:val="clear" w:color="auto" w:fill="FFFFFF"/>
              </w:rPr>
              <w:t>占比增加</w:t>
            </w:r>
            <w:r>
              <w:rPr>
                <w:rFonts w:ascii="宋体" w:eastAsia="宋体" w:hAnsi="宋体" w:cs="Arial" w:hint="eastAsia"/>
                <w:sz w:val="24"/>
                <w:szCs w:val="24"/>
                <w:shd w:val="clear" w:color="auto" w:fill="FFFFFF"/>
              </w:rPr>
              <w:t>及内销</w:t>
            </w:r>
            <w:r>
              <w:rPr>
                <w:rFonts w:ascii="宋体" w:eastAsia="宋体" w:hAnsi="宋体" w:cs="Arial"/>
                <w:sz w:val="24"/>
                <w:szCs w:val="24"/>
                <w:shd w:val="clear" w:color="auto" w:fill="FFFFFF"/>
              </w:rPr>
              <w:t>业</w:t>
            </w:r>
            <w:r>
              <w:rPr>
                <w:rFonts w:ascii="宋体" w:eastAsia="宋体" w:hAnsi="宋体" w:cs="Arial" w:hint="eastAsia"/>
                <w:sz w:val="24"/>
                <w:szCs w:val="24"/>
                <w:shd w:val="clear" w:color="auto" w:fill="FFFFFF"/>
              </w:rPr>
              <w:t>务中产品结构变化的影响。内销业务中，</w:t>
            </w:r>
            <w:r>
              <w:rPr>
                <w:rFonts w:ascii="宋体" w:eastAsia="宋体" w:hAnsi="宋体" w:cs="Arial"/>
                <w:sz w:val="24"/>
                <w:szCs w:val="24"/>
                <w:shd w:val="clear" w:color="auto" w:fill="FFFFFF"/>
              </w:rPr>
              <w:t>受</w:t>
            </w:r>
            <w:r>
              <w:rPr>
                <w:rFonts w:ascii="宋体" w:eastAsia="宋体" w:hAnsi="宋体" w:cs="Arial" w:hint="eastAsia"/>
                <w:sz w:val="24"/>
                <w:szCs w:val="24"/>
                <w:shd w:val="clear" w:color="auto" w:fill="FFFFFF"/>
              </w:rPr>
              <w:t>风机大型化的影响，大载荷升降机和齿轮齿条升降机等价值量更高的产品销量增加。</w:t>
            </w:r>
          </w:p>
          <w:p w14:paraId="146DD894" w14:textId="77777777"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5</w:t>
            </w:r>
            <w:r>
              <w:rPr>
                <w:rFonts w:ascii="宋体" w:eastAsia="宋体" w:hAnsi="宋体" w:cs="Arial" w:hint="eastAsia"/>
                <w:b/>
                <w:bCs/>
                <w:sz w:val="24"/>
                <w:szCs w:val="24"/>
                <w:shd w:val="clear" w:color="auto" w:fill="FFFFFF"/>
              </w:rPr>
              <w:t>、</w:t>
            </w:r>
            <w:r>
              <w:rPr>
                <w:rFonts w:ascii="宋体" w:eastAsia="宋体" w:hAnsi="宋体" w:cs="Arial"/>
                <w:b/>
                <w:bCs/>
                <w:sz w:val="24"/>
                <w:szCs w:val="24"/>
                <w:shd w:val="clear" w:color="auto" w:fill="FFFFFF"/>
              </w:rPr>
              <w:t>美国对中国出口产品征收了高额关税，请问对公司的影响及公司的应对措施。</w:t>
            </w:r>
          </w:p>
          <w:p w14:paraId="551A62FB" w14:textId="77777777"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答：公司一直以来非常注重国际贸易风险，对于关税问题，公司在海外业务拓展之初已经考虑了相关应对措施，从目前来看，短期内不会对公司经营及业绩造成大的影响。</w:t>
            </w:r>
            <w:r>
              <w:rPr>
                <w:rFonts w:ascii="宋体" w:eastAsia="宋体" w:hAnsi="宋体" w:cs="Arial"/>
                <w:sz w:val="24"/>
                <w:szCs w:val="24"/>
                <w:shd w:val="clear" w:color="auto" w:fill="FFFFFF"/>
              </w:rPr>
              <w:t xml:space="preserve"> </w:t>
            </w:r>
          </w:p>
          <w:p w14:paraId="70542061" w14:textId="77777777"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1）公司一贯注重知识产权，相关产品在海外地区国际知识产权布局较早，因此公司</w:t>
            </w:r>
            <w:proofErr w:type="gramStart"/>
            <w:r>
              <w:rPr>
                <w:rFonts w:ascii="宋体" w:eastAsia="宋体" w:hAnsi="宋体" w:cs="Arial"/>
                <w:sz w:val="24"/>
                <w:szCs w:val="24"/>
                <w:shd w:val="clear" w:color="auto" w:fill="FFFFFF"/>
              </w:rPr>
              <w:t>免爬器</w:t>
            </w:r>
            <w:proofErr w:type="gramEnd"/>
            <w:r>
              <w:rPr>
                <w:rFonts w:ascii="宋体" w:eastAsia="宋体" w:hAnsi="宋体" w:cs="Arial"/>
                <w:sz w:val="24"/>
                <w:szCs w:val="24"/>
                <w:shd w:val="clear" w:color="auto" w:fill="FFFFFF"/>
              </w:rPr>
              <w:t>产品在美国风力发电行业的市场占有率接近100%，具备较强的竞争力;此外，</w:t>
            </w:r>
            <w:proofErr w:type="gramStart"/>
            <w:r>
              <w:rPr>
                <w:rFonts w:ascii="宋体" w:eastAsia="宋体" w:hAnsi="宋体" w:cs="Arial"/>
                <w:sz w:val="24"/>
                <w:szCs w:val="24"/>
                <w:shd w:val="clear" w:color="auto" w:fill="FFFFFF"/>
              </w:rPr>
              <w:t>免爬器</w:t>
            </w:r>
            <w:proofErr w:type="gramEnd"/>
            <w:r>
              <w:rPr>
                <w:rFonts w:ascii="宋体" w:eastAsia="宋体" w:hAnsi="宋体" w:cs="Arial"/>
                <w:sz w:val="24"/>
                <w:szCs w:val="24"/>
                <w:shd w:val="clear" w:color="auto" w:fill="FFFFFF"/>
              </w:rPr>
              <w:t xml:space="preserve">产品能够大幅度降低人员作业时的安全风险，降低用工成本、提升作业效率，为客户创造更多的价值。在美国大幅提高关税，企业成本不断增加的情况下，我们认为客户对此类设备的需求可能会进一步增加。 </w:t>
            </w:r>
          </w:p>
          <w:p w14:paraId="666B2A56" w14:textId="77777777"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2）为应对贸易风险，公司已经提前在海外做了较为充足的库存，短期来看关税的增加不会对公司产生大的影响，同时公司也在积极与客户进行沟通，加强客户价格协商机制，根据情况适时调整销售价格及策略，维护企业利益，保障企业稳健经营。在国际贸易形势复杂的情况下，公司会不断进行技术创新、提升产品竞争力、开拓新业务新市场，为股东创造价值。</w:t>
            </w:r>
          </w:p>
          <w:p w14:paraId="3844243F" w14:textId="5959A2B5"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6</w:t>
            </w:r>
            <w:r>
              <w:rPr>
                <w:rFonts w:ascii="宋体" w:eastAsia="宋体" w:hAnsi="宋体" w:cs="Arial" w:hint="eastAsia"/>
                <w:b/>
                <w:bCs/>
                <w:sz w:val="24"/>
                <w:szCs w:val="24"/>
                <w:shd w:val="clear" w:color="auto" w:fill="FFFFFF"/>
              </w:rPr>
              <w:t>、请问产品应用在美国的新增市场</w:t>
            </w:r>
            <w:r w:rsidR="00184D7D">
              <w:rPr>
                <w:rFonts w:ascii="宋体" w:eastAsia="宋体" w:hAnsi="宋体" w:cs="Arial" w:hint="eastAsia"/>
                <w:b/>
                <w:bCs/>
                <w:sz w:val="24"/>
                <w:szCs w:val="24"/>
                <w:shd w:val="clear" w:color="auto" w:fill="FFFFFF"/>
              </w:rPr>
              <w:t>还是</w:t>
            </w:r>
            <w:r>
              <w:rPr>
                <w:rFonts w:ascii="宋体" w:eastAsia="宋体" w:hAnsi="宋体" w:cs="Arial" w:hint="eastAsia"/>
                <w:b/>
                <w:bCs/>
                <w:sz w:val="24"/>
                <w:szCs w:val="24"/>
                <w:shd w:val="clear" w:color="auto" w:fill="FFFFFF"/>
              </w:rPr>
              <w:t>存量市场。</w:t>
            </w:r>
          </w:p>
          <w:p w14:paraId="292F5A28" w14:textId="77777777"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答：公司在美国风力发电市场主要销售</w:t>
            </w:r>
            <w:proofErr w:type="gramStart"/>
            <w:r>
              <w:rPr>
                <w:rFonts w:ascii="宋体" w:eastAsia="宋体" w:hAnsi="宋体" w:cs="Arial" w:hint="eastAsia"/>
                <w:sz w:val="24"/>
                <w:szCs w:val="24"/>
                <w:shd w:val="clear" w:color="auto" w:fill="FFFFFF"/>
              </w:rPr>
              <w:t>免爬器</w:t>
            </w:r>
            <w:proofErr w:type="gramEnd"/>
            <w:r>
              <w:rPr>
                <w:rFonts w:ascii="宋体" w:eastAsia="宋体" w:hAnsi="宋体" w:cs="Arial" w:hint="eastAsia"/>
                <w:sz w:val="24"/>
                <w:szCs w:val="24"/>
                <w:shd w:val="clear" w:color="auto" w:fill="FFFFFF"/>
              </w:rPr>
              <w:t>产品，</w:t>
            </w:r>
            <w:proofErr w:type="gramStart"/>
            <w:r>
              <w:rPr>
                <w:rFonts w:ascii="宋体" w:eastAsia="宋体" w:hAnsi="宋体" w:cs="Arial" w:hint="eastAsia"/>
                <w:sz w:val="24"/>
                <w:szCs w:val="24"/>
                <w:shd w:val="clear" w:color="auto" w:fill="FFFFFF"/>
              </w:rPr>
              <w:t>免爬器</w:t>
            </w:r>
            <w:proofErr w:type="gramEnd"/>
            <w:r>
              <w:rPr>
                <w:rFonts w:ascii="宋体" w:eastAsia="宋体" w:hAnsi="宋体" w:cs="Arial" w:hint="eastAsia"/>
                <w:sz w:val="24"/>
                <w:szCs w:val="24"/>
                <w:shd w:val="clear" w:color="auto" w:fill="FFFFFF"/>
              </w:rPr>
              <w:t>产品即可以应用在新增市场也可以应用在存量市场，目前产品在存量</w:t>
            </w:r>
            <w:r>
              <w:rPr>
                <w:rFonts w:ascii="宋体" w:eastAsia="宋体" w:hAnsi="宋体" w:cs="Arial" w:hint="eastAsia"/>
                <w:sz w:val="24"/>
                <w:szCs w:val="24"/>
                <w:shd w:val="clear" w:color="auto" w:fill="FFFFFF"/>
              </w:rPr>
              <w:lastRenderedPageBreak/>
              <w:t>市场的</w:t>
            </w:r>
            <w:proofErr w:type="gramStart"/>
            <w:r>
              <w:rPr>
                <w:rFonts w:ascii="宋体" w:eastAsia="宋体" w:hAnsi="宋体" w:cs="Arial" w:hint="eastAsia"/>
                <w:sz w:val="24"/>
                <w:szCs w:val="24"/>
                <w:shd w:val="clear" w:color="auto" w:fill="FFFFFF"/>
              </w:rPr>
              <w:t>应用占</w:t>
            </w:r>
            <w:proofErr w:type="gramEnd"/>
            <w:r>
              <w:rPr>
                <w:rFonts w:ascii="宋体" w:eastAsia="宋体" w:hAnsi="宋体" w:cs="Arial" w:hint="eastAsia"/>
                <w:sz w:val="24"/>
                <w:szCs w:val="24"/>
                <w:shd w:val="clear" w:color="auto" w:fill="FFFFFF"/>
              </w:rPr>
              <w:t>比约在</w:t>
            </w:r>
            <w:r>
              <w:rPr>
                <w:rFonts w:ascii="宋体" w:eastAsia="宋体" w:hAnsi="宋体" w:cs="Arial"/>
                <w:sz w:val="24"/>
                <w:szCs w:val="24"/>
                <w:shd w:val="clear" w:color="auto" w:fill="FFFFFF"/>
              </w:rPr>
              <w:t>80</w:t>
            </w:r>
            <w:r>
              <w:rPr>
                <w:rFonts w:ascii="宋体" w:eastAsia="宋体" w:hAnsi="宋体" w:cs="Arial" w:hint="eastAsia"/>
                <w:sz w:val="24"/>
                <w:szCs w:val="24"/>
                <w:shd w:val="clear" w:color="auto" w:fill="FFFFFF"/>
              </w:rPr>
              <w:t>%以上。</w:t>
            </w:r>
          </w:p>
          <w:p w14:paraId="18A27F22" w14:textId="7E27DAD1"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7</w:t>
            </w:r>
            <w:r>
              <w:rPr>
                <w:rFonts w:ascii="宋体" w:eastAsia="宋体" w:hAnsi="宋体" w:cs="Arial" w:hint="eastAsia"/>
                <w:b/>
                <w:bCs/>
                <w:sz w:val="24"/>
                <w:szCs w:val="24"/>
                <w:shd w:val="clear" w:color="auto" w:fill="FFFFFF"/>
              </w:rPr>
              <w:t>、公司</w:t>
            </w:r>
            <w:bookmarkStart w:id="7" w:name="OLE_LINK13"/>
            <w:r>
              <w:rPr>
                <w:rFonts w:ascii="宋体" w:eastAsia="宋体" w:hAnsi="宋体" w:cs="Arial" w:hint="eastAsia"/>
                <w:b/>
                <w:bCs/>
                <w:sz w:val="24"/>
                <w:szCs w:val="24"/>
                <w:shd w:val="clear" w:color="auto" w:fill="FFFFFF"/>
              </w:rPr>
              <w:t>销售费用率、研发费用率、管理费用率都</w:t>
            </w:r>
            <w:r w:rsidR="003316B4">
              <w:rPr>
                <w:rFonts w:ascii="宋体" w:eastAsia="宋体" w:hAnsi="宋体" w:cs="Arial" w:hint="eastAsia"/>
                <w:b/>
                <w:bCs/>
                <w:sz w:val="24"/>
                <w:szCs w:val="24"/>
                <w:shd w:val="clear" w:color="auto" w:fill="FFFFFF"/>
              </w:rPr>
              <w:t>有所</w:t>
            </w:r>
            <w:r>
              <w:rPr>
                <w:rFonts w:ascii="宋体" w:eastAsia="宋体" w:hAnsi="宋体" w:cs="Arial" w:hint="eastAsia"/>
                <w:b/>
                <w:bCs/>
                <w:sz w:val="24"/>
                <w:szCs w:val="24"/>
                <w:shd w:val="clear" w:color="auto" w:fill="FFFFFF"/>
              </w:rPr>
              <w:t>降</w:t>
            </w:r>
            <w:bookmarkEnd w:id="7"/>
            <w:r>
              <w:rPr>
                <w:rFonts w:ascii="宋体" w:eastAsia="宋体" w:hAnsi="宋体" w:cs="Arial" w:hint="eastAsia"/>
                <w:b/>
                <w:bCs/>
                <w:sz w:val="24"/>
                <w:szCs w:val="24"/>
                <w:shd w:val="clear" w:color="auto" w:fill="FFFFFF"/>
              </w:rPr>
              <w:t>，请问是什么原因。</w:t>
            </w:r>
          </w:p>
          <w:p w14:paraId="2CF40395" w14:textId="5EC207F7"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答：2</w:t>
            </w:r>
            <w:r>
              <w:rPr>
                <w:rFonts w:ascii="宋体" w:eastAsia="宋体" w:hAnsi="宋体" w:cs="Arial"/>
                <w:sz w:val="24"/>
                <w:szCs w:val="24"/>
                <w:shd w:val="clear" w:color="auto" w:fill="FFFFFF"/>
              </w:rPr>
              <w:t>025</w:t>
            </w:r>
            <w:r>
              <w:rPr>
                <w:rFonts w:ascii="宋体" w:eastAsia="宋体" w:hAnsi="宋体" w:cs="Arial" w:hint="eastAsia"/>
                <w:sz w:val="24"/>
                <w:szCs w:val="24"/>
                <w:shd w:val="clear" w:color="auto" w:fill="FFFFFF"/>
              </w:rPr>
              <w:t>年第一季度，公司销售费用率、研发费用率、管理费用率都有所下降，主要</w:t>
            </w:r>
            <w:r w:rsidR="00AD67D5">
              <w:rPr>
                <w:rFonts w:ascii="宋体" w:eastAsia="宋体" w:hAnsi="宋体" w:cs="Arial" w:hint="eastAsia"/>
                <w:sz w:val="24"/>
                <w:szCs w:val="24"/>
                <w:shd w:val="clear" w:color="auto" w:fill="FFFFFF"/>
              </w:rPr>
              <w:t>受</w:t>
            </w:r>
            <w:r>
              <w:rPr>
                <w:rFonts w:ascii="宋体" w:eastAsia="宋体" w:hAnsi="宋体" w:cs="Arial" w:hint="eastAsia"/>
                <w:sz w:val="24"/>
                <w:szCs w:val="24"/>
                <w:shd w:val="clear" w:color="auto" w:fill="FFFFFF"/>
              </w:rPr>
              <w:t>公司销售收入增长</w:t>
            </w:r>
            <w:r w:rsidR="00AD67D5">
              <w:rPr>
                <w:rFonts w:ascii="宋体" w:eastAsia="宋体" w:hAnsi="宋体" w:cs="Arial" w:hint="eastAsia"/>
                <w:sz w:val="24"/>
                <w:szCs w:val="24"/>
                <w:shd w:val="clear" w:color="auto" w:fill="FFFFFF"/>
              </w:rPr>
              <w:t>的影响</w:t>
            </w:r>
            <w:r>
              <w:rPr>
                <w:rFonts w:ascii="宋体" w:eastAsia="宋体" w:hAnsi="宋体" w:cs="Arial" w:hint="eastAsia"/>
                <w:sz w:val="24"/>
                <w:szCs w:val="24"/>
                <w:shd w:val="clear" w:color="auto" w:fill="FFFFFF"/>
              </w:rPr>
              <w:t>。</w:t>
            </w:r>
          </w:p>
          <w:p w14:paraId="283A48DE" w14:textId="77777777" w:rsidR="006A6B6F" w:rsidRDefault="00541F99">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8</w:t>
            </w:r>
            <w:r>
              <w:rPr>
                <w:rFonts w:ascii="宋体" w:eastAsia="宋体" w:hAnsi="宋体" w:cs="Arial" w:hint="eastAsia"/>
                <w:b/>
                <w:bCs/>
                <w:sz w:val="24"/>
                <w:szCs w:val="24"/>
                <w:shd w:val="clear" w:color="auto" w:fill="FFFFFF"/>
              </w:rPr>
              <w:t>、请问公司成立烟台子公司主要开展什么业务。</w:t>
            </w:r>
          </w:p>
          <w:p w14:paraId="5F0A290A" w14:textId="77777777" w:rsidR="006A6B6F" w:rsidRDefault="00541F9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答：公司计划成立烟台子公司，主要布局应急与安全防护产品业务。</w:t>
            </w:r>
          </w:p>
          <w:bookmarkEnd w:id="3"/>
          <w:bookmarkEnd w:id="4"/>
          <w:p w14:paraId="23D54DE9" w14:textId="77777777" w:rsidR="006A6B6F" w:rsidRDefault="006A6B6F">
            <w:pPr>
              <w:widowControl/>
              <w:shd w:val="clear" w:color="auto" w:fill="FFFFFF"/>
              <w:adjustRightInd w:val="0"/>
              <w:snapToGrid w:val="0"/>
              <w:spacing w:line="360" w:lineRule="auto"/>
              <w:rPr>
                <w:rFonts w:ascii="宋体" w:eastAsia="宋体" w:hAnsi="宋体" w:cs="Arial"/>
                <w:sz w:val="24"/>
                <w:szCs w:val="24"/>
                <w:shd w:val="clear" w:color="auto" w:fill="FFFFFF"/>
              </w:rPr>
            </w:pPr>
          </w:p>
        </w:tc>
      </w:tr>
      <w:bookmarkEnd w:id="0"/>
      <w:bookmarkEnd w:id="1"/>
    </w:tbl>
    <w:p w14:paraId="1D52245B" w14:textId="49C491E8" w:rsidR="006A6B6F" w:rsidRDefault="006A6B6F"/>
    <w:p w14:paraId="151E5DB5" w14:textId="48FD95DC" w:rsidR="006D58BE" w:rsidRDefault="006D58BE"/>
    <w:p w14:paraId="436B0019" w14:textId="7AEF9D7D" w:rsidR="006D58BE" w:rsidRDefault="006D58BE"/>
    <w:p w14:paraId="5579BF84" w14:textId="3AB51594" w:rsidR="006D58BE" w:rsidRDefault="006D58BE"/>
    <w:p w14:paraId="50099473" w14:textId="1A90D6C6" w:rsidR="006D58BE" w:rsidRDefault="006D58BE"/>
    <w:p w14:paraId="418C18FC" w14:textId="36A75816" w:rsidR="006D58BE" w:rsidRDefault="006D58BE"/>
    <w:p w14:paraId="4CEB03FB" w14:textId="6F0492AA" w:rsidR="006D58BE" w:rsidRDefault="006D58BE"/>
    <w:p w14:paraId="1D7B85D6" w14:textId="26CA22CF" w:rsidR="006D58BE" w:rsidRDefault="006D58BE"/>
    <w:p w14:paraId="33A61E4A" w14:textId="06E4D47A" w:rsidR="006D58BE" w:rsidRDefault="006D58BE"/>
    <w:p w14:paraId="13B80CC3" w14:textId="16CE5069" w:rsidR="006D58BE" w:rsidRDefault="006D58BE"/>
    <w:p w14:paraId="03EF8F22" w14:textId="1852CDAA" w:rsidR="006D58BE" w:rsidRDefault="006D58BE"/>
    <w:p w14:paraId="3BA8C315" w14:textId="5450CBAD" w:rsidR="006D58BE" w:rsidRDefault="006D58BE"/>
    <w:p w14:paraId="3AA29DE4" w14:textId="0B8FF8D7" w:rsidR="006D58BE" w:rsidRDefault="006D58BE"/>
    <w:p w14:paraId="2D4A0EBF" w14:textId="0D248989" w:rsidR="006D58BE" w:rsidRDefault="006D58BE"/>
    <w:p w14:paraId="4DBCFF92" w14:textId="66A563B8" w:rsidR="006D58BE" w:rsidRDefault="006D58BE"/>
    <w:p w14:paraId="71EF8852" w14:textId="0D4DA302" w:rsidR="006D58BE" w:rsidRDefault="006D58BE"/>
    <w:p w14:paraId="767348E2" w14:textId="3FBFF90B" w:rsidR="006D58BE" w:rsidRDefault="006D58BE"/>
    <w:p w14:paraId="42C1E70C" w14:textId="23C99F36" w:rsidR="006D58BE" w:rsidRDefault="006D58BE"/>
    <w:p w14:paraId="08EDAB05" w14:textId="20C68E79" w:rsidR="006D58BE" w:rsidRDefault="006D58BE"/>
    <w:p w14:paraId="7C547F83" w14:textId="50ACB056" w:rsidR="006D58BE" w:rsidRDefault="006D58BE"/>
    <w:p w14:paraId="0BF5B4E1" w14:textId="6C28C2D9" w:rsidR="006D58BE" w:rsidRDefault="006D58BE"/>
    <w:p w14:paraId="72C7F7FD" w14:textId="7C819A2B" w:rsidR="006D58BE" w:rsidRDefault="006D58BE"/>
    <w:p w14:paraId="13046E2B" w14:textId="2C03158E" w:rsidR="006D58BE" w:rsidRDefault="006D58BE"/>
    <w:p w14:paraId="0D5EA954" w14:textId="0392AC99" w:rsidR="006D58BE" w:rsidRDefault="006D58BE"/>
    <w:p w14:paraId="2CF41C16" w14:textId="2BE63BCE" w:rsidR="006D58BE" w:rsidRDefault="006D58BE"/>
    <w:p w14:paraId="3A911013" w14:textId="6A227241" w:rsidR="006D58BE" w:rsidRDefault="006D58BE"/>
    <w:p w14:paraId="46862126" w14:textId="22B27A1C" w:rsidR="006D58BE" w:rsidRDefault="006D58BE"/>
    <w:p w14:paraId="34034CB4" w14:textId="7DA268A2" w:rsidR="006D58BE" w:rsidRDefault="006D58BE"/>
    <w:p w14:paraId="5A95077C" w14:textId="224D0AF9" w:rsidR="006D58BE" w:rsidRDefault="006D58BE"/>
    <w:p w14:paraId="00AAADA8" w14:textId="2ED4A62D" w:rsidR="006D58BE" w:rsidRDefault="006D58BE"/>
    <w:p w14:paraId="2EF7E344" w14:textId="16D02AF9" w:rsidR="006D58BE" w:rsidRDefault="006D58BE"/>
    <w:p w14:paraId="4B0D5BE3" w14:textId="77777777" w:rsidR="00C526F2" w:rsidRDefault="00C526F2"/>
    <w:p w14:paraId="1E38D2FA" w14:textId="050280E3" w:rsidR="006D58BE" w:rsidRDefault="006D58BE"/>
    <w:p w14:paraId="5F6C4ACB" w14:textId="77777777" w:rsidR="006D58BE" w:rsidRDefault="006D58BE">
      <w:r>
        <w:rPr>
          <w:rFonts w:hint="eastAsia"/>
        </w:rPr>
        <w:t>附件：</w:t>
      </w:r>
    </w:p>
    <w:tbl>
      <w:tblPr>
        <w:tblStyle w:val="a9"/>
        <w:tblW w:w="0" w:type="auto"/>
        <w:tblLook w:val="04A0" w:firstRow="1" w:lastRow="0" w:firstColumn="1" w:lastColumn="0" w:noHBand="0" w:noVBand="1"/>
      </w:tblPr>
      <w:tblGrid>
        <w:gridCol w:w="4148"/>
        <w:gridCol w:w="4148"/>
      </w:tblGrid>
      <w:tr w:rsidR="006D58BE" w14:paraId="41802FEB" w14:textId="77777777" w:rsidTr="007D1940">
        <w:tc>
          <w:tcPr>
            <w:tcW w:w="4148" w:type="dxa"/>
            <w:vAlign w:val="center"/>
          </w:tcPr>
          <w:p w14:paraId="587E2E41"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安信证券</w:t>
            </w:r>
          </w:p>
        </w:tc>
        <w:tc>
          <w:tcPr>
            <w:tcW w:w="4148" w:type="dxa"/>
            <w:vAlign w:val="center"/>
          </w:tcPr>
          <w:p w14:paraId="7BC14BA7"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南方基金</w:t>
            </w:r>
          </w:p>
        </w:tc>
      </w:tr>
      <w:tr w:rsidR="006D58BE" w14:paraId="7546D979" w14:textId="77777777" w:rsidTr="007D1940">
        <w:tc>
          <w:tcPr>
            <w:tcW w:w="4148" w:type="dxa"/>
            <w:vAlign w:val="center"/>
          </w:tcPr>
          <w:p w14:paraId="6DBB13B9"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宝</w:t>
            </w:r>
            <w:proofErr w:type="gramStart"/>
            <w:r w:rsidRPr="0092602C">
              <w:rPr>
                <w:rFonts w:ascii="宋体" w:eastAsia="宋体" w:hAnsi="宋体" w:hint="eastAsia"/>
                <w:color w:val="000000"/>
                <w:sz w:val="22"/>
              </w:rPr>
              <w:t>盈基金</w:t>
            </w:r>
            <w:proofErr w:type="gramEnd"/>
          </w:p>
        </w:tc>
        <w:tc>
          <w:tcPr>
            <w:tcW w:w="4148" w:type="dxa"/>
            <w:vAlign w:val="center"/>
          </w:tcPr>
          <w:p w14:paraId="3CF099BE"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宁波三</w:t>
            </w:r>
            <w:proofErr w:type="gramStart"/>
            <w:r w:rsidRPr="0092602C">
              <w:rPr>
                <w:rFonts w:ascii="宋体" w:eastAsia="宋体" w:hAnsi="宋体" w:hint="eastAsia"/>
                <w:color w:val="000000"/>
                <w:sz w:val="22"/>
              </w:rPr>
              <w:t>登投资</w:t>
            </w:r>
            <w:proofErr w:type="gramEnd"/>
            <w:r w:rsidRPr="0092602C">
              <w:rPr>
                <w:rFonts w:ascii="宋体" w:eastAsia="宋体" w:hAnsi="宋体" w:hint="eastAsia"/>
                <w:color w:val="000000"/>
                <w:sz w:val="22"/>
              </w:rPr>
              <w:t>管理合伙企业(有限合伙)</w:t>
            </w:r>
          </w:p>
        </w:tc>
      </w:tr>
      <w:tr w:rsidR="006D58BE" w14:paraId="03A503BB" w14:textId="77777777" w:rsidTr="007D1940">
        <w:tc>
          <w:tcPr>
            <w:tcW w:w="4148" w:type="dxa"/>
            <w:vAlign w:val="center"/>
          </w:tcPr>
          <w:p w14:paraId="3A11F3CA"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北京盛曦投资管理有限责任公司</w:t>
            </w:r>
          </w:p>
        </w:tc>
        <w:tc>
          <w:tcPr>
            <w:tcW w:w="4148" w:type="dxa"/>
            <w:vAlign w:val="center"/>
          </w:tcPr>
          <w:p w14:paraId="5DC25789"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乾锦豪</w:t>
            </w:r>
            <w:proofErr w:type="gramEnd"/>
            <w:r w:rsidRPr="0092602C">
              <w:rPr>
                <w:rFonts w:ascii="宋体" w:eastAsia="宋体" w:hAnsi="宋体" w:hint="eastAsia"/>
                <w:color w:val="000000"/>
                <w:sz w:val="22"/>
              </w:rPr>
              <w:t>(深圳)资产管理有限公司</w:t>
            </w:r>
          </w:p>
        </w:tc>
      </w:tr>
      <w:tr w:rsidR="006D58BE" w14:paraId="0BA5CDEA" w14:textId="77777777" w:rsidTr="007D1940">
        <w:tc>
          <w:tcPr>
            <w:tcW w:w="4148" w:type="dxa"/>
            <w:vAlign w:val="center"/>
          </w:tcPr>
          <w:p w14:paraId="6C8CD20E"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博道基金</w:t>
            </w:r>
          </w:p>
        </w:tc>
        <w:tc>
          <w:tcPr>
            <w:tcW w:w="4148" w:type="dxa"/>
            <w:vAlign w:val="center"/>
          </w:tcPr>
          <w:p w14:paraId="71635AF8"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青岛中航赛维投资</w:t>
            </w:r>
          </w:p>
        </w:tc>
      </w:tr>
      <w:tr w:rsidR="006D58BE" w14:paraId="3C342C32" w14:textId="77777777" w:rsidTr="007D1940">
        <w:tc>
          <w:tcPr>
            <w:tcW w:w="4148" w:type="dxa"/>
            <w:vAlign w:val="center"/>
          </w:tcPr>
          <w:p w14:paraId="72D93A2F"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博时基金</w:t>
            </w:r>
          </w:p>
        </w:tc>
        <w:tc>
          <w:tcPr>
            <w:tcW w:w="4148" w:type="dxa"/>
            <w:vAlign w:val="center"/>
          </w:tcPr>
          <w:p w14:paraId="129A156A"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荣泽石资产</w:t>
            </w:r>
            <w:proofErr w:type="gramEnd"/>
            <w:r w:rsidRPr="0092602C">
              <w:rPr>
                <w:rFonts w:ascii="宋体" w:eastAsia="宋体" w:hAnsi="宋体" w:hint="eastAsia"/>
                <w:color w:val="000000"/>
                <w:sz w:val="22"/>
              </w:rPr>
              <w:t>管理有限公司</w:t>
            </w:r>
          </w:p>
        </w:tc>
      </w:tr>
      <w:tr w:rsidR="006D58BE" w14:paraId="14EE1154" w14:textId="77777777" w:rsidTr="007D1940">
        <w:tc>
          <w:tcPr>
            <w:tcW w:w="4148" w:type="dxa"/>
            <w:vAlign w:val="center"/>
          </w:tcPr>
          <w:p w14:paraId="389045D8"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财通证券</w:t>
            </w:r>
          </w:p>
        </w:tc>
        <w:tc>
          <w:tcPr>
            <w:tcW w:w="4148" w:type="dxa"/>
            <w:vAlign w:val="center"/>
          </w:tcPr>
          <w:p w14:paraId="11D4347B"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三峡资本控股有限责任公司</w:t>
            </w:r>
          </w:p>
        </w:tc>
      </w:tr>
      <w:tr w:rsidR="006D58BE" w14:paraId="1ED9109E" w14:textId="77777777" w:rsidTr="007D1940">
        <w:tc>
          <w:tcPr>
            <w:tcW w:w="4148" w:type="dxa"/>
            <w:vAlign w:val="center"/>
          </w:tcPr>
          <w:p w14:paraId="0C1B714D"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财信证券</w:t>
            </w:r>
          </w:p>
        </w:tc>
        <w:tc>
          <w:tcPr>
            <w:tcW w:w="4148" w:type="dxa"/>
            <w:vAlign w:val="center"/>
          </w:tcPr>
          <w:p w14:paraId="13D649C7"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上海承周资产管理有限公司</w:t>
            </w:r>
          </w:p>
        </w:tc>
      </w:tr>
      <w:tr w:rsidR="006D58BE" w14:paraId="1E73C944" w14:textId="77777777" w:rsidTr="007D1940">
        <w:tc>
          <w:tcPr>
            <w:tcW w:w="4148" w:type="dxa"/>
            <w:vAlign w:val="center"/>
          </w:tcPr>
          <w:p w14:paraId="085F2F28"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诚通证券</w:t>
            </w:r>
            <w:proofErr w:type="gramEnd"/>
          </w:p>
        </w:tc>
        <w:tc>
          <w:tcPr>
            <w:tcW w:w="4148" w:type="dxa"/>
            <w:vAlign w:val="center"/>
          </w:tcPr>
          <w:p w14:paraId="46A0B605"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上海递归私募基金</w:t>
            </w:r>
          </w:p>
        </w:tc>
      </w:tr>
      <w:tr w:rsidR="006D58BE" w14:paraId="1C70B189" w14:textId="77777777" w:rsidTr="007D1940">
        <w:tc>
          <w:tcPr>
            <w:tcW w:w="4148" w:type="dxa"/>
            <w:vAlign w:val="center"/>
          </w:tcPr>
          <w:p w14:paraId="5AFCFB4F"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东北证券</w:t>
            </w:r>
          </w:p>
        </w:tc>
        <w:tc>
          <w:tcPr>
            <w:tcW w:w="4148" w:type="dxa"/>
            <w:vAlign w:val="center"/>
          </w:tcPr>
          <w:p w14:paraId="3641FC16"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上海方物私募基金</w:t>
            </w:r>
          </w:p>
        </w:tc>
      </w:tr>
      <w:tr w:rsidR="006D58BE" w14:paraId="70ACDBF2" w14:textId="77777777" w:rsidTr="007D1940">
        <w:tc>
          <w:tcPr>
            <w:tcW w:w="4148" w:type="dxa"/>
            <w:vAlign w:val="center"/>
          </w:tcPr>
          <w:p w14:paraId="2A578A92"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东吴证券</w:t>
            </w:r>
          </w:p>
        </w:tc>
        <w:tc>
          <w:tcPr>
            <w:tcW w:w="4148" w:type="dxa"/>
            <w:vAlign w:val="center"/>
          </w:tcPr>
          <w:p w14:paraId="7B6BC68C"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上海虢盛投资管理有限公司</w:t>
            </w:r>
          </w:p>
        </w:tc>
      </w:tr>
      <w:tr w:rsidR="006D58BE" w14:paraId="36AA554D" w14:textId="77777777" w:rsidTr="007D1940">
        <w:tc>
          <w:tcPr>
            <w:tcW w:w="4148" w:type="dxa"/>
            <w:vAlign w:val="center"/>
          </w:tcPr>
          <w:p w14:paraId="327ED31E"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方正证券</w:t>
            </w:r>
          </w:p>
        </w:tc>
        <w:tc>
          <w:tcPr>
            <w:tcW w:w="4148" w:type="dxa"/>
            <w:vAlign w:val="center"/>
          </w:tcPr>
          <w:p w14:paraId="4675F7A5"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上海慧</w:t>
            </w:r>
            <w:proofErr w:type="gramStart"/>
            <w:r w:rsidRPr="0092602C">
              <w:rPr>
                <w:rFonts w:ascii="宋体" w:eastAsia="宋体" w:hAnsi="宋体" w:hint="eastAsia"/>
                <w:color w:val="000000"/>
                <w:sz w:val="22"/>
              </w:rPr>
              <w:t>琛</w:t>
            </w:r>
            <w:proofErr w:type="gramEnd"/>
            <w:r w:rsidRPr="0092602C">
              <w:rPr>
                <w:rFonts w:ascii="宋体" w:eastAsia="宋体" w:hAnsi="宋体" w:hint="eastAsia"/>
                <w:color w:val="000000"/>
                <w:sz w:val="22"/>
              </w:rPr>
              <w:t>私募基金</w:t>
            </w:r>
          </w:p>
        </w:tc>
      </w:tr>
      <w:tr w:rsidR="006D58BE" w14:paraId="62D44725" w14:textId="77777777" w:rsidTr="007D1940">
        <w:tc>
          <w:tcPr>
            <w:tcW w:w="4148" w:type="dxa"/>
            <w:vAlign w:val="center"/>
          </w:tcPr>
          <w:p w14:paraId="3F973514"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工银瑞信</w:t>
            </w:r>
            <w:proofErr w:type="gramEnd"/>
            <w:r w:rsidRPr="0092602C">
              <w:rPr>
                <w:rFonts w:ascii="宋体" w:eastAsia="宋体" w:hAnsi="宋体" w:hint="eastAsia"/>
                <w:color w:val="000000"/>
                <w:sz w:val="22"/>
              </w:rPr>
              <w:t>基金</w:t>
            </w:r>
          </w:p>
        </w:tc>
        <w:tc>
          <w:tcPr>
            <w:tcW w:w="4148" w:type="dxa"/>
            <w:vAlign w:val="center"/>
          </w:tcPr>
          <w:p w14:paraId="26DC0C65"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上海嘉</w:t>
            </w:r>
            <w:proofErr w:type="gramStart"/>
            <w:r w:rsidRPr="0092602C">
              <w:rPr>
                <w:rFonts w:ascii="宋体" w:eastAsia="宋体" w:hAnsi="宋体" w:hint="eastAsia"/>
                <w:color w:val="000000"/>
                <w:sz w:val="22"/>
              </w:rPr>
              <w:t>世</w:t>
            </w:r>
            <w:proofErr w:type="gramEnd"/>
            <w:r w:rsidRPr="0092602C">
              <w:rPr>
                <w:rFonts w:ascii="宋体" w:eastAsia="宋体" w:hAnsi="宋体" w:hint="eastAsia"/>
                <w:color w:val="000000"/>
                <w:sz w:val="22"/>
              </w:rPr>
              <w:t>私募基金</w:t>
            </w:r>
          </w:p>
        </w:tc>
      </w:tr>
      <w:tr w:rsidR="006D58BE" w14:paraId="046C8738" w14:textId="77777777" w:rsidTr="007D1940">
        <w:tc>
          <w:tcPr>
            <w:tcW w:w="4148" w:type="dxa"/>
            <w:vAlign w:val="center"/>
          </w:tcPr>
          <w:p w14:paraId="04BA4916"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广东正圆私募基金</w:t>
            </w:r>
          </w:p>
        </w:tc>
        <w:tc>
          <w:tcPr>
            <w:tcW w:w="4148" w:type="dxa"/>
            <w:vAlign w:val="center"/>
          </w:tcPr>
          <w:p w14:paraId="79928105"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上海重阳投资管理股份有限公司</w:t>
            </w:r>
          </w:p>
        </w:tc>
      </w:tr>
      <w:tr w:rsidR="006D58BE" w14:paraId="2E5809B2" w14:textId="77777777" w:rsidTr="007D1940">
        <w:tc>
          <w:tcPr>
            <w:tcW w:w="4148" w:type="dxa"/>
            <w:vAlign w:val="center"/>
          </w:tcPr>
          <w:p w14:paraId="528C201F"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广州市航长投资</w:t>
            </w:r>
            <w:proofErr w:type="gramEnd"/>
            <w:r w:rsidRPr="0092602C">
              <w:rPr>
                <w:rFonts w:ascii="宋体" w:eastAsia="宋体" w:hAnsi="宋体" w:hint="eastAsia"/>
                <w:color w:val="000000"/>
                <w:sz w:val="22"/>
              </w:rPr>
              <w:t>管理有限公司</w:t>
            </w:r>
          </w:p>
        </w:tc>
        <w:tc>
          <w:tcPr>
            <w:tcW w:w="4148" w:type="dxa"/>
            <w:vAlign w:val="center"/>
          </w:tcPr>
          <w:p w14:paraId="64B9289D"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上汽</w:t>
            </w:r>
            <w:proofErr w:type="gramStart"/>
            <w:r w:rsidRPr="0092602C">
              <w:rPr>
                <w:rFonts w:ascii="宋体" w:eastAsia="宋体" w:hAnsi="宋体" w:hint="eastAsia"/>
                <w:color w:val="000000"/>
                <w:sz w:val="22"/>
              </w:rPr>
              <w:t>颀</w:t>
            </w:r>
            <w:proofErr w:type="gramEnd"/>
            <w:r w:rsidRPr="0092602C">
              <w:rPr>
                <w:rFonts w:ascii="宋体" w:eastAsia="宋体" w:hAnsi="宋体" w:hint="eastAsia"/>
                <w:color w:val="000000"/>
                <w:sz w:val="22"/>
              </w:rPr>
              <w:t>臻(上海)资产管理有限公司</w:t>
            </w:r>
          </w:p>
        </w:tc>
      </w:tr>
      <w:tr w:rsidR="006D58BE" w14:paraId="010500CB" w14:textId="77777777" w:rsidTr="007D1940">
        <w:tc>
          <w:tcPr>
            <w:tcW w:w="4148" w:type="dxa"/>
            <w:vAlign w:val="center"/>
          </w:tcPr>
          <w:p w14:paraId="0278B268"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国寿安保基金</w:t>
            </w:r>
          </w:p>
        </w:tc>
        <w:tc>
          <w:tcPr>
            <w:tcW w:w="4148" w:type="dxa"/>
            <w:vAlign w:val="center"/>
          </w:tcPr>
          <w:p w14:paraId="6B60F0DB"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深圳市尚诚资产</w:t>
            </w:r>
            <w:proofErr w:type="gramEnd"/>
            <w:r w:rsidRPr="0092602C">
              <w:rPr>
                <w:rFonts w:ascii="宋体" w:eastAsia="宋体" w:hAnsi="宋体" w:hint="eastAsia"/>
                <w:color w:val="000000"/>
                <w:sz w:val="22"/>
              </w:rPr>
              <w:t>管理有限责任公司</w:t>
            </w:r>
          </w:p>
        </w:tc>
      </w:tr>
      <w:tr w:rsidR="006D58BE" w14:paraId="5E36FB8F" w14:textId="77777777" w:rsidTr="007D1940">
        <w:tc>
          <w:tcPr>
            <w:tcW w:w="4148" w:type="dxa"/>
            <w:vAlign w:val="center"/>
          </w:tcPr>
          <w:p w14:paraId="37FC2046"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国投证券</w:t>
            </w:r>
          </w:p>
        </w:tc>
        <w:tc>
          <w:tcPr>
            <w:tcW w:w="4148" w:type="dxa"/>
            <w:vAlign w:val="center"/>
          </w:tcPr>
          <w:p w14:paraId="5E6EDD91"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深圳中天汇</w:t>
            </w:r>
            <w:proofErr w:type="gramStart"/>
            <w:r w:rsidRPr="0092602C">
              <w:rPr>
                <w:rFonts w:ascii="宋体" w:eastAsia="宋体" w:hAnsi="宋体" w:hint="eastAsia"/>
                <w:color w:val="000000"/>
                <w:sz w:val="22"/>
              </w:rPr>
              <w:t>富基金</w:t>
            </w:r>
            <w:proofErr w:type="gramEnd"/>
          </w:p>
        </w:tc>
      </w:tr>
      <w:tr w:rsidR="006D58BE" w14:paraId="78A450A2" w14:textId="77777777" w:rsidTr="007D1940">
        <w:tc>
          <w:tcPr>
            <w:tcW w:w="4148" w:type="dxa"/>
            <w:vAlign w:val="center"/>
          </w:tcPr>
          <w:p w14:paraId="7E5D8EC3"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国信证券</w:t>
            </w:r>
          </w:p>
        </w:tc>
        <w:tc>
          <w:tcPr>
            <w:tcW w:w="4148" w:type="dxa"/>
            <w:vAlign w:val="center"/>
          </w:tcPr>
          <w:p w14:paraId="663ACBAB"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苏州云阳宜品投资管理有限公司</w:t>
            </w:r>
          </w:p>
        </w:tc>
      </w:tr>
      <w:tr w:rsidR="006D58BE" w14:paraId="0ADD4839" w14:textId="77777777" w:rsidTr="007D1940">
        <w:tc>
          <w:tcPr>
            <w:tcW w:w="4148" w:type="dxa"/>
            <w:vAlign w:val="center"/>
          </w:tcPr>
          <w:p w14:paraId="52B65E2C"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國</w:t>
            </w:r>
            <w:proofErr w:type="gramEnd"/>
            <w:r w:rsidRPr="0092602C">
              <w:rPr>
                <w:rFonts w:ascii="宋体" w:eastAsia="宋体" w:hAnsi="宋体" w:hint="eastAsia"/>
                <w:color w:val="000000"/>
                <w:sz w:val="22"/>
              </w:rPr>
              <w:t>泰君安國際控股有限公司</w:t>
            </w:r>
          </w:p>
        </w:tc>
        <w:tc>
          <w:tcPr>
            <w:tcW w:w="4148" w:type="dxa"/>
            <w:vAlign w:val="center"/>
          </w:tcPr>
          <w:p w14:paraId="3947999F"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太平洋证券</w:t>
            </w:r>
          </w:p>
        </w:tc>
      </w:tr>
      <w:tr w:rsidR="006D58BE" w14:paraId="7CD157D0" w14:textId="77777777" w:rsidTr="007D1940">
        <w:tc>
          <w:tcPr>
            <w:tcW w:w="4148" w:type="dxa"/>
            <w:vAlign w:val="center"/>
          </w:tcPr>
          <w:p w14:paraId="662875EA"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海通证券</w:t>
            </w:r>
          </w:p>
        </w:tc>
        <w:tc>
          <w:tcPr>
            <w:tcW w:w="4148" w:type="dxa"/>
            <w:vAlign w:val="center"/>
          </w:tcPr>
          <w:p w14:paraId="39408F97"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天弘基金</w:t>
            </w:r>
            <w:proofErr w:type="gramEnd"/>
          </w:p>
        </w:tc>
      </w:tr>
      <w:tr w:rsidR="006D58BE" w14:paraId="62A7B49C" w14:textId="77777777" w:rsidTr="007D1940">
        <w:tc>
          <w:tcPr>
            <w:tcW w:w="4148" w:type="dxa"/>
            <w:vAlign w:val="center"/>
          </w:tcPr>
          <w:p w14:paraId="0622BD1A"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瀚</w:t>
            </w:r>
            <w:proofErr w:type="gramEnd"/>
            <w:r w:rsidRPr="0092602C">
              <w:rPr>
                <w:rFonts w:ascii="宋体" w:eastAsia="宋体" w:hAnsi="宋体" w:hint="eastAsia"/>
                <w:color w:val="000000"/>
                <w:sz w:val="22"/>
              </w:rPr>
              <w:t>川投资</w:t>
            </w:r>
          </w:p>
        </w:tc>
        <w:tc>
          <w:tcPr>
            <w:tcW w:w="4148" w:type="dxa"/>
            <w:vAlign w:val="center"/>
          </w:tcPr>
          <w:p w14:paraId="7DBD4FB4"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同泰基金</w:t>
            </w:r>
          </w:p>
        </w:tc>
      </w:tr>
      <w:tr w:rsidR="006D58BE" w14:paraId="6104B40B" w14:textId="77777777" w:rsidTr="007D1940">
        <w:tc>
          <w:tcPr>
            <w:tcW w:w="4148" w:type="dxa"/>
            <w:vAlign w:val="center"/>
          </w:tcPr>
          <w:p w14:paraId="56C8A734"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杭州俊腾私募</w:t>
            </w:r>
            <w:proofErr w:type="gramEnd"/>
            <w:r w:rsidRPr="0092602C">
              <w:rPr>
                <w:rFonts w:ascii="宋体" w:eastAsia="宋体" w:hAnsi="宋体" w:hint="eastAsia"/>
                <w:color w:val="000000"/>
                <w:sz w:val="22"/>
              </w:rPr>
              <w:t>基金</w:t>
            </w:r>
          </w:p>
        </w:tc>
        <w:tc>
          <w:tcPr>
            <w:tcW w:w="4148" w:type="dxa"/>
            <w:vAlign w:val="center"/>
          </w:tcPr>
          <w:p w14:paraId="6AC34A42"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湘</w:t>
            </w:r>
            <w:proofErr w:type="gramStart"/>
            <w:r w:rsidRPr="0092602C">
              <w:rPr>
                <w:rFonts w:ascii="宋体" w:eastAsia="宋体" w:hAnsi="宋体" w:hint="eastAsia"/>
                <w:color w:val="000000"/>
                <w:sz w:val="22"/>
              </w:rPr>
              <w:t>财基金</w:t>
            </w:r>
            <w:proofErr w:type="gramEnd"/>
          </w:p>
        </w:tc>
      </w:tr>
      <w:tr w:rsidR="006D58BE" w14:paraId="57DF396E" w14:textId="77777777" w:rsidTr="007D1940">
        <w:tc>
          <w:tcPr>
            <w:tcW w:w="4148" w:type="dxa"/>
            <w:vAlign w:val="center"/>
          </w:tcPr>
          <w:p w14:paraId="0C7C03AF"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红杉中国</w:t>
            </w:r>
          </w:p>
        </w:tc>
        <w:tc>
          <w:tcPr>
            <w:tcW w:w="4148" w:type="dxa"/>
            <w:vAlign w:val="center"/>
          </w:tcPr>
          <w:p w14:paraId="0CA60374"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阳光资产管理股份有限公司</w:t>
            </w:r>
          </w:p>
        </w:tc>
      </w:tr>
      <w:tr w:rsidR="006D58BE" w14:paraId="4A981D5C" w14:textId="77777777" w:rsidTr="007D1940">
        <w:tc>
          <w:tcPr>
            <w:tcW w:w="4148" w:type="dxa"/>
            <w:vAlign w:val="center"/>
          </w:tcPr>
          <w:p w14:paraId="29AB04F5"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泓德基金</w:t>
            </w:r>
            <w:proofErr w:type="gramEnd"/>
          </w:p>
        </w:tc>
        <w:tc>
          <w:tcPr>
            <w:tcW w:w="4148" w:type="dxa"/>
            <w:vAlign w:val="center"/>
          </w:tcPr>
          <w:p w14:paraId="20E9F63C"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友安众晟资产管理有限公司</w:t>
            </w:r>
          </w:p>
        </w:tc>
      </w:tr>
      <w:tr w:rsidR="006D58BE" w14:paraId="61D11E16" w14:textId="77777777" w:rsidTr="007D1940">
        <w:tc>
          <w:tcPr>
            <w:tcW w:w="4148" w:type="dxa"/>
            <w:vAlign w:val="center"/>
          </w:tcPr>
          <w:p w14:paraId="48AB29CA"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鸿运私募基金</w:t>
            </w:r>
          </w:p>
        </w:tc>
        <w:tc>
          <w:tcPr>
            <w:tcW w:w="4148" w:type="dxa"/>
            <w:vAlign w:val="center"/>
          </w:tcPr>
          <w:p w14:paraId="696EFC47" w14:textId="77777777" w:rsidR="006D58BE" w:rsidRPr="0092602C" w:rsidRDefault="006D58BE" w:rsidP="007D1940">
            <w:pPr>
              <w:jc w:val="center"/>
              <w:rPr>
                <w:rFonts w:ascii="宋体" w:eastAsia="宋体" w:hAnsi="宋体"/>
              </w:rPr>
            </w:pPr>
            <w:proofErr w:type="gramStart"/>
            <w:r w:rsidRPr="0092602C">
              <w:rPr>
                <w:rFonts w:ascii="宋体" w:eastAsia="宋体" w:hAnsi="宋体" w:hint="eastAsia"/>
                <w:color w:val="000000"/>
                <w:sz w:val="22"/>
              </w:rPr>
              <w:t>粤佛私募</w:t>
            </w:r>
            <w:proofErr w:type="gramEnd"/>
            <w:r w:rsidRPr="0092602C">
              <w:rPr>
                <w:rFonts w:ascii="宋体" w:eastAsia="宋体" w:hAnsi="宋体" w:hint="eastAsia"/>
                <w:color w:val="000000"/>
                <w:sz w:val="22"/>
              </w:rPr>
              <w:t>基金管理(武汉)有限公司</w:t>
            </w:r>
          </w:p>
        </w:tc>
      </w:tr>
      <w:tr w:rsidR="006D58BE" w14:paraId="1BB0831F" w14:textId="77777777" w:rsidTr="007D1940">
        <w:tc>
          <w:tcPr>
            <w:tcW w:w="4148" w:type="dxa"/>
            <w:vAlign w:val="center"/>
          </w:tcPr>
          <w:p w14:paraId="2E7C1A38"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华</w:t>
            </w:r>
            <w:proofErr w:type="gramStart"/>
            <w:r w:rsidRPr="0092602C">
              <w:rPr>
                <w:rFonts w:ascii="宋体" w:eastAsia="宋体" w:hAnsi="宋体" w:hint="eastAsia"/>
                <w:color w:val="000000"/>
                <w:sz w:val="22"/>
              </w:rPr>
              <w:t>福证券</w:t>
            </w:r>
            <w:proofErr w:type="gramEnd"/>
          </w:p>
        </w:tc>
        <w:tc>
          <w:tcPr>
            <w:tcW w:w="4148" w:type="dxa"/>
            <w:vAlign w:val="center"/>
          </w:tcPr>
          <w:p w14:paraId="6A06A338"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长安信托</w:t>
            </w:r>
          </w:p>
        </w:tc>
      </w:tr>
      <w:tr w:rsidR="006D58BE" w14:paraId="6B5B833B" w14:textId="77777777" w:rsidTr="007D1940">
        <w:tc>
          <w:tcPr>
            <w:tcW w:w="4148" w:type="dxa"/>
            <w:vAlign w:val="center"/>
          </w:tcPr>
          <w:p w14:paraId="5DA305B1"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华泰证券(上海)资产管理有限公司</w:t>
            </w:r>
          </w:p>
        </w:tc>
        <w:tc>
          <w:tcPr>
            <w:tcW w:w="4148" w:type="dxa"/>
            <w:vAlign w:val="center"/>
          </w:tcPr>
          <w:p w14:paraId="521E3170"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长城证券</w:t>
            </w:r>
          </w:p>
        </w:tc>
      </w:tr>
      <w:tr w:rsidR="006D58BE" w14:paraId="01C62670" w14:textId="77777777" w:rsidTr="007D1940">
        <w:tc>
          <w:tcPr>
            <w:tcW w:w="4148" w:type="dxa"/>
            <w:vAlign w:val="center"/>
          </w:tcPr>
          <w:p w14:paraId="30C65DB4"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华西证券</w:t>
            </w:r>
          </w:p>
        </w:tc>
        <w:tc>
          <w:tcPr>
            <w:tcW w:w="4148" w:type="dxa"/>
            <w:vAlign w:val="center"/>
          </w:tcPr>
          <w:p w14:paraId="45059230" w14:textId="77777777" w:rsidR="006D58BE" w:rsidRPr="0092602C" w:rsidRDefault="006D58BE" w:rsidP="007D1940">
            <w:pPr>
              <w:jc w:val="center"/>
              <w:rPr>
                <w:rFonts w:ascii="宋体" w:eastAsia="宋体" w:hAnsi="宋体"/>
              </w:rPr>
            </w:pPr>
            <w:r w:rsidRPr="0092602C">
              <w:rPr>
                <w:rFonts w:ascii="宋体" w:eastAsia="宋体" w:hAnsi="宋体" w:hint="eastAsia"/>
                <w:color w:val="000000"/>
                <w:sz w:val="22"/>
              </w:rPr>
              <w:t>长江证券</w:t>
            </w:r>
          </w:p>
        </w:tc>
      </w:tr>
      <w:tr w:rsidR="006D58BE" w14:paraId="7073F36C" w14:textId="77777777" w:rsidTr="007D1940">
        <w:tc>
          <w:tcPr>
            <w:tcW w:w="4148" w:type="dxa"/>
            <w:vAlign w:val="center"/>
          </w:tcPr>
          <w:p w14:paraId="29BD58DA" w14:textId="77777777"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华夏财富创新投资管理有限公司</w:t>
            </w:r>
          </w:p>
        </w:tc>
        <w:tc>
          <w:tcPr>
            <w:tcW w:w="4148" w:type="dxa"/>
            <w:vAlign w:val="center"/>
          </w:tcPr>
          <w:p w14:paraId="60066595" w14:textId="72290132" w:rsidR="006D58BE" w:rsidRPr="0092602C" w:rsidRDefault="006D58BE" w:rsidP="006D58BE">
            <w:pPr>
              <w:jc w:val="center"/>
              <w:rPr>
                <w:rFonts w:ascii="宋体" w:eastAsia="宋体" w:hAnsi="宋体"/>
              </w:rPr>
            </w:pPr>
            <w:proofErr w:type="gramStart"/>
            <w:r w:rsidRPr="0092602C">
              <w:rPr>
                <w:rFonts w:ascii="宋体" w:eastAsia="宋体" w:hAnsi="宋体" w:hint="eastAsia"/>
                <w:color w:val="000000"/>
                <w:sz w:val="22"/>
              </w:rPr>
              <w:t>浙商证券</w:t>
            </w:r>
            <w:proofErr w:type="gramEnd"/>
          </w:p>
        </w:tc>
      </w:tr>
      <w:tr w:rsidR="006D58BE" w14:paraId="796EBDAB" w14:textId="77777777" w:rsidTr="007D1940">
        <w:tc>
          <w:tcPr>
            <w:tcW w:w="4148" w:type="dxa"/>
            <w:vAlign w:val="center"/>
          </w:tcPr>
          <w:p w14:paraId="2B4E5E76" w14:textId="77777777"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华鑫证券</w:t>
            </w:r>
          </w:p>
        </w:tc>
        <w:tc>
          <w:tcPr>
            <w:tcW w:w="4148" w:type="dxa"/>
            <w:vAlign w:val="center"/>
          </w:tcPr>
          <w:p w14:paraId="788AA1D1" w14:textId="2A1FE290" w:rsidR="006D58BE" w:rsidRPr="0092602C" w:rsidRDefault="006D58BE" w:rsidP="006D58BE">
            <w:pPr>
              <w:jc w:val="center"/>
              <w:rPr>
                <w:rFonts w:ascii="宋体" w:eastAsia="宋体" w:hAnsi="宋体"/>
              </w:rPr>
            </w:pPr>
            <w:proofErr w:type="gramStart"/>
            <w:r w:rsidRPr="0092602C">
              <w:rPr>
                <w:rFonts w:ascii="宋体" w:eastAsia="宋体" w:hAnsi="宋体" w:hint="eastAsia"/>
                <w:color w:val="000000"/>
                <w:sz w:val="22"/>
              </w:rPr>
              <w:t>中庚基金</w:t>
            </w:r>
            <w:proofErr w:type="gramEnd"/>
          </w:p>
        </w:tc>
      </w:tr>
      <w:tr w:rsidR="006D58BE" w14:paraId="6776C3A6" w14:textId="77777777" w:rsidTr="007D1940">
        <w:tc>
          <w:tcPr>
            <w:tcW w:w="4148" w:type="dxa"/>
            <w:vAlign w:val="center"/>
          </w:tcPr>
          <w:p w14:paraId="286F34F2" w14:textId="77777777" w:rsidR="006D58BE" w:rsidRPr="0092602C" w:rsidRDefault="006D58BE" w:rsidP="006D58BE">
            <w:pPr>
              <w:jc w:val="center"/>
              <w:rPr>
                <w:rFonts w:ascii="宋体" w:eastAsia="宋体" w:hAnsi="宋体"/>
              </w:rPr>
            </w:pPr>
            <w:proofErr w:type="gramStart"/>
            <w:r w:rsidRPr="0092602C">
              <w:rPr>
                <w:rFonts w:ascii="宋体" w:eastAsia="宋体" w:hAnsi="宋体" w:hint="eastAsia"/>
                <w:color w:val="000000"/>
                <w:sz w:val="22"/>
              </w:rPr>
              <w:t>惠升基金</w:t>
            </w:r>
            <w:proofErr w:type="gramEnd"/>
          </w:p>
        </w:tc>
        <w:tc>
          <w:tcPr>
            <w:tcW w:w="4148" w:type="dxa"/>
            <w:vAlign w:val="center"/>
          </w:tcPr>
          <w:p w14:paraId="4D4EEA13" w14:textId="24436A7B"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中国国际金融股份有限公司</w:t>
            </w:r>
          </w:p>
        </w:tc>
      </w:tr>
      <w:tr w:rsidR="006D58BE" w14:paraId="099F8BAA" w14:textId="77777777" w:rsidTr="007D1940">
        <w:tc>
          <w:tcPr>
            <w:tcW w:w="4148" w:type="dxa"/>
            <w:vAlign w:val="center"/>
          </w:tcPr>
          <w:p w14:paraId="523CB4F5" w14:textId="77777777" w:rsidR="006D58BE" w:rsidRPr="0092602C" w:rsidRDefault="006D58BE" w:rsidP="006D58BE">
            <w:pPr>
              <w:jc w:val="center"/>
              <w:rPr>
                <w:rFonts w:ascii="宋体" w:eastAsia="宋体" w:hAnsi="宋体"/>
              </w:rPr>
            </w:pPr>
            <w:proofErr w:type="gramStart"/>
            <w:r w:rsidRPr="0092602C">
              <w:rPr>
                <w:rFonts w:ascii="宋体" w:eastAsia="宋体" w:hAnsi="宋体" w:hint="eastAsia"/>
                <w:color w:val="000000"/>
                <w:sz w:val="22"/>
              </w:rPr>
              <w:t>嘉合基金</w:t>
            </w:r>
            <w:proofErr w:type="gramEnd"/>
          </w:p>
        </w:tc>
        <w:tc>
          <w:tcPr>
            <w:tcW w:w="4148" w:type="dxa"/>
            <w:vAlign w:val="center"/>
          </w:tcPr>
          <w:p w14:paraId="7DF70C4B" w14:textId="4958C50D"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中国银河证券</w:t>
            </w:r>
          </w:p>
        </w:tc>
      </w:tr>
      <w:tr w:rsidR="006D58BE" w14:paraId="2362D76E" w14:textId="77777777" w:rsidTr="007D1940">
        <w:tc>
          <w:tcPr>
            <w:tcW w:w="4148" w:type="dxa"/>
            <w:vAlign w:val="center"/>
          </w:tcPr>
          <w:p w14:paraId="48BDBA52" w14:textId="77777777"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嘉</w:t>
            </w:r>
            <w:proofErr w:type="gramStart"/>
            <w:r w:rsidRPr="0092602C">
              <w:rPr>
                <w:rFonts w:ascii="宋体" w:eastAsia="宋体" w:hAnsi="宋体" w:hint="eastAsia"/>
                <w:color w:val="000000"/>
                <w:sz w:val="22"/>
              </w:rPr>
              <w:t>实基金</w:t>
            </w:r>
            <w:proofErr w:type="gramEnd"/>
          </w:p>
        </w:tc>
        <w:tc>
          <w:tcPr>
            <w:tcW w:w="4148" w:type="dxa"/>
            <w:vAlign w:val="center"/>
          </w:tcPr>
          <w:p w14:paraId="31A1B328" w14:textId="6D8C71CA"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中航信托股份有限公司</w:t>
            </w:r>
          </w:p>
        </w:tc>
      </w:tr>
      <w:tr w:rsidR="006D58BE" w14:paraId="77519AF6" w14:textId="77777777" w:rsidTr="007D1940">
        <w:tc>
          <w:tcPr>
            <w:tcW w:w="4148" w:type="dxa"/>
            <w:vAlign w:val="center"/>
          </w:tcPr>
          <w:p w14:paraId="21EF5EE5" w14:textId="77777777"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开源证券</w:t>
            </w:r>
          </w:p>
        </w:tc>
        <w:tc>
          <w:tcPr>
            <w:tcW w:w="4148" w:type="dxa"/>
            <w:vAlign w:val="center"/>
          </w:tcPr>
          <w:p w14:paraId="7718390D" w14:textId="3FF64C11"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中</w:t>
            </w:r>
            <w:proofErr w:type="gramStart"/>
            <w:r w:rsidRPr="0092602C">
              <w:rPr>
                <w:rFonts w:ascii="宋体" w:eastAsia="宋体" w:hAnsi="宋体" w:hint="eastAsia"/>
                <w:color w:val="000000"/>
                <w:sz w:val="22"/>
              </w:rPr>
              <w:t>信建投</w:t>
            </w:r>
            <w:proofErr w:type="gramEnd"/>
          </w:p>
        </w:tc>
      </w:tr>
      <w:tr w:rsidR="006D58BE" w14:paraId="1C4B2BCE" w14:textId="77777777" w:rsidTr="007D1940">
        <w:tc>
          <w:tcPr>
            <w:tcW w:w="4148" w:type="dxa"/>
            <w:vAlign w:val="center"/>
          </w:tcPr>
          <w:p w14:paraId="10B2B74C" w14:textId="752EBF35" w:rsidR="006D58BE" w:rsidRPr="0092602C" w:rsidRDefault="006D58BE" w:rsidP="006D58BE">
            <w:pPr>
              <w:jc w:val="center"/>
              <w:rPr>
                <w:rFonts w:ascii="宋体" w:eastAsia="宋体" w:hAnsi="宋体"/>
              </w:rPr>
            </w:pPr>
            <w:proofErr w:type="gramStart"/>
            <w:r>
              <w:rPr>
                <w:rFonts w:ascii="宋体" w:eastAsia="宋体" w:hAnsi="宋体" w:hint="eastAsia"/>
                <w:color w:val="000000"/>
                <w:sz w:val="22"/>
              </w:rPr>
              <w:t>麦盛资产</w:t>
            </w:r>
            <w:proofErr w:type="gramEnd"/>
            <w:r w:rsidRPr="0092602C">
              <w:rPr>
                <w:rFonts w:ascii="宋体" w:eastAsia="宋体" w:hAnsi="宋体" w:hint="eastAsia"/>
                <w:color w:val="000000"/>
                <w:sz w:val="22"/>
              </w:rPr>
              <w:t>管理有限公司</w:t>
            </w:r>
          </w:p>
        </w:tc>
        <w:tc>
          <w:tcPr>
            <w:tcW w:w="4148" w:type="dxa"/>
            <w:vAlign w:val="center"/>
          </w:tcPr>
          <w:p w14:paraId="332E8FB0" w14:textId="66D1016A"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中银国际证券股份有限公司</w:t>
            </w:r>
          </w:p>
        </w:tc>
      </w:tr>
      <w:tr w:rsidR="006D58BE" w14:paraId="2FC580DA" w14:textId="77777777" w:rsidTr="007D1940">
        <w:tc>
          <w:tcPr>
            <w:tcW w:w="4148" w:type="dxa"/>
            <w:vAlign w:val="center"/>
          </w:tcPr>
          <w:p w14:paraId="0ADC41A6" w14:textId="77777777"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民生证券</w:t>
            </w:r>
          </w:p>
        </w:tc>
        <w:tc>
          <w:tcPr>
            <w:tcW w:w="4148" w:type="dxa"/>
            <w:vAlign w:val="center"/>
          </w:tcPr>
          <w:p w14:paraId="3ECF3F8B" w14:textId="4D53D9D4" w:rsidR="006D58BE" w:rsidRPr="0092602C" w:rsidRDefault="006D58BE" w:rsidP="006D58BE">
            <w:pPr>
              <w:jc w:val="center"/>
              <w:rPr>
                <w:rFonts w:ascii="宋体" w:eastAsia="宋体" w:hAnsi="宋体"/>
              </w:rPr>
            </w:pPr>
            <w:r w:rsidRPr="0092602C">
              <w:rPr>
                <w:rFonts w:ascii="宋体" w:eastAsia="宋体" w:hAnsi="宋体" w:hint="eastAsia"/>
                <w:color w:val="000000"/>
                <w:sz w:val="22"/>
              </w:rPr>
              <w:t>摩根士丹利</w:t>
            </w:r>
            <w:r w:rsidR="004F78EB">
              <w:rPr>
                <w:rFonts w:ascii="宋体" w:eastAsia="宋体" w:hAnsi="宋体" w:hint="eastAsia"/>
                <w:color w:val="000000"/>
                <w:sz w:val="22"/>
              </w:rPr>
              <w:t>亚</w:t>
            </w:r>
            <w:r w:rsidRPr="0092602C">
              <w:rPr>
                <w:rFonts w:ascii="宋体" w:eastAsia="宋体" w:hAnsi="宋体" w:hint="eastAsia"/>
                <w:color w:val="000000"/>
                <w:sz w:val="22"/>
              </w:rPr>
              <w:t>洲有限公司</w:t>
            </w:r>
          </w:p>
        </w:tc>
      </w:tr>
      <w:tr w:rsidR="006D58BE" w14:paraId="1AE155AC" w14:textId="77777777" w:rsidTr="007D1940">
        <w:tc>
          <w:tcPr>
            <w:tcW w:w="4148" w:type="dxa"/>
            <w:vAlign w:val="center"/>
          </w:tcPr>
          <w:p w14:paraId="46ECFE5E" w14:textId="14EDFD3B" w:rsidR="006D58BE" w:rsidRPr="0092602C" w:rsidRDefault="006D58BE" w:rsidP="006D58BE">
            <w:pPr>
              <w:jc w:val="center"/>
              <w:rPr>
                <w:rFonts w:ascii="宋体" w:eastAsia="宋体" w:hAnsi="宋体"/>
              </w:rPr>
            </w:pPr>
          </w:p>
        </w:tc>
        <w:tc>
          <w:tcPr>
            <w:tcW w:w="4148" w:type="dxa"/>
          </w:tcPr>
          <w:p w14:paraId="0CE72774" w14:textId="77777777" w:rsidR="006D58BE" w:rsidRPr="0092602C" w:rsidRDefault="006D58BE" w:rsidP="006D58BE">
            <w:pPr>
              <w:jc w:val="center"/>
              <w:rPr>
                <w:rFonts w:ascii="宋体" w:eastAsia="宋体" w:hAnsi="宋体"/>
              </w:rPr>
            </w:pPr>
          </w:p>
        </w:tc>
      </w:tr>
    </w:tbl>
    <w:p w14:paraId="6ECD8326" w14:textId="68BE1659" w:rsidR="006D58BE" w:rsidRPr="006D58BE" w:rsidRDefault="006D58BE"/>
    <w:sectPr w:rsidR="006D58BE" w:rsidRPr="006D58BE">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7F3D" w14:textId="77777777" w:rsidR="0093441E" w:rsidRDefault="0093441E">
      <w:r>
        <w:separator/>
      </w:r>
    </w:p>
  </w:endnote>
  <w:endnote w:type="continuationSeparator" w:id="0">
    <w:p w14:paraId="25132F53" w14:textId="77777777" w:rsidR="0093441E" w:rsidRDefault="0093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altName w:val="Noto Serif CJK SC"/>
    <w:panose1 w:val="02010600040101010101"/>
    <w:charset w:val="86"/>
    <w:family w:val="auto"/>
    <w:pitch w:val="default"/>
    <w:sig w:usb0="00000000" w:usb1="0000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F55B" w14:textId="77777777" w:rsidR="006A6B6F" w:rsidRDefault="00541F99">
    <w:pPr>
      <w:pStyle w:val="a5"/>
      <w:jc w:val="center"/>
    </w:pPr>
    <w:r>
      <w:fldChar w:fldCharType="begin"/>
    </w:r>
    <w:r>
      <w:instrText>PAGE   \* MERGEFORMAT</w:instrText>
    </w:r>
    <w:r>
      <w:fldChar w:fldCharType="separate"/>
    </w:r>
    <w:r>
      <w:rPr>
        <w:lang w:val="zh-CN"/>
      </w:rPr>
      <w:t>1</w:t>
    </w:r>
    <w:r>
      <w:fldChar w:fldCharType="end"/>
    </w:r>
  </w:p>
  <w:p w14:paraId="2F964F12" w14:textId="77777777" w:rsidR="006A6B6F" w:rsidRDefault="006A6B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559C" w14:textId="77777777" w:rsidR="0093441E" w:rsidRDefault="0093441E">
      <w:r>
        <w:separator/>
      </w:r>
    </w:p>
  </w:footnote>
  <w:footnote w:type="continuationSeparator" w:id="0">
    <w:p w14:paraId="4B974251" w14:textId="77777777" w:rsidR="0093441E" w:rsidRDefault="00934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0A2C"/>
    <w:rsid w:val="BF964A1E"/>
    <w:rsid w:val="000013EA"/>
    <w:rsid w:val="0000395A"/>
    <w:rsid w:val="0000457E"/>
    <w:rsid w:val="00012D2A"/>
    <w:rsid w:val="0001357A"/>
    <w:rsid w:val="00015E91"/>
    <w:rsid w:val="000167B6"/>
    <w:rsid w:val="00017424"/>
    <w:rsid w:val="00024671"/>
    <w:rsid w:val="000315F9"/>
    <w:rsid w:val="0003383D"/>
    <w:rsid w:val="000349DE"/>
    <w:rsid w:val="00036258"/>
    <w:rsid w:val="00036E9A"/>
    <w:rsid w:val="00040449"/>
    <w:rsid w:val="0004129E"/>
    <w:rsid w:val="000413AF"/>
    <w:rsid w:val="00041DF8"/>
    <w:rsid w:val="0004503C"/>
    <w:rsid w:val="000476F3"/>
    <w:rsid w:val="000532DB"/>
    <w:rsid w:val="00054D30"/>
    <w:rsid w:val="000569B9"/>
    <w:rsid w:val="000575D5"/>
    <w:rsid w:val="00065CAA"/>
    <w:rsid w:val="000667B1"/>
    <w:rsid w:val="0006749C"/>
    <w:rsid w:val="00070473"/>
    <w:rsid w:val="00071100"/>
    <w:rsid w:val="000732F2"/>
    <w:rsid w:val="0007453D"/>
    <w:rsid w:val="000828CE"/>
    <w:rsid w:val="00096898"/>
    <w:rsid w:val="000969AB"/>
    <w:rsid w:val="00096F03"/>
    <w:rsid w:val="000A1094"/>
    <w:rsid w:val="000A3213"/>
    <w:rsid w:val="000A3BA3"/>
    <w:rsid w:val="000A3FB3"/>
    <w:rsid w:val="000A4287"/>
    <w:rsid w:val="000A4D6F"/>
    <w:rsid w:val="000A61ED"/>
    <w:rsid w:val="000B05E3"/>
    <w:rsid w:val="000B35E0"/>
    <w:rsid w:val="000B4710"/>
    <w:rsid w:val="000B6728"/>
    <w:rsid w:val="000B6736"/>
    <w:rsid w:val="000C0490"/>
    <w:rsid w:val="000C0B1A"/>
    <w:rsid w:val="000C2494"/>
    <w:rsid w:val="000C2E6C"/>
    <w:rsid w:val="000C343B"/>
    <w:rsid w:val="000C3EBC"/>
    <w:rsid w:val="000C3F64"/>
    <w:rsid w:val="000C4C2E"/>
    <w:rsid w:val="000C672D"/>
    <w:rsid w:val="000D0F75"/>
    <w:rsid w:val="000D2D75"/>
    <w:rsid w:val="000D331F"/>
    <w:rsid w:val="000D3D72"/>
    <w:rsid w:val="000D4115"/>
    <w:rsid w:val="000D519A"/>
    <w:rsid w:val="000E06EE"/>
    <w:rsid w:val="000E1212"/>
    <w:rsid w:val="000E6A96"/>
    <w:rsid w:val="000F1564"/>
    <w:rsid w:val="000F2A67"/>
    <w:rsid w:val="000F32E1"/>
    <w:rsid w:val="000F3D34"/>
    <w:rsid w:val="000F47BE"/>
    <w:rsid w:val="000F558C"/>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E8D"/>
    <w:rsid w:val="00131091"/>
    <w:rsid w:val="00135044"/>
    <w:rsid w:val="001366C1"/>
    <w:rsid w:val="00136DB1"/>
    <w:rsid w:val="0013735E"/>
    <w:rsid w:val="00137501"/>
    <w:rsid w:val="0014383C"/>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2F87"/>
    <w:rsid w:val="00184D7D"/>
    <w:rsid w:val="00186539"/>
    <w:rsid w:val="00186B7C"/>
    <w:rsid w:val="001929E0"/>
    <w:rsid w:val="00193D4F"/>
    <w:rsid w:val="00194DB7"/>
    <w:rsid w:val="001978F2"/>
    <w:rsid w:val="001A1CD8"/>
    <w:rsid w:val="001A2BEA"/>
    <w:rsid w:val="001A6672"/>
    <w:rsid w:val="001A6D2A"/>
    <w:rsid w:val="001B127B"/>
    <w:rsid w:val="001B32D0"/>
    <w:rsid w:val="001B46E4"/>
    <w:rsid w:val="001B4A65"/>
    <w:rsid w:val="001B5787"/>
    <w:rsid w:val="001B6D1C"/>
    <w:rsid w:val="001B7B52"/>
    <w:rsid w:val="001C08D3"/>
    <w:rsid w:val="001C1483"/>
    <w:rsid w:val="001C2BA4"/>
    <w:rsid w:val="001C3F97"/>
    <w:rsid w:val="001C6EC4"/>
    <w:rsid w:val="001C7227"/>
    <w:rsid w:val="001D123A"/>
    <w:rsid w:val="001D5A52"/>
    <w:rsid w:val="001D78B1"/>
    <w:rsid w:val="001E1997"/>
    <w:rsid w:val="001E4F78"/>
    <w:rsid w:val="001E7815"/>
    <w:rsid w:val="001F6A9D"/>
    <w:rsid w:val="001F7CAE"/>
    <w:rsid w:val="00200570"/>
    <w:rsid w:val="002005B6"/>
    <w:rsid w:val="00205F39"/>
    <w:rsid w:val="002065BF"/>
    <w:rsid w:val="002109CA"/>
    <w:rsid w:val="002122AC"/>
    <w:rsid w:val="00212D5A"/>
    <w:rsid w:val="0021378E"/>
    <w:rsid w:val="0021571A"/>
    <w:rsid w:val="00220A65"/>
    <w:rsid w:val="00221C0C"/>
    <w:rsid w:val="00222D7E"/>
    <w:rsid w:val="00223477"/>
    <w:rsid w:val="002238DB"/>
    <w:rsid w:val="0022483B"/>
    <w:rsid w:val="002251A7"/>
    <w:rsid w:val="0022756F"/>
    <w:rsid w:val="0023073E"/>
    <w:rsid w:val="00236C87"/>
    <w:rsid w:val="00236D2D"/>
    <w:rsid w:val="00236EC8"/>
    <w:rsid w:val="002401E5"/>
    <w:rsid w:val="002425F4"/>
    <w:rsid w:val="00242658"/>
    <w:rsid w:val="0024448E"/>
    <w:rsid w:val="00244E7E"/>
    <w:rsid w:val="00246368"/>
    <w:rsid w:val="0025154E"/>
    <w:rsid w:val="00251A42"/>
    <w:rsid w:val="0025240A"/>
    <w:rsid w:val="002548F1"/>
    <w:rsid w:val="0026109E"/>
    <w:rsid w:val="0026628C"/>
    <w:rsid w:val="00266819"/>
    <w:rsid w:val="0027033A"/>
    <w:rsid w:val="00270AFE"/>
    <w:rsid w:val="002715F2"/>
    <w:rsid w:val="002747A4"/>
    <w:rsid w:val="00275468"/>
    <w:rsid w:val="002770D3"/>
    <w:rsid w:val="00281325"/>
    <w:rsid w:val="0028266D"/>
    <w:rsid w:val="00284250"/>
    <w:rsid w:val="00284795"/>
    <w:rsid w:val="002858EB"/>
    <w:rsid w:val="00292A98"/>
    <w:rsid w:val="00297148"/>
    <w:rsid w:val="002A1E08"/>
    <w:rsid w:val="002A3611"/>
    <w:rsid w:val="002A46DC"/>
    <w:rsid w:val="002A585D"/>
    <w:rsid w:val="002C2B37"/>
    <w:rsid w:val="002C5521"/>
    <w:rsid w:val="002D15C4"/>
    <w:rsid w:val="002D21E6"/>
    <w:rsid w:val="002D27FC"/>
    <w:rsid w:val="002D3326"/>
    <w:rsid w:val="002D3C6B"/>
    <w:rsid w:val="002D5BF0"/>
    <w:rsid w:val="002D7A3A"/>
    <w:rsid w:val="002E177D"/>
    <w:rsid w:val="002E6CF9"/>
    <w:rsid w:val="002F0624"/>
    <w:rsid w:val="002F0E20"/>
    <w:rsid w:val="002F3ED5"/>
    <w:rsid w:val="002F7360"/>
    <w:rsid w:val="002F7873"/>
    <w:rsid w:val="00302126"/>
    <w:rsid w:val="0030290A"/>
    <w:rsid w:val="003045F0"/>
    <w:rsid w:val="0031210C"/>
    <w:rsid w:val="00312EAF"/>
    <w:rsid w:val="00316884"/>
    <w:rsid w:val="00317732"/>
    <w:rsid w:val="00323A3E"/>
    <w:rsid w:val="00323D8B"/>
    <w:rsid w:val="003316B4"/>
    <w:rsid w:val="003359EE"/>
    <w:rsid w:val="003362C2"/>
    <w:rsid w:val="00336DBB"/>
    <w:rsid w:val="00345125"/>
    <w:rsid w:val="00347FC7"/>
    <w:rsid w:val="0035050C"/>
    <w:rsid w:val="0035245C"/>
    <w:rsid w:val="00354BB3"/>
    <w:rsid w:val="003558EE"/>
    <w:rsid w:val="003606A1"/>
    <w:rsid w:val="00360F61"/>
    <w:rsid w:val="00360FAE"/>
    <w:rsid w:val="003655AC"/>
    <w:rsid w:val="003663A0"/>
    <w:rsid w:val="003678A3"/>
    <w:rsid w:val="00370BB3"/>
    <w:rsid w:val="00374043"/>
    <w:rsid w:val="00374632"/>
    <w:rsid w:val="0038421D"/>
    <w:rsid w:val="00384435"/>
    <w:rsid w:val="0039187E"/>
    <w:rsid w:val="003919C8"/>
    <w:rsid w:val="00391FE5"/>
    <w:rsid w:val="00392C57"/>
    <w:rsid w:val="0039306F"/>
    <w:rsid w:val="003933E9"/>
    <w:rsid w:val="00395C53"/>
    <w:rsid w:val="003A1ADC"/>
    <w:rsid w:val="003A6DDF"/>
    <w:rsid w:val="003B034F"/>
    <w:rsid w:val="003B2260"/>
    <w:rsid w:val="003B59D5"/>
    <w:rsid w:val="003B6C04"/>
    <w:rsid w:val="003C1332"/>
    <w:rsid w:val="003C14B6"/>
    <w:rsid w:val="003C2E83"/>
    <w:rsid w:val="003C7843"/>
    <w:rsid w:val="003D2BB5"/>
    <w:rsid w:val="003D35BF"/>
    <w:rsid w:val="003D6EB9"/>
    <w:rsid w:val="003D7861"/>
    <w:rsid w:val="003D7888"/>
    <w:rsid w:val="003E300B"/>
    <w:rsid w:val="003E6C3A"/>
    <w:rsid w:val="003E6D78"/>
    <w:rsid w:val="003F5CB0"/>
    <w:rsid w:val="003F6E92"/>
    <w:rsid w:val="004015A1"/>
    <w:rsid w:val="0040321D"/>
    <w:rsid w:val="00413940"/>
    <w:rsid w:val="00414BAD"/>
    <w:rsid w:val="00415920"/>
    <w:rsid w:val="004163BC"/>
    <w:rsid w:val="00421FEE"/>
    <w:rsid w:val="0042420E"/>
    <w:rsid w:val="00424A98"/>
    <w:rsid w:val="00426FA9"/>
    <w:rsid w:val="004302EE"/>
    <w:rsid w:val="00431C17"/>
    <w:rsid w:val="00432FFA"/>
    <w:rsid w:val="0043311B"/>
    <w:rsid w:val="00434793"/>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C60"/>
    <w:rsid w:val="00485717"/>
    <w:rsid w:val="0048759C"/>
    <w:rsid w:val="00491D2D"/>
    <w:rsid w:val="00494A6D"/>
    <w:rsid w:val="004A1518"/>
    <w:rsid w:val="004A1C85"/>
    <w:rsid w:val="004A3318"/>
    <w:rsid w:val="004A4C14"/>
    <w:rsid w:val="004A554A"/>
    <w:rsid w:val="004A5AFA"/>
    <w:rsid w:val="004B21DB"/>
    <w:rsid w:val="004B2F86"/>
    <w:rsid w:val="004B4272"/>
    <w:rsid w:val="004B5D49"/>
    <w:rsid w:val="004B6339"/>
    <w:rsid w:val="004B68DB"/>
    <w:rsid w:val="004C1254"/>
    <w:rsid w:val="004C65E8"/>
    <w:rsid w:val="004C75BD"/>
    <w:rsid w:val="004D0BED"/>
    <w:rsid w:val="004D1053"/>
    <w:rsid w:val="004D1060"/>
    <w:rsid w:val="004D2D42"/>
    <w:rsid w:val="004D3465"/>
    <w:rsid w:val="004D6802"/>
    <w:rsid w:val="004D772A"/>
    <w:rsid w:val="004E018E"/>
    <w:rsid w:val="004E49F5"/>
    <w:rsid w:val="004E76B4"/>
    <w:rsid w:val="004F0CA7"/>
    <w:rsid w:val="004F1257"/>
    <w:rsid w:val="004F4917"/>
    <w:rsid w:val="004F4A1A"/>
    <w:rsid w:val="004F59CB"/>
    <w:rsid w:val="004F5CC2"/>
    <w:rsid w:val="004F78EB"/>
    <w:rsid w:val="0050049D"/>
    <w:rsid w:val="00502177"/>
    <w:rsid w:val="00502F13"/>
    <w:rsid w:val="005118DD"/>
    <w:rsid w:val="00511A10"/>
    <w:rsid w:val="00512B5D"/>
    <w:rsid w:val="005175DF"/>
    <w:rsid w:val="00520403"/>
    <w:rsid w:val="005235B2"/>
    <w:rsid w:val="00531F4F"/>
    <w:rsid w:val="0053261E"/>
    <w:rsid w:val="00535E82"/>
    <w:rsid w:val="00536DC4"/>
    <w:rsid w:val="00540CDF"/>
    <w:rsid w:val="00540DD3"/>
    <w:rsid w:val="00541215"/>
    <w:rsid w:val="00541F99"/>
    <w:rsid w:val="005450A6"/>
    <w:rsid w:val="00546A8D"/>
    <w:rsid w:val="00547F9E"/>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9A9"/>
    <w:rsid w:val="00581A7D"/>
    <w:rsid w:val="00584535"/>
    <w:rsid w:val="00585927"/>
    <w:rsid w:val="00587354"/>
    <w:rsid w:val="00590A1A"/>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23B7"/>
    <w:rsid w:val="005D23F8"/>
    <w:rsid w:val="005D42DC"/>
    <w:rsid w:val="005D432C"/>
    <w:rsid w:val="005D45B5"/>
    <w:rsid w:val="005D7071"/>
    <w:rsid w:val="005D7D28"/>
    <w:rsid w:val="005E6E06"/>
    <w:rsid w:val="005F206D"/>
    <w:rsid w:val="005F3D2F"/>
    <w:rsid w:val="005F4591"/>
    <w:rsid w:val="00606B91"/>
    <w:rsid w:val="00611525"/>
    <w:rsid w:val="00612572"/>
    <w:rsid w:val="0061507A"/>
    <w:rsid w:val="00616137"/>
    <w:rsid w:val="00621570"/>
    <w:rsid w:val="0062197C"/>
    <w:rsid w:val="00622067"/>
    <w:rsid w:val="0062255C"/>
    <w:rsid w:val="006228D8"/>
    <w:rsid w:val="006253A6"/>
    <w:rsid w:val="006268FB"/>
    <w:rsid w:val="00633D44"/>
    <w:rsid w:val="00633EA0"/>
    <w:rsid w:val="006348D7"/>
    <w:rsid w:val="00635A64"/>
    <w:rsid w:val="00635D53"/>
    <w:rsid w:val="00637E44"/>
    <w:rsid w:val="0064452C"/>
    <w:rsid w:val="00651158"/>
    <w:rsid w:val="00651B3A"/>
    <w:rsid w:val="00654550"/>
    <w:rsid w:val="00654746"/>
    <w:rsid w:val="006550C3"/>
    <w:rsid w:val="006639DD"/>
    <w:rsid w:val="006669BD"/>
    <w:rsid w:val="006669F0"/>
    <w:rsid w:val="00667FB2"/>
    <w:rsid w:val="006722FF"/>
    <w:rsid w:val="006762E9"/>
    <w:rsid w:val="0068047A"/>
    <w:rsid w:val="00681CA0"/>
    <w:rsid w:val="00683186"/>
    <w:rsid w:val="00683AFE"/>
    <w:rsid w:val="006860C1"/>
    <w:rsid w:val="006861FB"/>
    <w:rsid w:val="006868E9"/>
    <w:rsid w:val="00687A98"/>
    <w:rsid w:val="00690A1F"/>
    <w:rsid w:val="00691758"/>
    <w:rsid w:val="00693B3E"/>
    <w:rsid w:val="006A0197"/>
    <w:rsid w:val="006A0A9D"/>
    <w:rsid w:val="006A1554"/>
    <w:rsid w:val="006A35E4"/>
    <w:rsid w:val="006A6024"/>
    <w:rsid w:val="006A6B6F"/>
    <w:rsid w:val="006B093C"/>
    <w:rsid w:val="006B49CF"/>
    <w:rsid w:val="006B6997"/>
    <w:rsid w:val="006C37E5"/>
    <w:rsid w:val="006C6468"/>
    <w:rsid w:val="006C6D75"/>
    <w:rsid w:val="006C7687"/>
    <w:rsid w:val="006D255B"/>
    <w:rsid w:val="006D46CF"/>
    <w:rsid w:val="006D58BE"/>
    <w:rsid w:val="006D6309"/>
    <w:rsid w:val="006E1075"/>
    <w:rsid w:val="006E5F4F"/>
    <w:rsid w:val="006E728A"/>
    <w:rsid w:val="006E790C"/>
    <w:rsid w:val="006F047D"/>
    <w:rsid w:val="006F3CDE"/>
    <w:rsid w:val="006F469C"/>
    <w:rsid w:val="006F64B1"/>
    <w:rsid w:val="007004C9"/>
    <w:rsid w:val="00703098"/>
    <w:rsid w:val="00711E3F"/>
    <w:rsid w:val="00713492"/>
    <w:rsid w:val="00716B36"/>
    <w:rsid w:val="007174DF"/>
    <w:rsid w:val="007254CE"/>
    <w:rsid w:val="00726D71"/>
    <w:rsid w:val="007312C6"/>
    <w:rsid w:val="007322C8"/>
    <w:rsid w:val="00735FB7"/>
    <w:rsid w:val="007414BA"/>
    <w:rsid w:val="00747D51"/>
    <w:rsid w:val="0075057E"/>
    <w:rsid w:val="0075102C"/>
    <w:rsid w:val="007538E0"/>
    <w:rsid w:val="00754945"/>
    <w:rsid w:val="00755AEF"/>
    <w:rsid w:val="00755CE7"/>
    <w:rsid w:val="007570AD"/>
    <w:rsid w:val="00757F1A"/>
    <w:rsid w:val="00764462"/>
    <w:rsid w:val="00766820"/>
    <w:rsid w:val="00772D64"/>
    <w:rsid w:val="0077347E"/>
    <w:rsid w:val="007772E9"/>
    <w:rsid w:val="0078320D"/>
    <w:rsid w:val="007832A8"/>
    <w:rsid w:val="00784245"/>
    <w:rsid w:val="00786A30"/>
    <w:rsid w:val="007957AA"/>
    <w:rsid w:val="0079666D"/>
    <w:rsid w:val="00796B44"/>
    <w:rsid w:val="007A3646"/>
    <w:rsid w:val="007A44E2"/>
    <w:rsid w:val="007A50E7"/>
    <w:rsid w:val="007A5893"/>
    <w:rsid w:val="007B019D"/>
    <w:rsid w:val="007B0562"/>
    <w:rsid w:val="007B0E47"/>
    <w:rsid w:val="007B2568"/>
    <w:rsid w:val="007B2F1E"/>
    <w:rsid w:val="007B52C7"/>
    <w:rsid w:val="007B55F3"/>
    <w:rsid w:val="007B66EB"/>
    <w:rsid w:val="007C01DB"/>
    <w:rsid w:val="007C1C50"/>
    <w:rsid w:val="007C20C3"/>
    <w:rsid w:val="007C37F3"/>
    <w:rsid w:val="007C3FBD"/>
    <w:rsid w:val="007C4FCB"/>
    <w:rsid w:val="007C652A"/>
    <w:rsid w:val="007C79D3"/>
    <w:rsid w:val="007D1C3D"/>
    <w:rsid w:val="007D7658"/>
    <w:rsid w:val="007E13BB"/>
    <w:rsid w:val="007E2F5A"/>
    <w:rsid w:val="007E3651"/>
    <w:rsid w:val="007E54CD"/>
    <w:rsid w:val="007F066B"/>
    <w:rsid w:val="007F5F24"/>
    <w:rsid w:val="007F63E1"/>
    <w:rsid w:val="00800199"/>
    <w:rsid w:val="00804187"/>
    <w:rsid w:val="00806D51"/>
    <w:rsid w:val="00806FB3"/>
    <w:rsid w:val="00810A2C"/>
    <w:rsid w:val="00812249"/>
    <w:rsid w:val="008156DC"/>
    <w:rsid w:val="0081737D"/>
    <w:rsid w:val="00817A9E"/>
    <w:rsid w:val="00827B7B"/>
    <w:rsid w:val="00830389"/>
    <w:rsid w:val="008316E8"/>
    <w:rsid w:val="008342BB"/>
    <w:rsid w:val="0083640C"/>
    <w:rsid w:val="00840637"/>
    <w:rsid w:val="0084419F"/>
    <w:rsid w:val="00845234"/>
    <w:rsid w:val="00846ED7"/>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96AA9"/>
    <w:rsid w:val="008A0086"/>
    <w:rsid w:val="008A6311"/>
    <w:rsid w:val="008B34EB"/>
    <w:rsid w:val="008B476E"/>
    <w:rsid w:val="008C0D67"/>
    <w:rsid w:val="008C1A53"/>
    <w:rsid w:val="008C1D98"/>
    <w:rsid w:val="008C4D6A"/>
    <w:rsid w:val="008C5F9C"/>
    <w:rsid w:val="008C647E"/>
    <w:rsid w:val="008D2692"/>
    <w:rsid w:val="008D4297"/>
    <w:rsid w:val="008E09A4"/>
    <w:rsid w:val="008E0C9B"/>
    <w:rsid w:val="008E1245"/>
    <w:rsid w:val="008E3895"/>
    <w:rsid w:val="008E47F8"/>
    <w:rsid w:val="008E4B80"/>
    <w:rsid w:val="008F22B1"/>
    <w:rsid w:val="008F27E2"/>
    <w:rsid w:val="008F2A63"/>
    <w:rsid w:val="008F6D92"/>
    <w:rsid w:val="008F7502"/>
    <w:rsid w:val="008F752E"/>
    <w:rsid w:val="00900AD7"/>
    <w:rsid w:val="009032A4"/>
    <w:rsid w:val="00906B2B"/>
    <w:rsid w:val="00907456"/>
    <w:rsid w:val="00911101"/>
    <w:rsid w:val="009165F6"/>
    <w:rsid w:val="00916BF3"/>
    <w:rsid w:val="00920585"/>
    <w:rsid w:val="00921481"/>
    <w:rsid w:val="00922ADB"/>
    <w:rsid w:val="009263C3"/>
    <w:rsid w:val="00927903"/>
    <w:rsid w:val="00932641"/>
    <w:rsid w:val="0093305E"/>
    <w:rsid w:val="009342AB"/>
    <w:rsid w:val="0093441E"/>
    <w:rsid w:val="0093473A"/>
    <w:rsid w:val="0093553F"/>
    <w:rsid w:val="00935F98"/>
    <w:rsid w:val="009404E2"/>
    <w:rsid w:val="00950852"/>
    <w:rsid w:val="00956081"/>
    <w:rsid w:val="00956BDF"/>
    <w:rsid w:val="00957660"/>
    <w:rsid w:val="0096165F"/>
    <w:rsid w:val="009622BD"/>
    <w:rsid w:val="0096509A"/>
    <w:rsid w:val="00965D68"/>
    <w:rsid w:val="0097205D"/>
    <w:rsid w:val="009736DB"/>
    <w:rsid w:val="00975E83"/>
    <w:rsid w:val="00977553"/>
    <w:rsid w:val="009829C1"/>
    <w:rsid w:val="009857CF"/>
    <w:rsid w:val="00987DA6"/>
    <w:rsid w:val="00995FC8"/>
    <w:rsid w:val="00997097"/>
    <w:rsid w:val="0099798C"/>
    <w:rsid w:val="009A2E29"/>
    <w:rsid w:val="009A5065"/>
    <w:rsid w:val="009B1FD2"/>
    <w:rsid w:val="009B21E0"/>
    <w:rsid w:val="009B2945"/>
    <w:rsid w:val="009B2B37"/>
    <w:rsid w:val="009B5FD5"/>
    <w:rsid w:val="009B6E9E"/>
    <w:rsid w:val="009C0232"/>
    <w:rsid w:val="009C0553"/>
    <w:rsid w:val="009C099D"/>
    <w:rsid w:val="009C2306"/>
    <w:rsid w:val="009C2A30"/>
    <w:rsid w:val="009C2CA9"/>
    <w:rsid w:val="009C2FB4"/>
    <w:rsid w:val="009C30D0"/>
    <w:rsid w:val="009C33CC"/>
    <w:rsid w:val="009C51CE"/>
    <w:rsid w:val="009C7785"/>
    <w:rsid w:val="009D0967"/>
    <w:rsid w:val="009D2BF0"/>
    <w:rsid w:val="009D4FDB"/>
    <w:rsid w:val="009D5FBF"/>
    <w:rsid w:val="009D6784"/>
    <w:rsid w:val="009D733C"/>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36481"/>
    <w:rsid w:val="00A41996"/>
    <w:rsid w:val="00A41A02"/>
    <w:rsid w:val="00A433AA"/>
    <w:rsid w:val="00A44651"/>
    <w:rsid w:val="00A44FE3"/>
    <w:rsid w:val="00A551D8"/>
    <w:rsid w:val="00A56C2D"/>
    <w:rsid w:val="00A56C56"/>
    <w:rsid w:val="00A60993"/>
    <w:rsid w:val="00A62DB2"/>
    <w:rsid w:val="00A666F6"/>
    <w:rsid w:val="00A66B41"/>
    <w:rsid w:val="00A67D01"/>
    <w:rsid w:val="00A717D7"/>
    <w:rsid w:val="00A7323C"/>
    <w:rsid w:val="00A764BD"/>
    <w:rsid w:val="00A76EAF"/>
    <w:rsid w:val="00A83C6E"/>
    <w:rsid w:val="00A84B4A"/>
    <w:rsid w:val="00A84F40"/>
    <w:rsid w:val="00A85DA0"/>
    <w:rsid w:val="00A87FDE"/>
    <w:rsid w:val="00A915A5"/>
    <w:rsid w:val="00AA33EE"/>
    <w:rsid w:val="00AA5CD1"/>
    <w:rsid w:val="00AA66B4"/>
    <w:rsid w:val="00AB3E4C"/>
    <w:rsid w:val="00AB5500"/>
    <w:rsid w:val="00AC0469"/>
    <w:rsid w:val="00AC21DD"/>
    <w:rsid w:val="00AC24F0"/>
    <w:rsid w:val="00AC2F6E"/>
    <w:rsid w:val="00AC3903"/>
    <w:rsid w:val="00AC431A"/>
    <w:rsid w:val="00AD43BB"/>
    <w:rsid w:val="00AD6035"/>
    <w:rsid w:val="00AD67D5"/>
    <w:rsid w:val="00AD7201"/>
    <w:rsid w:val="00AE58EE"/>
    <w:rsid w:val="00AE5DE6"/>
    <w:rsid w:val="00AE7487"/>
    <w:rsid w:val="00AF3A69"/>
    <w:rsid w:val="00AF443F"/>
    <w:rsid w:val="00AF5467"/>
    <w:rsid w:val="00AF5F2F"/>
    <w:rsid w:val="00AF66E8"/>
    <w:rsid w:val="00B0196C"/>
    <w:rsid w:val="00B0332E"/>
    <w:rsid w:val="00B04C12"/>
    <w:rsid w:val="00B052B2"/>
    <w:rsid w:val="00B06926"/>
    <w:rsid w:val="00B07086"/>
    <w:rsid w:val="00B07CBB"/>
    <w:rsid w:val="00B12D5E"/>
    <w:rsid w:val="00B1346B"/>
    <w:rsid w:val="00B148D6"/>
    <w:rsid w:val="00B17B1C"/>
    <w:rsid w:val="00B20F96"/>
    <w:rsid w:val="00B214C9"/>
    <w:rsid w:val="00B23A7E"/>
    <w:rsid w:val="00B24301"/>
    <w:rsid w:val="00B2576B"/>
    <w:rsid w:val="00B263E9"/>
    <w:rsid w:val="00B301F2"/>
    <w:rsid w:val="00B310B5"/>
    <w:rsid w:val="00B324FA"/>
    <w:rsid w:val="00B35713"/>
    <w:rsid w:val="00B37436"/>
    <w:rsid w:val="00B47B7B"/>
    <w:rsid w:val="00B503FD"/>
    <w:rsid w:val="00B55F87"/>
    <w:rsid w:val="00B56365"/>
    <w:rsid w:val="00B57673"/>
    <w:rsid w:val="00B60532"/>
    <w:rsid w:val="00B61A59"/>
    <w:rsid w:val="00B6282F"/>
    <w:rsid w:val="00B64CEB"/>
    <w:rsid w:val="00B65BD1"/>
    <w:rsid w:val="00B71D52"/>
    <w:rsid w:val="00B72BAD"/>
    <w:rsid w:val="00B73126"/>
    <w:rsid w:val="00B75A57"/>
    <w:rsid w:val="00B75D50"/>
    <w:rsid w:val="00B76893"/>
    <w:rsid w:val="00B80851"/>
    <w:rsid w:val="00B82B06"/>
    <w:rsid w:val="00B8391D"/>
    <w:rsid w:val="00B86963"/>
    <w:rsid w:val="00B879AC"/>
    <w:rsid w:val="00B92BC5"/>
    <w:rsid w:val="00B97C98"/>
    <w:rsid w:val="00BA0DF2"/>
    <w:rsid w:val="00BA29BD"/>
    <w:rsid w:val="00BB3662"/>
    <w:rsid w:val="00BB5ABE"/>
    <w:rsid w:val="00BB70E9"/>
    <w:rsid w:val="00BC0650"/>
    <w:rsid w:val="00BC38BD"/>
    <w:rsid w:val="00BC3BE6"/>
    <w:rsid w:val="00BC4069"/>
    <w:rsid w:val="00BC70EB"/>
    <w:rsid w:val="00BC75E9"/>
    <w:rsid w:val="00BD06C6"/>
    <w:rsid w:val="00BD61DE"/>
    <w:rsid w:val="00BE081D"/>
    <w:rsid w:val="00BE19A3"/>
    <w:rsid w:val="00BE2767"/>
    <w:rsid w:val="00BE6C11"/>
    <w:rsid w:val="00BF03AB"/>
    <w:rsid w:val="00BF367B"/>
    <w:rsid w:val="00BF7E51"/>
    <w:rsid w:val="00C1472A"/>
    <w:rsid w:val="00C1521B"/>
    <w:rsid w:val="00C152D9"/>
    <w:rsid w:val="00C157C9"/>
    <w:rsid w:val="00C158C1"/>
    <w:rsid w:val="00C169EC"/>
    <w:rsid w:val="00C2074F"/>
    <w:rsid w:val="00C21648"/>
    <w:rsid w:val="00C22FF7"/>
    <w:rsid w:val="00C23D72"/>
    <w:rsid w:val="00C2452F"/>
    <w:rsid w:val="00C25A48"/>
    <w:rsid w:val="00C2685E"/>
    <w:rsid w:val="00C27B19"/>
    <w:rsid w:val="00C319EC"/>
    <w:rsid w:val="00C3542A"/>
    <w:rsid w:val="00C4326B"/>
    <w:rsid w:val="00C4460D"/>
    <w:rsid w:val="00C4478C"/>
    <w:rsid w:val="00C47324"/>
    <w:rsid w:val="00C505F5"/>
    <w:rsid w:val="00C5156D"/>
    <w:rsid w:val="00C520C8"/>
    <w:rsid w:val="00C522EF"/>
    <w:rsid w:val="00C526F2"/>
    <w:rsid w:val="00C562CA"/>
    <w:rsid w:val="00C56B66"/>
    <w:rsid w:val="00C60D06"/>
    <w:rsid w:val="00C610C2"/>
    <w:rsid w:val="00C61DCD"/>
    <w:rsid w:val="00C622F9"/>
    <w:rsid w:val="00C6297B"/>
    <w:rsid w:val="00C62F8C"/>
    <w:rsid w:val="00C638C3"/>
    <w:rsid w:val="00C639B2"/>
    <w:rsid w:val="00C64618"/>
    <w:rsid w:val="00C7007D"/>
    <w:rsid w:val="00C70B1C"/>
    <w:rsid w:val="00C70C20"/>
    <w:rsid w:val="00C73F2E"/>
    <w:rsid w:val="00C75E01"/>
    <w:rsid w:val="00C76C06"/>
    <w:rsid w:val="00C80C3B"/>
    <w:rsid w:val="00C84D74"/>
    <w:rsid w:val="00C8678E"/>
    <w:rsid w:val="00C87CC6"/>
    <w:rsid w:val="00C90E54"/>
    <w:rsid w:val="00C91B63"/>
    <w:rsid w:val="00C93B88"/>
    <w:rsid w:val="00C94D15"/>
    <w:rsid w:val="00C96C22"/>
    <w:rsid w:val="00C97158"/>
    <w:rsid w:val="00CA3CF8"/>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E0310"/>
    <w:rsid w:val="00CE62CC"/>
    <w:rsid w:val="00CF19D1"/>
    <w:rsid w:val="00CF1EE4"/>
    <w:rsid w:val="00CF5D3B"/>
    <w:rsid w:val="00CF6496"/>
    <w:rsid w:val="00CF655C"/>
    <w:rsid w:val="00CF6921"/>
    <w:rsid w:val="00CF7647"/>
    <w:rsid w:val="00D03CB2"/>
    <w:rsid w:val="00D07215"/>
    <w:rsid w:val="00D1072A"/>
    <w:rsid w:val="00D1278B"/>
    <w:rsid w:val="00D15D2B"/>
    <w:rsid w:val="00D16491"/>
    <w:rsid w:val="00D171FE"/>
    <w:rsid w:val="00D1773C"/>
    <w:rsid w:val="00D20747"/>
    <w:rsid w:val="00D23443"/>
    <w:rsid w:val="00D26B76"/>
    <w:rsid w:val="00D31027"/>
    <w:rsid w:val="00D315E2"/>
    <w:rsid w:val="00D33AC4"/>
    <w:rsid w:val="00D35BCE"/>
    <w:rsid w:val="00D37795"/>
    <w:rsid w:val="00D378C3"/>
    <w:rsid w:val="00D40BD6"/>
    <w:rsid w:val="00D41B91"/>
    <w:rsid w:val="00D450F8"/>
    <w:rsid w:val="00D456FB"/>
    <w:rsid w:val="00D45D04"/>
    <w:rsid w:val="00D47828"/>
    <w:rsid w:val="00D47875"/>
    <w:rsid w:val="00D47A9D"/>
    <w:rsid w:val="00D53159"/>
    <w:rsid w:val="00D61310"/>
    <w:rsid w:val="00D64F30"/>
    <w:rsid w:val="00D67CFE"/>
    <w:rsid w:val="00D77C8D"/>
    <w:rsid w:val="00D81416"/>
    <w:rsid w:val="00D81CB1"/>
    <w:rsid w:val="00D839FA"/>
    <w:rsid w:val="00D83AED"/>
    <w:rsid w:val="00D8777C"/>
    <w:rsid w:val="00D924EA"/>
    <w:rsid w:val="00D92D50"/>
    <w:rsid w:val="00DA1B05"/>
    <w:rsid w:val="00DA34A5"/>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3714"/>
    <w:rsid w:val="00DE3B16"/>
    <w:rsid w:val="00DE3F0B"/>
    <w:rsid w:val="00DE6E51"/>
    <w:rsid w:val="00DF48B8"/>
    <w:rsid w:val="00DF6F7E"/>
    <w:rsid w:val="00E0298C"/>
    <w:rsid w:val="00E02E2F"/>
    <w:rsid w:val="00E049AA"/>
    <w:rsid w:val="00E04ED7"/>
    <w:rsid w:val="00E0582C"/>
    <w:rsid w:val="00E11CE6"/>
    <w:rsid w:val="00E1274D"/>
    <w:rsid w:val="00E13693"/>
    <w:rsid w:val="00E13DC4"/>
    <w:rsid w:val="00E14FB2"/>
    <w:rsid w:val="00E1740D"/>
    <w:rsid w:val="00E2357C"/>
    <w:rsid w:val="00E32168"/>
    <w:rsid w:val="00E33BA9"/>
    <w:rsid w:val="00E4341A"/>
    <w:rsid w:val="00E43A9C"/>
    <w:rsid w:val="00E456BF"/>
    <w:rsid w:val="00E52705"/>
    <w:rsid w:val="00E56EF2"/>
    <w:rsid w:val="00E57DAE"/>
    <w:rsid w:val="00E60652"/>
    <w:rsid w:val="00E60B15"/>
    <w:rsid w:val="00E61D71"/>
    <w:rsid w:val="00E62317"/>
    <w:rsid w:val="00E62E57"/>
    <w:rsid w:val="00E63152"/>
    <w:rsid w:val="00E64C43"/>
    <w:rsid w:val="00E64CC4"/>
    <w:rsid w:val="00E64F58"/>
    <w:rsid w:val="00E72EBC"/>
    <w:rsid w:val="00E7364B"/>
    <w:rsid w:val="00E82005"/>
    <w:rsid w:val="00E827B0"/>
    <w:rsid w:val="00E9613B"/>
    <w:rsid w:val="00E96EAD"/>
    <w:rsid w:val="00EA06DB"/>
    <w:rsid w:val="00EA0A32"/>
    <w:rsid w:val="00EA103D"/>
    <w:rsid w:val="00EA2E8A"/>
    <w:rsid w:val="00EA5763"/>
    <w:rsid w:val="00EB15E5"/>
    <w:rsid w:val="00EB1FBA"/>
    <w:rsid w:val="00EB72D8"/>
    <w:rsid w:val="00EC290C"/>
    <w:rsid w:val="00EC293E"/>
    <w:rsid w:val="00EC3734"/>
    <w:rsid w:val="00EC5AA1"/>
    <w:rsid w:val="00EC78BF"/>
    <w:rsid w:val="00EC7B31"/>
    <w:rsid w:val="00ED7FE6"/>
    <w:rsid w:val="00EE140B"/>
    <w:rsid w:val="00EE17C0"/>
    <w:rsid w:val="00EE38D9"/>
    <w:rsid w:val="00EE406A"/>
    <w:rsid w:val="00EE7B33"/>
    <w:rsid w:val="00EF2C52"/>
    <w:rsid w:val="00EF4E45"/>
    <w:rsid w:val="00EF5004"/>
    <w:rsid w:val="00F03E71"/>
    <w:rsid w:val="00F040CB"/>
    <w:rsid w:val="00F04A42"/>
    <w:rsid w:val="00F06EE9"/>
    <w:rsid w:val="00F074A1"/>
    <w:rsid w:val="00F10A3D"/>
    <w:rsid w:val="00F1589C"/>
    <w:rsid w:val="00F25306"/>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4417"/>
    <w:rsid w:val="00F75E99"/>
    <w:rsid w:val="00F8077E"/>
    <w:rsid w:val="00F80E43"/>
    <w:rsid w:val="00F84C99"/>
    <w:rsid w:val="00F85073"/>
    <w:rsid w:val="00F922CF"/>
    <w:rsid w:val="00F947C8"/>
    <w:rsid w:val="00F96936"/>
    <w:rsid w:val="00F96A4E"/>
    <w:rsid w:val="00FA2A7F"/>
    <w:rsid w:val="00FA33D3"/>
    <w:rsid w:val="00FA613C"/>
    <w:rsid w:val="00FB2DF1"/>
    <w:rsid w:val="00FB343F"/>
    <w:rsid w:val="00FB66D4"/>
    <w:rsid w:val="00FC0734"/>
    <w:rsid w:val="00FC0C4E"/>
    <w:rsid w:val="00FC3495"/>
    <w:rsid w:val="00FE40DA"/>
    <w:rsid w:val="00FE4FC5"/>
    <w:rsid w:val="00FE69E5"/>
    <w:rsid w:val="1FDCBC77"/>
    <w:rsid w:val="3AD7E0FA"/>
    <w:rsid w:val="4EF3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EAD3DA"/>
  <w15:docId w15:val="{B9E86C63-34A6-44F6-B692-909BE5C89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styleId="aa">
    <w:name w:val="Revision"/>
    <w:hidden/>
    <w:uiPriority w:val="99"/>
    <w:semiHidden/>
    <w:rsid w:val="009A506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1118</TotalTime>
  <Pages>4</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23</cp:revision>
  <cp:lastPrinted>2025-04-26T11:01:00Z</cp:lastPrinted>
  <dcterms:created xsi:type="dcterms:W3CDTF">2025-03-07T02:44:00Z</dcterms:created>
  <dcterms:modified xsi:type="dcterms:W3CDTF">2025-04-30T03:24:00Z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