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pPr>
        <w:spacing w:before="156" w:beforeLines="50" w:after="156" w:afterLines="50" w:line="400" w:lineRule="exact"/>
        <w:jc w:val="center"/>
        <w:rPr>
          <w:rFonts w:hint="default" w:ascii="宋体" w:hAnsi="宋体"/>
          <w:b/>
          <w:bCs/>
          <w:iCs/>
          <w:color w:val="000000"/>
          <w:sz w:val="32"/>
          <w:szCs w:val="32"/>
          <w:lang w:val="en-US"/>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特定对象调研        </w:t>
            </w:r>
            <w:r>
              <w:rPr>
                <w:rFonts w:hint="eastAsia" w:ascii="宋体" w:hAnsi="宋体" w:cs="宋体"/>
                <w:sz w:val="24"/>
              </w:rPr>
              <w:sym w:font="Wingdings 2" w:char="00A3"/>
            </w:r>
            <w:r>
              <w:rPr>
                <w:rFonts w:hint="eastAsia" w:ascii="宋体" w:hAnsi="宋体" w:cs="宋体"/>
                <w:sz w:val="24"/>
              </w:rPr>
              <w:t xml:space="preserve"> 分析师会议</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hint="eastAsia" w:ascii="宋体" w:hAnsi="宋体" w:cs="宋体"/>
                <w:sz w:val="24"/>
                <w:lang w:eastAsia="zh-CN"/>
              </w:rPr>
              <w:t>：</w:t>
            </w:r>
            <w:r>
              <w:rPr>
                <w:rFonts w:hint="eastAsia" w:ascii="宋体" w:hAnsi="宋体" w:cs="宋体"/>
                <w:sz w:val="24"/>
                <w:u w:val="single"/>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bCs/>
                <w:iCs/>
                <w:color w:val="000000"/>
                <w:sz w:val="24"/>
              </w:rPr>
              <w:t>现场：天风证券、摩根基金、工银瑞信基金、财通资管、松熙私募基金、申万宏源证券、万家基金、上海理成资管、泰信基金、嘉实基金、招商基金。</w:t>
            </w:r>
          </w:p>
          <w:p>
            <w:pPr>
              <w:rPr>
                <w:rFonts w:hint="eastAsia"/>
                <w:bCs/>
                <w:iCs/>
                <w:color w:val="000000"/>
                <w:sz w:val="24"/>
              </w:rPr>
            </w:pPr>
            <w:r>
              <w:rPr>
                <w:rFonts w:hint="eastAsia"/>
                <w:bCs/>
                <w:iCs/>
                <w:color w:val="000000"/>
                <w:sz w:val="24"/>
              </w:rPr>
              <w:t>电话会：申万宏源证券、信达证券。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pPr>
              <w:rPr>
                <w:bCs/>
                <w:iCs/>
                <w:color w:val="000000"/>
                <w:sz w:val="24"/>
              </w:rPr>
            </w:pPr>
            <w:r>
              <w:rPr>
                <w:rFonts w:hint="eastAsia" w:ascii="宋体" w:hAnsi="宋体" w:cs="宋体"/>
                <w:sz w:val="24"/>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青岛市市北区郑州路43号赛轮集团总部会议室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董事、董事会秘书 李吉庆</w:t>
            </w:r>
          </w:p>
          <w:p>
            <w:pPr>
              <w:rPr>
                <w:rFonts w:ascii="宋体" w:hAnsi="宋体" w:cs="宋体"/>
                <w:sz w:val="24"/>
              </w:rPr>
            </w:pPr>
            <w:r>
              <w:rPr>
                <w:rFonts w:hint="eastAsia" w:ascii="宋体" w:hAnsi="宋体" w:cs="宋体"/>
                <w:sz w:val="24"/>
              </w:rPr>
              <w:t>投资者关系主管 曲蕾</w:t>
            </w:r>
          </w:p>
          <w:p>
            <w:pPr>
              <w:rPr>
                <w:rFonts w:ascii="宋体" w:hAnsi="宋体"/>
                <w:bCs/>
                <w:sz w:val="24"/>
              </w:rPr>
            </w:pPr>
            <w:r>
              <w:rPr>
                <w:rFonts w:hint="eastAsia" w:ascii="宋体" w:hAnsi="宋体" w:cs="宋体"/>
                <w:sz w:val="24"/>
              </w:rPr>
              <w:t>监事会主席  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left="0" w:leftChars="0" w:firstLine="480"/>
              <w:rPr>
                <w:rFonts w:ascii="宋体" w:hAnsi="宋体"/>
                <w:b/>
                <w:bCs/>
                <w:sz w:val="24"/>
                <w:szCs w:val="24"/>
              </w:rPr>
            </w:pPr>
            <w:r>
              <w:rPr>
                <w:rFonts w:hint="eastAsia" w:ascii="宋体" w:hAnsi="宋体"/>
                <w:b/>
                <w:bCs/>
                <w:sz w:val="24"/>
                <w:szCs w:val="24"/>
              </w:rPr>
              <w:t>投资者提出的主要问题及公司回复情况:</w:t>
            </w:r>
          </w:p>
          <w:p>
            <w:pPr>
              <w:pStyle w:val="13"/>
              <w:spacing w:line="460" w:lineRule="exact"/>
              <w:ind w:left="0" w:leftChars="0" w:firstLine="480"/>
              <w:rPr>
                <w:rFonts w:ascii="宋体" w:hAnsi="宋体"/>
                <w:b/>
                <w:bCs/>
                <w:sz w:val="24"/>
                <w:szCs w:val="24"/>
              </w:rPr>
            </w:pPr>
            <w:r>
              <w:rPr>
                <w:rFonts w:hint="eastAsia" w:ascii="宋体" w:hAnsi="宋体"/>
                <w:b/>
                <w:bCs/>
                <w:sz w:val="24"/>
                <w:szCs w:val="24"/>
              </w:rPr>
              <w:t>1、2025年</w:t>
            </w:r>
            <w:r>
              <w:rPr>
                <w:rFonts w:hint="eastAsia" w:ascii="宋体" w:hAnsi="宋体"/>
                <w:b/>
                <w:bCs/>
                <w:sz w:val="24"/>
                <w:szCs w:val="24"/>
                <w:lang w:val="en-US" w:eastAsia="zh-CN"/>
              </w:rPr>
              <w:t>新</w:t>
            </w:r>
            <w:r>
              <w:rPr>
                <w:rFonts w:hint="eastAsia" w:ascii="宋体" w:hAnsi="宋体"/>
                <w:b/>
                <w:bCs/>
                <w:sz w:val="24"/>
                <w:szCs w:val="24"/>
              </w:rPr>
              <w:t>投产的产能</w:t>
            </w:r>
            <w:r>
              <w:rPr>
                <w:rFonts w:hint="eastAsia" w:ascii="宋体" w:hAnsi="宋体"/>
                <w:b/>
                <w:bCs/>
                <w:sz w:val="24"/>
                <w:szCs w:val="24"/>
                <w:lang w:val="en-US" w:eastAsia="zh-CN"/>
              </w:rPr>
              <w:t>主要</w:t>
            </w:r>
            <w:r>
              <w:rPr>
                <w:rFonts w:hint="eastAsia" w:ascii="宋体" w:hAnsi="宋体"/>
                <w:b/>
                <w:bCs/>
                <w:sz w:val="24"/>
                <w:szCs w:val="24"/>
              </w:rPr>
              <w:t>有哪些？</w:t>
            </w:r>
          </w:p>
          <w:p>
            <w:pPr>
              <w:pStyle w:val="13"/>
              <w:spacing w:line="460" w:lineRule="exact"/>
              <w:ind w:left="0" w:leftChars="0" w:firstLine="480"/>
              <w:rPr>
                <w:rFonts w:ascii="宋体" w:hAnsi="宋体"/>
                <w:sz w:val="24"/>
                <w:szCs w:val="24"/>
              </w:rPr>
            </w:pPr>
            <w:r>
              <w:rPr>
                <w:rFonts w:hint="eastAsia" w:ascii="宋体" w:hAnsi="宋体"/>
                <w:sz w:val="24"/>
                <w:szCs w:val="24"/>
              </w:rPr>
              <w:t>答：柬埔寨工厂扩建165万条的全钢胎，印尼工厂300万条半钢胎、60万条全钢胎、3.7万吨非公路轮胎，墨西哥工厂600万条半钢胎。</w:t>
            </w:r>
          </w:p>
          <w:p>
            <w:pPr>
              <w:pStyle w:val="13"/>
              <w:spacing w:line="460" w:lineRule="exact"/>
              <w:ind w:firstLine="480"/>
              <w:rPr>
                <w:rFonts w:ascii="宋体" w:hAnsi="宋体"/>
                <w:b/>
                <w:bCs/>
                <w:sz w:val="24"/>
                <w:szCs w:val="24"/>
              </w:rPr>
            </w:pPr>
            <w:r>
              <w:rPr>
                <w:rFonts w:hint="eastAsia" w:ascii="宋体" w:hAnsi="宋体"/>
                <w:b/>
                <w:bCs/>
                <w:sz w:val="24"/>
                <w:szCs w:val="24"/>
              </w:rPr>
              <w:t>2、公司202</w:t>
            </w:r>
            <w:r>
              <w:rPr>
                <w:rFonts w:ascii="宋体" w:hAnsi="宋体"/>
                <w:b/>
                <w:bCs/>
                <w:sz w:val="24"/>
                <w:szCs w:val="24"/>
              </w:rPr>
              <w:t>4</w:t>
            </w:r>
            <w:r>
              <w:rPr>
                <w:rFonts w:hint="eastAsia" w:ascii="宋体" w:hAnsi="宋体"/>
                <w:b/>
                <w:bCs/>
                <w:sz w:val="24"/>
                <w:szCs w:val="24"/>
              </w:rPr>
              <w:t>年年度利润分配方案？</w:t>
            </w:r>
          </w:p>
          <w:p>
            <w:pPr>
              <w:pStyle w:val="13"/>
              <w:spacing w:line="460" w:lineRule="exact"/>
              <w:ind w:left="0" w:leftChars="0" w:firstLine="480"/>
              <w:rPr>
                <w:rFonts w:ascii="宋体" w:hAnsi="宋体"/>
                <w:sz w:val="24"/>
                <w:szCs w:val="24"/>
              </w:rPr>
            </w:pPr>
            <w:r>
              <w:rPr>
                <w:rFonts w:hint="eastAsia" w:ascii="宋体" w:hAnsi="宋体"/>
                <w:sz w:val="24"/>
                <w:szCs w:val="24"/>
              </w:rPr>
              <w:t>答：公司一直重视对投资者的回报，上市以来每年均进行现金红利分配。公司2024年度利润分配预案为：拟以实施权益分派股权登记日登记的总股本为基数，向全体股东每股派发现金红利0.23元（含税），现金分红金额7</w:t>
            </w:r>
            <w:r>
              <w:rPr>
                <w:rFonts w:ascii="宋体" w:hAnsi="宋体"/>
                <w:sz w:val="24"/>
                <w:szCs w:val="24"/>
              </w:rPr>
              <w:t>.</w:t>
            </w:r>
            <w:r>
              <w:rPr>
                <w:rFonts w:hint="eastAsia" w:ascii="宋体" w:hAnsi="宋体"/>
                <w:sz w:val="24"/>
                <w:szCs w:val="24"/>
              </w:rPr>
              <w:t>56亿元，不送红股，也不进行资本公积金转增股本。2</w:t>
            </w:r>
            <w:r>
              <w:rPr>
                <w:rFonts w:ascii="宋体" w:hAnsi="宋体"/>
                <w:sz w:val="24"/>
                <w:szCs w:val="24"/>
              </w:rPr>
              <w:t>024</w:t>
            </w:r>
            <w:r>
              <w:rPr>
                <w:rFonts w:hint="eastAsia" w:ascii="宋体" w:hAnsi="宋体"/>
                <w:sz w:val="24"/>
                <w:szCs w:val="24"/>
              </w:rPr>
              <w:t>年全年预计现金分红总额12</w:t>
            </w:r>
            <w:r>
              <w:rPr>
                <w:rFonts w:ascii="宋体" w:hAnsi="宋体"/>
                <w:sz w:val="24"/>
                <w:szCs w:val="24"/>
              </w:rPr>
              <w:t>.</w:t>
            </w:r>
            <w:r>
              <w:rPr>
                <w:rFonts w:hint="eastAsia" w:ascii="宋体" w:hAnsi="宋体"/>
                <w:sz w:val="24"/>
                <w:szCs w:val="24"/>
              </w:rPr>
              <w:t>49亿元（包括已实施完成的2024年前三季度现金分红），占本年度归属于上市公司股东净利润的比例为30.76%。未来，公司将尽力做好生产经营，不断提升公司盈利能力和竞争力，并严格按照《公司章程》《股东回报规划》等要求，结合公司实际情况提出让广大投资者满意的利润分配方案。</w:t>
            </w:r>
            <w:bookmarkStart w:id="0" w:name="_GoBack"/>
            <w:bookmarkEnd w:id="0"/>
          </w:p>
          <w:p>
            <w:pPr>
              <w:pStyle w:val="13"/>
              <w:spacing w:line="460" w:lineRule="exact"/>
              <w:ind w:left="0" w:leftChars="0" w:firstLine="480"/>
              <w:rPr>
                <w:rFonts w:ascii="宋体" w:hAnsi="宋体"/>
                <w:b/>
                <w:bCs/>
                <w:sz w:val="24"/>
                <w:szCs w:val="24"/>
              </w:rPr>
            </w:pPr>
            <w:r>
              <w:rPr>
                <w:rFonts w:hint="eastAsia" w:ascii="宋体" w:hAnsi="宋体"/>
                <w:b/>
                <w:bCs/>
                <w:sz w:val="24"/>
                <w:szCs w:val="24"/>
              </w:rPr>
              <w:t>3、公司未来品牌的提升计划？</w:t>
            </w:r>
          </w:p>
          <w:p>
            <w:pPr>
              <w:pStyle w:val="13"/>
              <w:spacing w:line="460" w:lineRule="exact"/>
              <w:ind w:left="0" w:leftChars="0" w:firstLine="480"/>
              <w:rPr>
                <w:rFonts w:ascii="宋体" w:hAnsi="宋体"/>
                <w:sz w:val="24"/>
                <w:szCs w:val="24"/>
              </w:rPr>
            </w:pPr>
            <w:r>
              <w:rPr>
                <w:rFonts w:hint="eastAsia" w:ascii="宋体" w:hAnsi="宋体"/>
                <w:sz w:val="24"/>
                <w:szCs w:val="24"/>
              </w:rPr>
              <w:t>答：公司在品牌建设方面持续深化战略布局，通过加强与权威媒体合作，不断开展创新活动、赛事活动及展会活动，全面提升品牌形象。公司将通过媒体投放、参与国际展会、赞助体育赛事等方式赋能品牌建设，提升品牌价值，并持续加大在主流媒体平台上的品牌宣传投放力度，围绕热点体育赛事、节庆活动等提升公司品牌的知名度。目前已形成覆盖全球75个国家及地区的传播矩阵，有效拓展了海外市场影响力。</w:t>
            </w:r>
          </w:p>
          <w:p>
            <w:pPr>
              <w:pStyle w:val="13"/>
              <w:spacing w:line="460" w:lineRule="exact"/>
              <w:ind w:firstLine="480"/>
              <w:rPr>
                <w:rFonts w:ascii="宋体" w:hAnsi="宋体"/>
                <w:b/>
                <w:bCs/>
                <w:sz w:val="24"/>
                <w:szCs w:val="24"/>
              </w:rPr>
            </w:pPr>
            <w:r>
              <w:rPr>
                <w:rFonts w:hint="eastAsia" w:ascii="宋体" w:hAnsi="宋体"/>
                <w:b/>
                <w:bCs/>
                <w:sz w:val="24"/>
                <w:szCs w:val="24"/>
              </w:rPr>
              <w:t>4、公司计划如何应对美国关税政策？</w:t>
            </w:r>
          </w:p>
          <w:p>
            <w:pPr>
              <w:pStyle w:val="13"/>
              <w:spacing w:line="460" w:lineRule="exact"/>
              <w:ind w:left="0" w:leftChars="0" w:firstLine="480"/>
              <w:rPr>
                <w:rFonts w:hint="eastAsia" w:ascii="宋体" w:hAnsi="宋体" w:eastAsia="宋体"/>
                <w:sz w:val="24"/>
                <w:szCs w:val="24"/>
                <w:lang w:val="en-US" w:eastAsia="zh-CN"/>
              </w:rPr>
            </w:pPr>
            <w:r>
              <w:rPr>
                <w:rFonts w:ascii="宋体" w:hAnsi="宋体"/>
                <w:sz w:val="24"/>
                <w:szCs w:val="24"/>
              </w:rPr>
              <w:t>答：</w:t>
            </w:r>
            <w:r>
              <w:rPr>
                <w:rFonts w:hint="eastAsia" w:ascii="宋体" w:hAnsi="宋体"/>
                <w:sz w:val="24"/>
                <w:szCs w:val="24"/>
              </w:rPr>
              <w:t>公司目前主要通过越南和柬埔寨工厂对美出口轮胎产品，根据现有的关税政策来看，公司的半钢胎</w:t>
            </w:r>
            <w:r>
              <w:rPr>
                <w:rFonts w:hint="eastAsia" w:ascii="宋体" w:hAnsi="宋体"/>
                <w:sz w:val="24"/>
                <w:szCs w:val="24"/>
                <w:lang w:eastAsia="zh-CN"/>
              </w:rPr>
              <w:t>（</w:t>
            </w:r>
            <w:r>
              <w:rPr>
                <w:rFonts w:hint="eastAsia" w:ascii="宋体" w:hAnsi="宋体"/>
                <w:sz w:val="24"/>
                <w:szCs w:val="24"/>
                <w:lang w:val="en-US" w:eastAsia="zh-CN"/>
              </w:rPr>
              <w:t>也包括用于</w:t>
            </w:r>
            <w:r>
              <w:rPr>
                <w:rFonts w:hint="eastAsia" w:ascii="宋体" w:hAnsi="宋体"/>
                <w:sz w:val="24"/>
                <w:szCs w:val="24"/>
              </w:rPr>
              <w:t>轻卡</w:t>
            </w:r>
            <w:r>
              <w:rPr>
                <w:rFonts w:hint="eastAsia" w:ascii="宋体" w:hAnsi="宋体"/>
                <w:sz w:val="24"/>
                <w:szCs w:val="24"/>
                <w:lang w:val="en-US" w:eastAsia="zh-CN"/>
              </w:rPr>
              <w:t>车的全钢</w:t>
            </w:r>
            <w:r>
              <w:rPr>
                <w:rFonts w:hint="eastAsia" w:ascii="宋体" w:hAnsi="宋体"/>
                <w:sz w:val="24"/>
                <w:szCs w:val="24"/>
              </w:rPr>
              <w:t>胎</w:t>
            </w:r>
            <w:r>
              <w:rPr>
                <w:rFonts w:hint="eastAsia" w:ascii="宋体" w:hAnsi="宋体"/>
                <w:sz w:val="24"/>
                <w:szCs w:val="24"/>
                <w:lang w:eastAsia="zh-CN"/>
              </w:rPr>
              <w:t>）</w:t>
            </w:r>
            <w:r>
              <w:rPr>
                <w:rFonts w:hint="eastAsia" w:ascii="宋体" w:hAnsi="宋体"/>
                <w:sz w:val="24"/>
                <w:szCs w:val="24"/>
              </w:rPr>
              <w:t>适用于</w:t>
            </w:r>
            <w:r>
              <w:rPr>
                <w:rFonts w:hint="eastAsia" w:ascii="宋体" w:hAnsi="宋体"/>
                <w:sz w:val="24"/>
                <w:szCs w:val="24"/>
                <w:lang w:val="en-US" w:eastAsia="zh-CN"/>
              </w:rPr>
              <w:t>汽车零部件</w:t>
            </w:r>
            <w:r>
              <w:rPr>
                <w:rFonts w:hint="eastAsia" w:ascii="宋体" w:hAnsi="宋体"/>
                <w:sz w:val="24"/>
                <w:szCs w:val="24"/>
              </w:rPr>
              <w:t>232条款中25%的税率；</w:t>
            </w:r>
            <w:r>
              <w:rPr>
                <w:rFonts w:hint="eastAsia" w:ascii="宋体" w:hAnsi="宋体"/>
                <w:sz w:val="24"/>
                <w:szCs w:val="24"/>
                <w:lang w:val="en-US" w:eastAsia="zh-CN"/>
              </w:rPr>
              <w:t>其他轮胎产品</w:t>
            </w:r>
            <w:r>
              <w:rPr>
                <w:rFonts w:hint="eastAsia" w:ascii="宋体" w:hAnsi="宋体"/>
                <w:sz w:val="24"/>
                <w:szCs w:val="24"/>
              </w:rPr>
              <w:t>适用对等关税，在延缓90天内适用10%的税率。目前公司生产经营正常，</w:t>
            </w:r>
            <w:r>
              <w:rPr>
                <w:rFonts w:hint="eastAsia" w:ascii="宋体" w:hAnsi="宋体"/>
                <w:sz w:val="24"/>
                <w:szCs w:val="24"/>
                <w:lang w:val="en-US" w:eastAsia="zh-CN"/>
              </w:rPr>
              <w:t>生产与发货均正常</w:t>
            </w:r>
            <w:r>
              <w:rPr>
                <w:rFonts w:hint="eastAsia" w:ascii="宋体" w:hAnsi="宋体"/>
                <w:sz w:val="24"/>
                <w:szCs w:val="24"/>
              </w:rPr>
              <w:t>。</w:t>
            </w:r>
            <w:r>
              <w:rPr>
                <w:rFonts w:ascii="宋体" w:hAnsi="宋体"/>
                <w:sz w:val="24"/>
                <w:szCs w:val="24"/>
              </w:rPr>
              <w:t>关税政策仍存在一定的不确定性，公司将持续密切关注国际政治与贸易格局变化，与客户保持积极沟通，以尽量减少因关税问题给公司带来的</w:t>
            </w:r>
            <w:r>
              <w:rPr>
                <w:rFonts w:hint="eastAsia" w:ascii="宋体" w:hAnsi="宋体"/>
                <w:sz w:val="24"/>
                <w:szCs w:val="24"/>
                <w:lang w:val="en-US" w:eastAsia="zh-CN"/>
              </w:rPr>
              <w:t>不利</w:t>
            </w:r>
            <w:r>
              <w:rPr>
                <w:rFonts w:ascii="宋体" w:hAnsi="宋体"/>
                <w:sz w:val="24"/>
                <w:szCs w:val="24"/>
              </w:rPr>
              <w:t>影响。</w:t>
            </w:r>
            <w:r>
              <w:rPr>
                <w:rFonts w:hint="eastAsia" w:ascii="宋体" w:hAnsi="宋体"/>
                <w:sz w:val="24"/>
                <w:szCs w:val="24"/>
              </w:rPr>
              <w:t>同时，</w:t>
            </w:r>
            <w:r>
              <w:rPr>
                <w:rFonts w:ascii="宋体" w:hAnsi="宋体"/>
                <w:sz w:val="24"/>
                <w:szCs w:val="24"/>
              </w:rPr>
              <w:t>公司</w:t>
            </w:r>
            <w:r>
              <w:rPr>
                <w:rFonts w:hint="eastAsia" w:ascii="宋体" w:hAnsi="宋体"/>
                <w:sz w:val="24"/>
                <w:szCs w:val="24"/>
              </w:rPr>
              <w:t>将</w:t>
            </w:r>
            <w:r>
              <w:rPr>
                <w:rFonts w:hint="eastAsia" w:ascii="宋体" w:hAnsi="宋体"/>
                <w:sz w:val="24"/>
                <w:szCs w:val="24"/>
                <w:lang w:val="en-US" w:eastAsia="zh-CN"/>
              </w:rPr>
              <w:t>持续推进</w:t>
            </w:r>
            <w:r>
              <w:rPr>
                <w:rFonts w:ascii="宋体" w:hAnsi="宋体"/>
                <w:sz w:val="24"/>
                <w:szCs w:val="24"/>
              </w:rPr>
              <w:t>全球化战略，</w:t>
            </w:r>
            <w:r>
              <w:rPr>
                <w:rFonts w:hint="eastAsia" w:ascii="宋体" w:hAnsi="宋体"/>
                <w:sz w:val="24"/>
                <w:szCs w:val="24"/>
                <w:lang w:val="en-US" w:eastAsia="zh-CN"/>
              </w:rPr>
              <w:t>力争</w:t>
            </w:r>
            <w:r>
              <w:rPr>
                <w:rFonts w:ascii="宋体" w:hAnsi="宋体"/>
                <w:sz w:val="24"/>
                <w:szCs w:val="24"/>
              </w:rPr>
              <w:t>墨西哥、印尼生产基地</w:t>
            </w:r>
            <w:r>
              <w:rPr>
                <w:rFonts w:hint="eastAsia" w:ascii="宋体" w:hAnsi="宋体"/>
                <w:sz w:val="24"/>
                <w:szCs w:val="24"/>
                <w:lang w:val="en-US" w:eastAsia="zh-CN"/>
              </w:rPr>
              <w:t>尽快投产</w:t>
            </w:r>
            <w:r>
              <w:rPr>
                <w:rFonts w:hint="eastAsia" w:ascii="宋体" w:hAnsi="宋体"/>
                <w:sz w:val="24"/>
                <w:szCs w:val="24"/>
              </w:rPr>
              <w:t>，</w:t>
            </w:r>
            <w:r>
              <w:rPr>
                <w:rFonts w:hint="eastAsia" w:ascii="宋体" w:hAnsi="宋体"/>
                <w:sz w:val="24"/>
                <w:szCs w:val="24"/>
                <w:lang w:val="en-US" w:eastAsia="zh-CN"/>
              </w:rPr>
              <w:t>后续</w:t>
            </w:r>
            <w:r>
              <w:rPr>
                <w:rFonts w:hint="eastAsia" w:ascii="宋体" w:hAnsi="宋体"/>
                <w:sz w:val="24"/>
                <w:szCs w:val="24"/>
              </w:rPr>
              <w:t>通过灵活调整全球各基地生产安排、加快推进海外布局和开拓新兴市场等举措，进一步巩固与提高全球市场份额，增强企业综合竞争力</w:t>
            </w:r>
            <w:r>
              <w:rPr>
                <w:rFonts w:hint="eastAsia" w:ascii="宋体" w:hAnsi="宋体"/>
                <w:sz w:val="24"/>
                <w:szCs w:val="24"/>
                <w:lang w:eastAsia="zh-CN"/>
              </w:rPr>
              <w:t>。</w:t>
            </w:r>
          </w:p>
          <w:p>
            <w:pPr>
              <w:pStyle w:val="13"/>
              <w:spacing w:line="460" w:lineRule="exact"/>
              <w:ind w:left="0" w:leftChars="0" w:firstLine="480"/>
              <w:rPr>
                <w:rFonts w:ascii="宋体" w:hAnsi="宋体"/>
                <w:b/>
                <w:bCs/>
                <w:sz w:val="24"/>
                <w:szCs w:val="24"/>
              </w:rPr>
            </w:pPr>
            <w:r>
              <w:rPr>
                <w:rFonts w:hint="eastAsia" w:ascii="宋体" w:hAnsi="宋体"/>
                <w:b/>
                <w:bCs/>
                <w:sz w:val="24"/>
                <w:szCs w:val="24"/>
              </w:rPr>
              <w:t>5、实控人增持预计何时开始？</w:t>
            </w:r>
          </w:p>
          <w:p>
            <w:pPr>
              <w:pStyle w:val="13"/>
              <w:spacing w:line="460" w:lineRule="exact"/>
              <w:ind w:left="0" w:leftChars="0" w:firstLine="480"/>
              <w:rPr>
                <w:rFonts w:ascii="宋体" w:hAnsi="宋体"/>
                <w:sz w:val="24"/>
                <w:szCs w:val="24"/>
              </w:rPr>
            </w:pPr>
            <w:r>
              <w:rPr>
                <w:rFonts w:hint="eastAsia" w:ascii="宋体" w:hAnsi="宋体"/>
                <w:sz w:val="24"/>
                <w:szCs w:val="24"/>
              </w:rPr>
              <w:t>答：公司实控人基于对公司未来发展前景的信心及中长期投资价值的认可，在2025年2月完成约9.64亿元增持后，于2025年4月再次披露增持计划，拟通过其控制的企业增持5-10亿元，切实维护广大投资者利益，促进公司持续、稳定、健康发展。具体增持进展，公司将根据相关监管要求及时披露。</w:t>
            </w:r>
          </w:p>
          <w:p>
            <w:pPr>
              <w:pStyle w:val="13"/>
              <w:numPr>
                <w:ilvl w:val="-1"/>
                <w:numId w:val="0"/>
              </w:numPr>
              <w:spacing w:line="460" w:lineRule="exact"/>
              <w:ind w:left="0" w:leftChars="0" w:firstLine="482" w:firstLineChars="200"/>
              <w:rPr>
                <w:rFonts w:ascii="宋体" w:hAnsi="宋体"/>
                <w:b/>
                <w:bCs/>
                <w:sz w:val="24"/>
                <w:szCs w:val="24"/>
              </w:rPr>
            </w:pPr>
            <w:r>
              <w:rPr>
                <w:rFonts w:hint="eastAsia" w:ascii="宋体" w:hAnsi="宋体"/>
                <w:b/>
                <w:bCs/>
                <w:sz w:val="24"/>
                <w:szCs w:val="24"/>
                <w:lang w:val="en-US" w:eastAsia="zh-CN"/>
              </w:rPr>
              <w:t>6、</w:t>
            </w:r>
            <w:r>
              <w:rPr>
                <w:rFonts w:hint="eastAsia" w:ascii="宋体" w:hAnsi="宋体"/>
                <w:b/>
                <w:bCs/>
                <w:sz w:val="24"/>
                <w:szCs w:val="24"/>
              </w:rPr>
              <w:t>公司目前配套情况</w:t>
            </w:r>
            <w:r>
              <w:rPr>
                <w:rFonts w:hint="eastAsia" w:ascii="宋体" w:hAnsi="宋体"/>
                <w:b/>
                <w:bCs/>
                <w:sz w:val="24"/>
                <w:szCs w:val="24"/>
                <w:lang w:val="en-US" w:eastAsia="zh-CN"/>
              </w:rPr>
              <w:t>如何</w:t>
            </w:r>
            <w:r>
              <w:rPr>
                <w:rFonts w:hint="eastAsia" w:ascii="宋体" w:hAnsi="宋体"/>
                <w:b/>
                <w:bCs/>
                <w:sz w:val="24"/>
                <w:szCs w:val="24"/>
              </w:rPr>
              <w:t>？</w:t>
            </w:r>
          </w:p>
          <w:p>
            <w:pPr>
              <w:pStyle w:val="13"/>
              <w:spacing w:line="460" w:lineRule="exact"/>
              <w:ind w:left="0" w:leftChars="0" w:firstLine="480"/>
              <w:rPr>
                <w:rFonts w:hint="eastAsia" w:ascii="宋体" w:hAnsi="宋体"/>
                <w:sz w:val="24"/>
                <w:szCs w:val="24"/>
              </w:rPr>
            </w:pPr>
            <w:r>
              <w:rPr>
                <w:rFonts w:hint="eastAsia" w:ascii="宋体" w:hAnsi="宋体"/>
                <w:sz w:val="24"/>
                <w:szCs w:val="24"/>
              </w:rPr>
              <w:t>答：公司目前已进入比亚迪、奇瑞、吉利、长安、蔚来、北汽、越南Vinfast、一汽解放、中国重汽、宇通客车、三一重工、东风汽车、北汽福田、卡特彼勒、徐工集团、北方重工、英国JCB、同力重工、山东临工、约翰迪尔、凯斯纽荷兰、潍柴雷沃、中国一拖、爱科、道依茨法尔等多家国内外汽车企业的轮胎供应商名录。</w:t>
            </w:r>
          </w:p>
          <w:p>
            <w:pPr>
              <w:pStyle w:val="13"/>
              <w:spacing w:line="460" w:lineRule="exact"/>
              <w:ind w:left="0" w:leftChars="0"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7、公司一季度销量同比环比提升的主要原因？</w:t>
            </w:r>
          </w:p>
          <w:p>
            <w:pPr>
              <w:pStyle w:val="13"/>
              <w:spacing w:line="460" w:lineRule="exact"/>
              <w:ind w:left="0" w:leftChars="0" w:firstLine="480" w:firstLineChars="200"/>
              <w:rPr>
                <w:rFonts w:hint="eastAsia" w:ascii="宋体" w:hAnsi="宋体"/>
                <w:sz w:val="24"/>
                <w:szCs w:val="24"/>
              </w:rPr>
            </w:pPr>
            <w:r>
              <w:rPr>
                <w:rFonts w:hint="eastAsia" w:ascii="宋体" w:hAnsi="宋体"/>
                <w:sz w:val="24"/>
                <w:szCs w:val="24"/>
                <w:lang w:val="en-US" w:eastAsia="zh-CN"/>
              </w:rPr>
              <w:t>答：公司拥有半钢胎、全钢胎、非公路轮胎三大品类产品，抗周期风险能力强。公司根据市场需求，结合战略规划，近年来积极扩产，产能持续释放，供应能力增加，配合公司液体黄金轮胎的宣传推广，及时抓住市场机遇，获得更多的市场份额。2024年，公司不断优化国内销售渠道，在部分地区与优质经销商成立控股合资公司，布局渠道下沉，</w:t>
            </w:r>
            <w:r>
              <w:rPr>
                <w:rFonts w:hint="eastAsia" w:ascii="宋体" w:hAnsi="宋体"/>
                <w:sz w:val="24"/>
                <w:szCs w:val="24"/>
              </w:rPr>
              <w:t>更加贴近市场和客户</w:t>
            </w:r>
            <w:r>
              <w:rPr>
                <w:rFonts w:hint="eastAsia" w:ascii="宋体" w:hAnsi="宋体"/>
                <w:sz w:val="24"/>
                <w:szCs w:val="24"/>
                <w:lang w:val="en-US" w:eastAsia="zh-CN"/>
              </w:rPr>
              <w:t>，助力国内销售规模快速增长。另外，公司自有海外销售公司，在部分区域拥有自有的销售渠道，在渠道搭建、</w:t>
            </w:r>
            <w:r>
              <w:rPr>
                <w:rFonts w:hint="eastAsia" w:ascii="宋体" w:hAnsi="宋体"/>
                <w:sz w:val="24"/>
                <w:szCs w:val="24"/>
              </w:rPr>
              <w:t>了解当地市场需求</w:t>
            </w:r>
            <w:r>
              <w:rPr>
                <w:rFonts w:hint="eastAsia" w:ascii="宋体" w:hAnsi="宋体"/>
                <w:sz w:val="24"/>
                <w:szCs w:val="24"/>
                <w:lang w:eastAsia="zh-CN"/>
              </w:rPr>
              <w:t>、</w:t>
            </w:r>
            <w:r>
              <w:rPr>
                <w:rFonts w:hint="eastAsia" w:ascii="宋体" w:hAnsi="宋体"/>
                <w:sz w:val="24"/>
                <w:szCs w:val="24"/>
              </w:rPr>
              <w:t>定制营销方案</w:t>
            </w:r>
            <w:r>
              <w:rPr>
                <w:rFonts w:hint="eastAsia" w:ascii="宋体" w:hAnsi="宋体"/>
                <w:sz w:val="24"/>
                <w:szCs w:val="24"/>
                <w:lang w:val="en-US" w:eastAsia="zh-CN"/>
              </w:rPr>
              <w:t>、</w:t>
            </w:r>
            <w:r>
              <w:rPr>
                <w:rFonts w:hint="eastAsia" w:ascii="宋体" w:hAnsi="宋体"/>
                <w:sz w:val="24"/>
                <w:szCs w:val="24"/>
              </w:rPr>
              <w:t>打造品牌</w:t>
            </w:r>
            <w:r>
              <w:rPr>
                <w:rFonts w:hint="eastAsia" w:ascii="宋体" w:hAnsi="宋体"/>
                <w:sz w:val="24"/>
                <w:szCs w:val="24"/>
                <w:lang w:val="en-US" w:eastAsia="zh-CN"/>
              </w:rPr>
              <w:t>力方面</w:t>
            </w:r>
            <w:r>
              <w:rPr>
                <w:rFonts w:hint="eastAsia" w:ascii="宋体" w:hAnsi="宋体"/>
                <w:sz w:val="24"/>
                <w:szCs w:val="24"/>
              </w:rPr>
              <w:t>，均有较大助力。</w:t>
            </w:r>
          </w:p>
          <w:p>
            <w:pPr>
              <w:pStyle w:val="13"/>
              <w:spacing w:line="460" w:lineRule="exact"/>
              <w:ind w:left="0" w:leftChars="0" w:firstLine="482" w:firstLineChars="200"/>
              <w:rPr>
                <w:rFonts w:hint="default" w:ascii="宋体" w:hAnsi="宋体"/>
                <w:b/>
                <w:bCs/>
                <w:sz w:val="24"/>
                <w:szCs w:val="24"/>
                <w:lang w:val="en-US" w:eastAsia="zh-CN"/>
              </w:rPr>
            </w:pPr>
            <w:r>
              <w:rPr>
                <w:rFonts w:hint="eastAsia" w:ascii="宋体" w:hAnsi="宋体"/>
                <w:b/>
                <w:bCs/>
                <w:sz w:val="24"/>
                <w:szCs w:val="24"/>
                <w:lang w:val="en-US" w:eastAsia="zh-CN"/>
              </w:rPr>
              <w:t>8</w:t>
            </w:r>
            <w:r>
              <w:rPr>
                <w:rFonts w:hint="default" w:ascii="宋体" w:hAnsi="宋体"/>
                <w:b/>
                <w:bCs/>
                <w:sz w:val="24"/>
                <w:szCs w:val="24"/>
                <w:lang w:val="en-US" w:eastAsia="zh-CN"/>
              </w:rPr>
              <w:t>、公司</w:t>
            </w:r>
            <w:r>
              <w:rPr>
                <w:rFonts w:hint="eastAsia" w:ascii="宋体" w:hAnsi="宋体"/>
                <w:b/>
                <w:bCs/>
                <w:sz w:val="24"/>
                <w:szCs w:val="24"/>
                <w:lang w:val="en-US" w:eastAsia="zh-CN"/>
              </w:rPr>
              <w:t>赛车胎业务开展的如何</w:t>
            </w:r>
            <w:r>
              <w:rPr>
                <w:rFonts w:hint="default" w:ascii="宋体" w:hAnsi="宋体"/>
                <w:b/>
                <w:bCs/>
                <w:sz w:val="24"/>
                <w:szCs w:val="24"/>
                <w:lang w:val="en-US" w:eastAsia="zh-CN"/>
              </w:rPr>
              <w:t>？</w:t>
            </w:r>
          </w:p>
          <w:p>
            <w:pPr>
              <w:pStyle w:val="13"/>
              <w:spacing w:line="460" w:lineRule="exact"/>
              <w:ind w:left="0" w:leftChars="0"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答：</w:t>
            </w:r>
            <w:r>
              <w:rPr>
                <w:rFonts w:hint="eastAsia" w:ascii="宋体" w:hAnsi="宋体"/>
                <w:sz w:val="24"/>
                <w:szCs w:val="24"/>
              </w:rPr>
              <w:t>公司</w:t>
            </w:r>
            <w:r>
              <w:rPr>
                <w:rFonts w:hint="eastAsia" w:ascii="宋体" w:hAnsi="宋体"/>
                <w:sz w:val="24"/>
                <w:szCs w:val="24"/>
                <w:lang w:val="en-US" w:eastAsia="zh-CN"/>
              </w:rPr>
              <w:t>自</w:t>
            </w:r>
            <w:r>
              <w:rPr>
                <w:rFonts w:hint="eastAsia" w:ascii="宋体" w:hAnsi="宋体"/>
                <w:sz w:val="24"/>
                <w:szCs w:val="24"/>
              </w:rPr>
              <w:t>2017年推出赛车</w:t>
            </w:r>
            <w:r>
              <w:rPr>
                <w:rFonts w:hint="eastAsia" w:ascii="宋体" w:hAnsi="宋体"/>
                <w:sz w:val="24"/>
                <w:szCs w:val="24"/>
                <w:lang w:val="en-US" w:eastAsia="zh-CN"/>
              </w:rPr>
              <w:t>轮</w:t>
            </w:r>
            <w:r>
              <w:rPr>
                <w:rFonts w:hint="eastAsia" w:ascii="宋体" w:hAnsi="宋体"/>
                <w:sz w:val="24"/>
                <w:szCs w:val="24"/>
              </w:rPr>
              <w:t>胎以来，</w:t>
            </w:r>
            <w:r>
              <w:rPr>
                <w:rFonts w:hint="eastAsia" w:ascii="宋体" w:hAnsi="宋体"/>
                <w:sz w:val="24"/>
                <w:szCs w:val="24"/>
                <w:lang w:val="en-US" w:eastAsia="zh-CN"/>
              </w:rPr>
              <w:t>凭借优异的产品性能，</w:t>
            </w:r>
            <w:r>
              <w:rPr>
                <w:rFonts w:hint="eastAsia" w:ascii="宋体" w:hAnsi="宋体"/>
                <w:sz w:val="24"/>
                <w:szCs w:val="24"/>
              </w:rPr>
              <w:t>获得</w:t>
            </w:r>
            <w:r>
              <w:rPr>
                <w:rFonts w:hint="eastAsia" w:ascii="宋体" w:hAnsi="宋体"/>
                <w:sz w:val="24"/>
                <w:szCs w:val="24"/>
                <w:lang w:val="en-US" w:eastAsia="zh-CN"/>
              </w:rPr>
              <w:t>了</w:t>
            </w:r>
            <w:r>
              <w:rPr>
                <w:rFonts w:hint="eastAsia" w:ascii="宋体" w:hAnsi="宋体"/>
                <w:sz w:val="24"/>
                <w:szCs w:val="24"/>
              </w:rPr>
              <w:t>多</w:t>
            </w:r>
            <w:r>
              <w:rPr>
                <w:rFonts w:hint="eastAsia" w:ascii="宋体" w:hAnsi="宋体"/>
                <w:sz w:val="24"/>
                <w:szCs w:val="24"/>
                <w:lang w:val="en-US" w:eastAsia="zh-CN"/>
              </w:rPr>
              <w:t>项汽车赛事荣誉</w:t>
            </w:r>
            <w:r>
              <w:rPr>
                <w:rFonts w:hint="eastAsia" w:ascii="宋体" w:hAnsi="宋体"/>
                <w:sz w:val="24"/>
                <w:szCs w:val="24"/>
              </w:rPr>
              <w:t>。2024年，公司成为2024赛季国际汽联F4方程式中国锦标赛官方指定轮胎合作伙伴，这也是这一国际顶级赛事创立以来选择的首个中国轮胎品牌。2025年，</w:t>
            </w:r>
            <w:r>
              <w:rPr>
                <w:rFonts w:hint="eastAsia" w:ascii="宋体" w:hAnsi="宋体"/>
                <w:sz w:val="24"/>
                <w:szCs w:val="24"/>
                <w:lang w:val="en-US" w:eastAsia="zh-CN"/>
              </w:rPr>
              <w:t>公司除了是</w:t>
            </w:r>
            <w:r>
              <w:rPr>
                <w:rFonts w:hint="eastAsia" w:ascii="宋体" w:hAnsi="宋体" w:eastAsia="宋体" w:cs="Times New Roman"/>
                <w:kern w:val="2"/>
                <w:sz w:val="24"/>
                <w:szCs w:val="24"/>
                <w:lang w:val="en-US" w:eastAsia="zh-CN" w:bidi="ar-SA"/>
              </w:rPr>
              <w:t>2025</w:t>
            </w:r>
            <w:r>
              <w:rPr>
                <w:rFonts w:hint="eastAsia" w:ascii="宋体" w:hAnsi="宋体" w:cs="Times New Roman"/>
                <w:kern w:val="2"/>
                <w:sz w:val="24"/>
                <w:szCs w:val="24"/>
                <w:lang w:val="en-US" w:eastAsia="zh-CN" w:bidi="ar-SA"/>
              </w:rPr>
              <w:t>赛季</w:t>
            </w:r>
            <w:r>
              <w:rPr>
                <w:rFonts w:hint="eastAsia" w:ascii="宋体" w:hAnsi="宋体" w:eastAsia="宋体" w:cs="Times New Roman"/>
                <w:kern w:val="2"/>
                <w:sz w:val="24"/>
                <w:szCs w:val="24"/>
                <w:lang w:val="en-US" w:eastAsia="zh-CN" w:bidi="ar-SA"/>
              </w:rPr>
              <w:t>国际汽联F4方程式中国锦标赛</w:t>
            </w:r>
            <w:r>
              <w:rPr>
                <w:rFonts w:hint="eastAsia" w:ascii="宋体" w:hAnsi="宋体" w:cs="Times New Roman"/>
                <w:kern w:val="2"/>
                <w:sz w:val="24"/>
                <w:szCs w:val="24"/>
                <w:lang w:val="en-US" w:eastAsia="zh-CN" w:bidi="ar-SA"/>
              </w:rPr>
              <w:t>的官方轮胎供应商外，还</w:t>
            </w:r>
            <w:r>
              <w:rPr>
                <w:rFonts w:hint="eastAsia" w:ascii="宋体" w:hAnsi="宋体"/>
                <w:sz w:val="24"/>
                <w:szCs w:val="24"/>
              </w:rPr>
              <w:t>成为TOYOTA GAZOO Racing China GR86 Cup 2025赛季唯一指定轮胎供应商。2025年2月，公司与小米汽车合作开发的适用于SU7</w:t>
            </w:r>
            <w:r>
              <w:rPr>
                <w:rFonts w:hint="eastAsia" w:ascii="宋体" w:hAnsi="宋体"/>
                <w:sz w:val="24"/>
                <w:szCs w:val="24"/>
                <w:lang w:val="en-US" w:eastAsia="zh-CN"/>
              </w:rPr>
              <w:t xml:space="preserve"> </w:t>
            </w:r>
            <w:r>
              <w:rPr>
                <w:rFonts w:hint="eastAsia" w:ascii="宋体" w:hAnsi="宋体"/>
                <w:sz w:val="24"/>
                <w:szCs w:val="24"/>
              </w:rPr>
              <w:t>Ultra的赛道高性能轮胎PT01上架“小米有品”商城。搭载公司PT01轮胎的小米SU7</w:t>
            </w:r>
            <w:r>
              <w:rPr>
                <w:rFonts w:hint="eastAsia" w:ascii="宋体" w:hAnsi="宋体"/>
                <w:sz w:val="24"/>
                <w:szCs w:val="24"/>
                <w:lang w:val="en-US" w:eastAsia="zh-CN"/>
              </w:rPr>
              <w:t xml:space="preserve"> </w:t>
            </w:r>
            <w:r>
              <w:rPr>
                <w:rFonts w:hint="eastAsia" w:ascii="宋体" w:hAnsi="宋体"/>
                <w:sz w:val="24"/>
                <w:szCs w:val="24"/>
              </w:rPr>
              <w:t>Ultra，接连打破北京易车金港、上海天马及宁波国际赛车场、厦门国际赛车场的赛道圈速记录，成为这些赛道的最速四门量产车。</w:t>
            </w:r>
            <w:r>
              <w:rPr>
                <w:rFonts w:hint="eastAsia" w:ascii="宋体" w:hAnsi="宋体"/>
                <w:sz w:val="24"/>
                <w:szCs w:val="24"/>
                <w:lang w:val="en-US" w:eastAsia="zh-CN"/>
              </w:rPr>
              <w:t>未来，公司会持续推进赛车轮胎相关业务，并希望借此提升公司品牌形象及竞争力。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firstLine="0" w:firstLineChars="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rFonts w:hint="eastAsia"/>
                <w:bCs/>
                <w:iCs/>
                <w:color w:val="000000"/>
                <w:sz w:val="24"/>
              </w:rPr>
              <w:t>无</w:t>
            </w:r>
          </w:p>
        </w:tc>
      </w:tr>
    </w:tbl>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0810"/>
    <w:rsid w:val="00251D58"/>
    <w:rsid w:val="002530EE"/>
    <w:rsid w:val="002549E6"/>
    <w:rsid w:val="00256602"/>
    <w:rsid w:val="00271C8D"/>
    <w:rsid w:val="00273B53"/>
    <w:rsid w:val="0028080C"/>
    <w:rsid w:val="00295257"/>
    <w:rsid w:val="00297703"/>
    <w:rsid w:val="002A0826"/>
    <w:rsid w:val="002A0984"/>
    <w:rsid w:val="002A589B"/>
    <w:rsid w:val="002A5CE1"/>
    <w:rsid w:val="002B1184"/>
    <w:rsid w:val="002B71B8"/>
    <w:rsid w:val="002B7469"/>
    <w:rsid w:val="002C22C6"/>
    <w:rsid w:val="002C23FC"/>
    <w:rsid w:val="002C6568"/>
    <w:rsid w:val="002C723B"/>
    <w:rsid w:val="002D2151"/>
    <w:rsid w:val="002D39BC"/>
    <w:rsid w:val="002D5E38"/>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61C7"/>
    <w:rsid w:val="00686DDF"/>
    <w:rsid w:val="00697B12"/>
    <w:rsid w:val="006A55BB"/>
    <w:rsid w:val="006A7613"/>
    <w:rsid w:val="006B661A"/>
    <w:rsid w:val="006B7D00"/>
    <w:rsid w:val="006B7EA0"/>
    <w:rsid w:val="006C6BC5"/>
    <w:rsid w:val="006D61A2"/>
    <w:rsid w:val="006E1DB4"/>
    <w:rsid w:val="00714059"/>
    <w:rsid w:val="00716833"/>
    <w:rsid w:val="00726DC9"/>
    <w:rsid w:val="00753DB6"/>
    <w:rsid w:val="00763847"/>
    <w:rsid w:val="00771FE3"/>
    <w:rsid w:val="00776BDE"/>
    <w:rsid w:val="007816EC"/>
    <w:rsid w:val="00786870"/>
    <w:rsid w:val="00792237"/>
    <w:rsid w:val="0079272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4F82"/>
    <w:rsid w:val="00C15AC0"/>
    <w:rsid w:val="00C26030"/>
    <w:rsid w:val="00C41091"/>
    <w:rsid w:val="00C45222"/>
    <w:rsid w:val="00C63056"/>
    <w:rsid w:val="00C661D1"/>
    <w:rsid w:val="00C73E0A"/>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659D1"/>
    <w:rsid w:val="00DA26A9"/>
    <w:rsid w:val="00DB01FF"/>
    <w:rsid w:val="00DC7778"/>
    <w:rsid w:val="00DE7391"/>
    <w:rsid w:val="00DF2DB5"/>
    <w:rsid w:val="00DF361E"/>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4908"/>
    <w:rsid w:val="00F07C21"/>
    <w:rsid w:val="00F12EF6"/>
    <w:rsid w:val="00F21065"/>
    <w:rsid w:val="00F24311"/>
    <w:rsid w:val="00F24CB4"/>
    <w:rsid w:val="00F43465"/>
    <w:rsid w:val="00F45475"/>
    <w:rsid w:val="00F64E72"/>
    <w:rsid w:val="00F70C7D"/>
    <w:rsid w:val="00F9272E"/>
    <w:rsid w:val="00F95565"/>
    <w:rsid w:val="00F97743"/>
    <w:rsid w:val="00FA6DAF"/>
    <w:rsid w:val="00FC6884"/>
    <w:rsid w:val="00FE62F3"/>
    <w:rsid w:val="00FF71D2"/>
    <w:rsid w:val="03872335"/>
    <w:rsid w:val="04CD4E0D"/>
    <w:rsid w:val="05F30D52"/>
    <w:rsid w:val="07E84685"/>
    <w:rsid w:val="07F43921"/>
    <w:rsid w:val="08964C8B"/>
    <w:rsid w:val="08E5231F"/>
    <w:rsid w:val="099B29F9"/>
    <w:rsid w:val="0A63192C"/>
    <w:rsid w:val="0C493B9B"/>
    <w:rsid w:val="0C93758E"/>
    <w:rsid w:val="0D4D0B5F"/>
    <w:rsid w:val="0E207A31"/>
    <w:rsid w:val="10A61842"/>
    <w:rsid w:val="13C4450D"/>
    <w:rsid w:val="141B6967"/>
    <w:rsid w:val="17B3729E"/>
    <w:rsid w:val="18D93A98"/>
    <w:rsid w:val="1B2418A5"/>
    <w:rsid w:val="1FBFC074"/>
    <w:rsid w:val="204B02F6"/>
    <w:rsid w:val="241C2252"/>
    <w:rsid w:val="24E80350"/>
    <w:rsid w:val="27E94D39"/>
    <w:rsid w:val="27FC492A"/>
    <w:rsid w:val="28B03A1C"/>
    <w:rsid w:val="2B620922"/>
    <w:rsid w:val="2BA7533C"/>
    <w:rsid w:val="2C253D8E"/>
    <w:rsid w:val="2FF91C3F"/>
    <w:rsid w:val="31B85A3E"/>
    <w:rsid w:val="31F54A45"/>
    <w:rsid w:val="31FD161E"/>
    <w:rsid w:val="32CC663E"/>
    <w:rsid w:val="33645CC3"/>
    <w:rsid w:val="34FD33C1"/>
    <w:rsid w:val="359B46F3"/>
    <w:rsid w:val="35B61405"/>
    <w:rsid w:val="35DC7F6D"/>
    <w:rsid w:val="36FB9E1F"/>
    <w:rsid w:val="381D5949"/>
    <w:rsid w:val="38DA69D3"/>
    <w:rsid w:val="39C443D2"/>
    <w:rsid w:val="3AE95412"/>
    <w:rsid w:val="3BFA3B96"/>
    <w:rsid w:val="3CEF3472"/>
    <w:rsid w:val="3EFF16E9"/>
    <w:rsid w:val="419210A2"/>
    <w:rsid w:val="43FB5176"/>
    <w:rsid w:val="448156A1"/>
    <w:rsid w:val="450A4511"/>
    <w:rsid w:val="46947ED0"/>
    <w:rsid w:val="490B575C"/>
    <w:rsid w:val="4E2F3499"/>
    <w:rsid w:val="4EBA27E3"/>
    <w:rsid w:val="4F9323C9"/>
    <w:rsid w:val="51F4195F"/>
    <w:rsid w:val="54994F4D"/>
    <w:rsid w:val="56611B3C"/>
    <w:rsid w:val="56D604B0"/>
    <w:rsid w:val="57AA7B05"/>
    <w:rsid w:val="57E4165B"/>
    <w:rsid w:val="581157B6"/>
    <w:rsid w:val="592C42F5"/>
    <w:rsid w:val="5CD76845"/>
    <w:rsid w:val="5D3A0B7D"/>
    <w:rsid w:val="5D464695"/>
    <w:rsid w:val="5DAE4E34"/>
    <w:rsid w:val="5DD82899"/>
    <w:rsid w:val="5FE72FC9"/>
    <w:rsid w:val="601257DB"/>
    <w:rsid w:val="61D01DD2"/>
    <w:rsid w:val="64BA262A"/>
    <w:rsid w:val="653A410A"/>
    <w:rsid w:val="657E5B22"/>
    <w:rsid w:val="66AA5270"/>
    <w:rsid w:val="683A2C86"/>
    <w:rsid w:val="68D56618"/>
    <w:rsid w:val="6ADE0725"/>
    <w:rsid w:val="6BFA733C"/>
    <w:rsid w:val="6E072310"/>
    <w:rsid w:val="70236471"/>
    <w:rsid w:val="71333506"/>
    <w:rsid w:val="718D24AC"/>
    <w:rsid w:val="71905711"/>
    <w:rsid w:val="728B6EC5"/>
    <w:rsid w:val="734E202F"/>
    <w:rsid w:val="74E03D43"/>
    <w:rsid w:val="75760AE5"/>
    <w:rsid w:val="77CF73AC"/>
    <w:rsid w:val="78FF0116"/>
    <w:rsid w:val="79B24925"/>
    <w:rsid w:val="7C656439"/>
    <w:rsid w:val="7DD84285"/>
    <w:rsid w:val="7E737D2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1"/>
    <w:semiHidden/>
    <w:unhideWhenUsed/>
    <w:qFormat/>
    <w:uiPriority w:val="0"/>
    <w:rPr>
      <w:b/>
      <w:bCs/>
    </w:rPr>
  </w:style>
  <w:style w:type="character" w:styleId="10">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paragraph" w:customStyle="1" w:styleId="13">
    <w:name w:val="_Style 6"/>
    <w:basedOn w:val="1"/>
    <w:qFormat/>
    <w:uiPriority w:val="34"/>
    <w:pPr>
      <w:ind w:firstLine="420" w:firstLineChars="200"/>
    </w:pPr>
    <w:rPr>
      <w:rFonts w:ascii="Calibri" w:hAnsi="Calibri"/>
      <w:szCs w:val="22"/>
    </w:rPr>
  </w:style>
  <w:style w:type="paragraph" w:customStyle="1" w:styleId="14">
    <w:name w:val="Char Char Char"/>
    <w:basedOn w:val="1"/>
    <w:qFormat/>
    <w:uiPriority w:val="0"/>
    <w:rPr>
      <w:szCs w:val="21"/>
    </w:rPr>
  </w:style>
  <w:style w:type="paragraph" w:customStyle="1" w:styleId="15">
    <w:name w:val="Char Char Char Char Char Char Char Char Char Char Char Char Char Char Char Char"/>
    <w:basedOn w:val="1"/>
    <w:qFormat/>
    <w:uiPriority w:val="0"/>
  </w:style>
  <w:style w:type="paragraph" w:customStyle="1" w:styleId="16">
    <w:name w:val="Char Char Char1"/>
    <w:basedOn w:val="1"/>
    <w:qFormat/>
    <w:uiPriority w:val="0"/>
  </w:style>
  <w:style w:type="character" w:customStyle="1" w:styleId="17">
    <w:name w:val="页脚 字符"/>
    <w:basedOn w:val="9"/>
    <w:link w:val="4"/>
    <w:qFormat/>
    <w:uiPriority w:val="0"/>
    <w:rPr>
      <w:kern w:val="2"/>
      <w:sz w:val="18"/>
      <w:szCs w:val="18"/>
    </w:rPr>
  </w:style>
  <w:style w:type="character" w:customStyle="1" w:styleId="18">
    <w:name w:val="页眉 字符"/>
    <w:basedOn w:val="9"/>
    <w:link w:val="5"/>
    <w:qFormat/>
    <w:uiPriority w:val="0"/>
    <w:rPr>
      <w:kern w:val="2"/>
      <w:sz w:val="18"/>
      <w:szCs w:val="18"/>
    </w:rPr>
  </w:style>
  <w:style w:type="character" w:customStyle="1" w:styleId="19">
    <w:name w:val="批注框文本 字符"/>
    <w:basedOn w:val="9"/>
    <w:link w:val="3"/>
    <w:qFormat/>
    <w:uiPriority w:val="0"/>
    <w:rPr>
      <w:kern w:val="2"/>
      <w:sz w:val="18"/>
      <w:szCs w:val="18"/>
    </w:rPr>
  </w:style>
  <w:style w:type="character" w:customStyle="1" w:styleId="20">
    <w:name w:val="批注文字 字符"/>
    <w:basedOn w:val="9"/>
    <w:link w:val="2"/>
    <w:semiHidden/>
    <w:qFormat/>
    <w:uiPriority w:val="0"/>
    <w:rPr>
      <w:kern w:val="2"/>
      <w:sz w:val="21"/>
      <w:szCs w:val="24"/>
    </w:rPr>
  </w:style>
  <w:style w:type="character" w:customStyle="1" w:styleId="21">
    <w:name w:val="批注主题 字符"/>
    <w:basedOn w:val="20"/>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334</Words>
  <Characters>1906</Characters>
  <Lines>15</Lines>
  <Paragraphs>4</Paragraphs>
  <TotalTime>115</TotalTime>
  <ScaleCrop>false</ScaleCrop>
  <LinksUpToDate>false</LinksUpToDate>
  <CharactersWithSpaces>2236</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2025-04-30T08:07:20Z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551BA10BE3E44B739D75810B8C83C31F</vt:lpwstr>
  </property>
</Properties>
</file>