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eastAsia="宋体"/>
          <w:bCs/>
          <w:iCs/>
          <w:color w:val="000000"/>
          <w:sz w:val="24"/>
          <w:lang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-00</w:t>
      </w:r>
      <w:r>
        <w:rPr>
          <w:rFonts w:hint="eastAsia" w:ascii="宋体" w:hAnsi="宋体"/>
          <w:bCs/>
          <w:iCs/>
          <w:color w:val="000000"/>
          <w:sz w:val="24"/>
          <w:lang w:val="en-US" w:eastAsia="zh-CN"/>
        </w:rPr>
        <w:t>4</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7651"/>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651"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651" w:type="dxa"/>
            <w:vAlign w:val="center"/>
          </w:tcPr>
          <w:p w14:paraId="388D57E8">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2025年4月16日</w:t>
            </w:r>
          </w:p>
          <w:p w14:paraId="33DC2171">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中金证券：刘中玉；敏一基金：尹高杨</w:t>
            </w:r>
          </w:p>
          <w:p w14:paraId="6A235786">
            <w:pPr>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月1</w:t>
            </w:r>
            <w:r>
              <w:rPr>
                <w:rFonts w:hint="eastAsia" w:ascii="宋体" w:hAnsi="宋体"/>
                <w:bCs/>
                <w:iCs/>
                <w:color w:val="000000"/>
                <w:kern w:val="0"/>
                <w:sz w:val="24"/>
                <w:lang w:val="en-US" w:eastAsia="zh-CN"/>
              </w:rPr>
              <w:t>7</w:t>
            </w:r>
            <w:r>
              <w:rPr>
                <w:rFonts w:hint="eastAsia" w:ascii="宋体" w:hAnsi="宋体"/>
                <w:bCs/>
                <w:iCs/>
                <w:color w:val="000000"/>
                <w:kern w:val="0"/>
                <w:sz w:val="24"/>
              </w:rPr>
              <w:t>日</w:t>
            </w:r>
          </w:p>
          <w:p w14:paraId="1A7D84FF">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华福证券</w:t>
            </w:r>
            <w:r>
              <w:rPr>
                <w:rFonts w:hint="eastAsia" w:ascii="宋体" w:hAnsi="宋体"/>
                <w:bCs/>
                <w:iCs/>
                <w:color w:val="000000"/>
                <w:kern w:val="0"/>
                <w:sz w:val="24"/>
              </w:rPr>
              <w:t>：</w:t>
            </w:r>
            <w:r>
              <w:rPr>
                <w:rFonts w:hint="eastAsia" w:ascii="宋体" w:hAnsi="宋体"/>
                <w:bCs/>
                <w:iCs/>
                <w:color w:val="000000"/>
                <w:kern w:val="0"/>
                <w:sz w:val="24"/>
                <w:lang w:val="en-US" w:eastAsia="zh-CN"/>
              </w:rPr>
              <w:t>徐丽华、卢宇峰；昱阳基金：李怏</w:t>
            </w:r>
          </w:p>
          <w:p w14:paraId="354DE985">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2025年4月18日</w:t>
            </w:r>
          </w:p>
          <w:p w14:paraId="746BEE7B">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华创证券：吴一凡、梁婉怡</w:t>
            </w:r>
          </w:p>
          <w:p w14:paraId="7D03688B">
            <w:pPr>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p>
          <w:p w14:paraId="65E7CD89">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中邮资管：孟东晖</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651" w:type="dxa"/>
          </w:tcPr>
          <w:p w14:paraId="51F60F57">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月1</w:t>
            </w:r>
            <w:r>
              <w:rPr>
                <w:rFonts w:hint="eastAsia" w:ascii="宋体" w:hAnsi="宋体"/>
                <w:bCs/>
                <w:iCs/>
                <w:color w:val="000000"/>
                <w:kern w:val="0"/>
                <w:sz w:val="24"/>
                <w:lang w:val="en-US" w:eastAsia="zh-CN"/>
              </w:rPr>
              <w:t>6</w:t>
            </w:r>
            <w:r>
              <w:rPr>
                <w:rFonts w:hint="eastAsia" w:ascii="宋体" w:hAnsi="宋体"/>
                <w:bCs/>
                <w:iCs/>
                <w:color w:val="000000"/>
                <w:kern w:val="0"/>
                <w:sz w:val="24"/>
              </w:rPr>
              <w:t>日（</w:t>
            </w:r>
            <w:r>
              <w:rPr>
                <w:rFonts w:hint="eastAsia" w:ascii="宋体" w:hAnsi="宋体"/>
                <w:bCs/>
                <w:iCs/>
                <w:color w:val="000000"/>
                <w:kern w:val="0"/>
                <w:sz w:val="24"/>
                <w:lang w:val="en-US" w:eastAsia="zh-CN"/>
              </w:rPr>
              <w:t>14</w:t>
            </w:r>
            <w:r>
              <w:rPr>
                <w:rFonts w:hint="eastAsia" w:ascii="宋体" w:hAnsi="宋体"/>
                <w:bCs/>
                <w:iCs/>
                <w:color w:val="000000"/>
                <w:kern w:val="0"/>
                <w:sz w:val="24"/>
              </w:rPr>
              <w:t>：00-1</w:t>
            </w:r>
            <w:r>
              <w:rPr>
                <w:rFonts w:hint="eastAsia" w:ascii="宋体" w:hAnsi="宋体"/>
                <w:bCs/>
                <w:iCs/>
                <w:color w:val="000000"/>
                <w:kern w:val="0"/>
                <w:sz w:val="24"/>
                <w:lang w:val="en-US" w:eastAsia="zh-CN"/>
              </w:rPr>
              <w:t>5</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p>
          <w:p w14:paraId="61DCB9ED">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w:t>
            </w:r>
            <w:r>
              <w:rPr>
                <w:rFonts w:hint="eastAsia" w:ascii="宋体" w:hAnsi="宋体"/>
                <w:bCs/>
                <w:iCs/>
                <w:color w:val="000000"/>
                <w:kern w:val="0"/>
                <w:sz w:val="24"/>
                <w:lang w:val="en-US" w:eastAsia="zh-CN"/>
              </w:rPr>
              <w:t>17</w:t>
            </w:r>
            <w:r>
              <w:rPr>
                <w:rFonts w:hint="eastAsia" w:ascii="宋体" w:hAnsi="宋体"/>
                <w:bCs/>
                <w:iCs/>
                <w:color w:val="000000"/>
                <w:kern w:val="0"/>
                <w:sz w:val="24"/>
              </w:rPr>
              <w:t>日（</w:t>
            </w:r>
            <w:r>
              <w:rPr>
                <w:rFonts w:hint="eastAsia" w:ascii="宋体" w:hAnsi="宋体"/>
                <w:bCs/>
                <w:iCs/>
                <w:color w:val="000000"/>
                <w:kern w:val="0"/>
                <w:sz w:val="24"/>
                <w:lang w:val="en-US" w:eastAsia="zh-CN"/>
              </w:rPr>
              <w:t>15</w:t>
            </w:r>
            <w:r>
              <w:rPr>
                <w:rFonts w:hint="eastAsia" w:ascii="宋体" w:hAnsi="宋体"/>
                <w:bCs/>
                <w:iCs/>
                <w:color w:val="000000"/>
                <w:kern w:val="0"/>
                <w:sz w:val="24"/>
              </w:rPr>
              <w:t>：00-1</w:t>
            </w:r>
            <w:r>
              <w:rPr>
                <w:rFonts w:hint="eastAsia" w:ascii="宋体" w:hAnsi="宋体"/>
                <w:bCs/>
                <w:iCs/>
                <w:color w:val="000000"/>
                <w:kern w:val="0"/>
                <w:sz w:val="24"/>
                <w:lang w:val="en-US" w:eastAsia="zh-CN"/>
              </w:rPr>
              <w:t>7</w:t>
            </w:r>
            <w:r>
              <w:rPr>
                <w:rFonts w:hint="eastAsia" w:ascii="宋体" w:hAnsi="宋体"/>
                <w:bCs/>
                <w:iCs/>
                <w:color w:val="000000"/>
                <w:kern w:val="0"/>
                <w:sz w:val="24"/>
              </w:rPr>
              <w:t>：</w:t>
            </w:r>
            <w:r>
              <w:rPr>
                <w:rFonts w:hint="eastAsia" w:ascii="宋体" w:hAnsi="宋体"/>
                <w:bCs/>
                <w:iCs/>
                <w:color w:val="000000"/>
                <w:kern w:val="0"/>
                <w:sz w:val="24"/>
                <w:lang w:val="en-US" w:eastAsia="zh-CN"/>
              </w:rPr>
              <w:t>0</w:t>
            </w:r>
            <w:r>
              <w:rPr>
                <w:rFonts w:hint="eastAsia" w:ascii="宋体" w:hAnsi="宋体"/>
                <w:bCs/>
                <w:iCs/>
                <w:color w:val="000000"/>
                <w:kern w:val="0"/>
                <w:sz w:val="24"/>
              </w:rPr>
              <w:t>0）</w:t>
            </w:r>
          </w:p>
          <w:p w14:paraId="51EE0953">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月1</w:t>
            </w:r>
            <w:r>
              <w:rPr>
                <w:rFonts w:hint="eastAsia" w:ascii="宋体" w:hAnsi="宋体"/>
                <w:bCs/>
                <w:iCs/>
                <w:color w:val="000000"/>
                <w:kern w:val="0"/>
                <w:sz w:val="24"/>
                <w:lang w:val="en-US" w:eastAsia="zh-CN"/>
              </w:rPr>
              <w:t>8</w:t>
            </w:r>
            <w:r>
              <w:rPr>
                <w:rFonts w:hint="eastAsia" w:ascii="宋体" w:hAnsi="宋体"/>
                <w:bCs/>
                <w:iCs/>
                <w:color w:val="000000"/>
                <w:kern w:val="0"/>
                <w:sz w:val="24"/>
              </w:rPr>
              <w:t>日（</w:t>
            </w:r>
            <w:r>
              <w:rPr>
                <w:rFonts w:hint="eastAsia" w:ascii="宋体" w:hAnsi="宋体"/>
                <w:bCs/>
                <w:iCs/>
                <w:color w:val="000000"/>
                <w:kern w:val="0"/>
                <w:sz w:val="24"/>
                <w:lang w:val="en-US" w:eastAsia="zh-CN"/>
              </w:rPr>
              <w:t>10</w:t>
            </w:r>
            <w:r>
              <w:rPr>
                <w:rFonts w:hint="eastAsia" w:ascii="宋体" w:hAnsi="宋体"/>
                <w:bCs/>
                <w:iCs/>
                <w:color w:val="000000"/>
                <w:kern w:val="0"/>
                <w:sz w:val="24"/>
              </w:rPr>
              <w:t>：00-1</w:t>
            </w:r>
            <w:r>
              <w:rPr>
                <w:rFonts w:hint="eastAsia" w:ascii="宋体" w:hAnsi="宋体"/>
                <w:bCs/>
                <w:iCs/>
                <w:color w:val="000000"/>
                <w:kern w:val="0"/>
                <w:sz w:val="24"/>
                <w:lang w:val="en-US" w:eastAsia="zh-CN"/>
              </w:rPr>
              <w:t>1</w:t>
            </w:r>
            <w:r>
              <w:rPr>
                <w:rFonts w:hint="eastAsia" w:ascii="宋体" w:hAnsi="宋体"/>
                <w:bCs/>
                <w:iCs/>
                <w:color w:val="000000"/>
                <w:kern w:val="0"/>
                <w:sz w:val="24"/>
              </w:rPr>
              <w:t>：</w:t>
            </w:r>
            <w:r>
              <w:rPr>
                <w:rFonts w:hint="eastAsia" w:ascii="宋体" w:hAnsi="宋体"/>
                <w:bCs/>
                <w:iCs/>
                <w:color w:val="000000"/>
                <w:kern w:val="0"/>
                <w:sz w:val="24"/>
                <w:lang w:val="en-US" w:eastAsia="zh-CN"/>
              </w:rPr>
              <w:t>1</w:t>
            </w:r>
            <w:r>
              <w:rPr>
                <w:rFonts w:hint="eastAsia" w:ascii="宋体" w:hAnsi="宋体"/>
                <w:bCs/>
                <w:iCs/>
                <w:color w:val="000000"/>
                <w:kern w:val="0"/>
                <w:sz w:val="24"/>
              </w:rPr>
              <w:t>0）</w:t>
            </w:r>
          </w:p>
          <w:p w14:paraId="4C819710">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r>
              <w:rPr>
                <w:rFonts w:hint="eastAsia" w:ascii="宋体" w:hAnsi="宋体"/>
                <w:bCs/>
                <w:iCs/>
                <w:color w:val="000000"/>
                <w:kern w:val="0"/>
                <w:sz w:val="24"/>
                <w:lang w:val="en-US" w:eastAsia="zh-CN"/>
              </w:rPr>
              <w:t>9</w:t>
            </w:r>
            <w:r>
              <w:rPr>
                <w:rFonts w:hint="eastAsia" w:ascii="宋体" w:hAnsi="宋体"/>
                <w:bCs/>
                <w:iCs/>
                <w:color w:val="000000"/>
                <w:kern w:val="0"/>
                <w:sz w:val="24"/>
              </w:rPr>
              <w:t>：30-1</w:t>
            </w:r>
            <w:r>
              <w:rPr>
                <w:rFonts w:hint="eastAsia" w:ascii="宋体" w:hAnsi="宋体"/>
                <w:bCs/>
                <w:iCs/>
                <w:color w:val="000000"/>
                <w:kern w:val="0"/>
                <w:sz w:val="24"/>
                <w:lang w:val="en-US" w:eastAsia="zh-CN"/>
              </w:rPr>
              <w:t>1</w:t>
            </w:r>
            <w:r>
              <w:rPr>
                <w:rFonts w:hint="eastAsia" w:ascii="宋体" w:hAnsi="宋体"/>
                <w:bCs/>
                <w:iCs/>
                <w:color w:val="000000"/>
                <w:kern w:val="0"/>
                <w:sz w:val="24"/>
              </w:rPr>
              <w:t>：</w:t>
            </w:r>
            <w:r>
              <w:rPr>
                <w:rFonts w:hint="eastAsia" w:ascii="宋体" w:hAnsi="宋体"/>
                <w:bCs/>
                <w:iCs/>
                <w:color w:val="000000"/>
                <w:kern w:val="0"/>
                <w:sz w:val="24"/>
                <w:lang w:val="en-US" w:eastAsia="zh-CN"/>
              </w:rPr>
              <w:t>3</w:t>
            </w:r>
            <w:r>
              <w:rPr>
                <w:rFonts w:hint="eastAsia" w:ascii="宋体" w:hAnsi="宋体"/>
                <w:bCs/>
                <w:iCs/>
                <w:color w:val="000000"/>
                <w:kern w:val="0"/>
                <w:sz w:val="24"/>
              </w:rPr>
              <w:t>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651" w:type="dxa"/>
          </w:tcPr>
          <w:p w14:paraId="2AD855F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公司展厅、第二</w:t>
            </w:r>
            <w:r>
              <w:rPr>
                <w:rFonts w:hint="eastAsia" w:ascii="宋体" w:hAnsi="宋体"/>
                <w:bCs/>
                <w:iCs/>
                <w:color w:val="000000"/>
                <w:kern w:val="0"/>
                <w:sz w:val="24"/>
                <w:lang w:eastAsia="zh-Hans"/>
              </w:rPr>
              <w:t>会议室</w:t>
            </w:r>
            <w:r>
              <w:rPr>
                <w:rFonts w:hint="eastAsia" w:ascii="宋体" w:hAnsi="宋体"/>
                <w:bCs/>
                <w:iCs/>
                <w:color w:val="000000"/>
                <w:kern w:val="0"/>
                <w:sz w:val="24"/>
                <w:lang w:eastAsia="zh-CN"/>
              </w:rPr>
              <w:t>、</w:t>
            </w:r>
            <w:r>
              <w:rPr>
                <w:rFonts w:hint="eastAsia" w:ascii="宋体" w:hAnsi="宋体"/>
                <w:bCs/>
                <w:iCs/>
                <w:color w:val="000000"/>
                <w:kern w:val="0"/>
                <w:sz w:val="24"/>
                <w:lang w:val="en-US" w:eastAsia="zh-CN"/>
              </w:rPr>
              <w:t>第四会议室</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651" w:type="dxa"/>
            <w:vAlign w:val="center"/>
          </w:tcPr>
          <w:p w14:paraId="5BFCE9D5">
            <w:pPr>
              <w:spacing w:line="480" w:lineRule="atLeast"/>
              <w:rPr>
                <w:rFonts w:hint="eastAsia" w:ascii="宋体" w:hAnsi="宋体"/>
                <w:bCs/>
                <w:iCs/>
                <w:color w:val="000000"/>
                <w:kern w:val="0"/>
                <w:sz w:val="24"/>
              </w:rPr>
            </w:pPr>
            <w:r>
              <w:rPr>
                <w:rFonts w:hint="eastAsia" w:ascii="宋体" w:hAnsi="宋体"/>
                <w:bCs/>
                <w:iCs/>
                <w:color w:val="000000"/>
                <w:kern w:val="0"/>
                <w:sz w:val="24"/>
              </w:rPr>
              <w:t>证券投资部副主任、证券事务代表：梁建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30"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651"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（1）参观公司展厅，观看38所和公司宣传片；</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eastAsia" w:ascii="楷体" w:hAnsi="楷体" w:eastAsia="楷体" w:cs="宋体"/>
                <w:kern w:val="0"/>
                <w:szCs w:val="21"/>
                <w:lang w:eastAsia="zh-Hans"/>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为核心的感知装备，以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eastAsia="zh-Hans"/>
              </w:rPr>
              <w:t>，</w:t>
            </w:r>
            <w:r>
              <w:rPr>
                <w:rFonts w:hint="eastAsia" w:ascii="楷体" w:hAnsi="楷体" w:eastAsia="楷体" w:cs="宋体"/>
                <w:kern w:val="0"/>
                <w:szCs w:val="21"/>
                <w:lang w:val="en-US" w:eastAsia="zh-CN"/>
              </w:rPr>
              <w:t>同时，公司积极拓展低空经济业务</w:t>
            </w:r>
            <w:r>
              <w:rPr>
                <w:rFonts w:hint="eastAsia" w:ascii="楷体" w:hAnsi="楷体" w:eastAsia="楷体" w:cs="宋体"/>
                <w:kern w:val="0"/>
                <w:szCs w:val="21"/>
                <w:lang w:eastAsia="zh-Hans"/>
              </w:rPr>
              <w:t>。</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7BB69049">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1、公司2024年度业绩</w:t>
            </w:r>
            <w:r>
              <w:rPr>
                <w:rFonts w:hint="eastAsia" w:ascii="楷体" w:hAnsi="楷体" w:eastAsia="楷体" w:cs="宋体"/>
                <w:b/>
                <w:bCs/>
                <w:kern w:val="0"/>
                <w:szCs w:val="21"/>
                <w:lang w:val="en-US" w:eastAsia="zh-CN"/>
              </w:rPr>
              <w:t>和一季度</w:t>
            </w:r>
            <w:r>
              <w:rPr>
                <w:rFonts w:hint="eastAsia" w:ascii="楷体" w:hAnsi="楷体" w:eastAsia="楷体" w:cs="宋体"/>
                <w:b/>
                <w:bCs/>
                <w:kern w:val="0"/>
                <w:szCs w:val="21"/>
              </w:rPr>
              <w:t>情况</w:t>
            </w:r>
            <w:r>
              <w:rPr>
                <w:rFonts w:hint="eastAsia" w:ascii="楷体" w:hAnsi="楷体" w:eastAsia="楷体" w:cs="宋体"/>
                <w:b/>
                <w:bCs/>
                <w:kern w:val="0"/>
                <w:szCs w:val="21"/>
                <w:lang w:val="en-US" w:eastAsia="zh-CN"/>
              </w:rPr>
              <w:t>如何</w:t>
            </w:r>
            <w:r>
              <w:rPr>
                <w:rFonts w:hint="eastAsia" w:ascii="楷体" w:hAnsi="楷体" w:eastAsia="楷体" w:cs="宋体"/>
                <w:b/>
                <w:bCs/>
                <w:kern w:val="0"/>
                <w:szCs w:val="21"/>
              </w:rPr>
              <w:t>？</w:t>
            </w:r>
          </w:p>
          <w:p w14:paraId="238AAAA8">
            <w:pPr>
              <w:widowControl/>
              <w:ind w:firstLine="420" w:firstLineChars="200"/>
              <w:jc w:val="left"/>
              <w:rPr>
                <w:rFonts w:hint="eastAsia" w:ascii="楷体" w:hAnsi="楷体" w:eastAsia="楷体" w:cs="宋体"/>
                <w:kern w:val="0"/>
                <w:szCs w:val="21"/>
              </w:rPr>
            </w:pPr>
            <w:r>
              <w:rPr>
                <w:rFonts w:hint="eastAsia" w:ascii="楷体" w:hAnsi="楷体" w:eastAsia="楷体" w:cs="宋体"/>
                <w:kern w:val="0"/>
                <w:szCs w:val="21"/>
              </w:rPr>
              <w:t>答：</w:t>
            </w:r>
            <w:r>
              <w:rPr>
                <w:rFonts w:hint="eastAsia" w:ascii="楷体" w:hAnsi="楷体" w:eastAsia="楷体" w:cs="宋体"/>
                <w:kern w:val="0"/>
                <w:szCs w:val="21"/>
                <w:lang w:val="en-US" w:eastAsia="zh-CN"/>
              </w:rPr>
              <w:t>2024年年报将于</w:t>
            </w:r>
            <w:r>
              <w:rPr>
                <w:rFonts w:hint="eastAsia" w:ascii="楷体" w:hAnsi="楷体" w:eastAsia="楷体" w:cs="宋体"/>
                <w:kern w:val="0"/>
                <w:szCs w:val="21"/>
              </w:rPr>
              <w:t>2025年4月30日披露</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具体情况参阅年报，前期也披露过业绩预告，一季度</w:t>
            </w:r>
            <w:r>
              <w:rPr>
                <w:rFonts w:hint="eastAsia" w:ascii="楷体" w:hAnsi="楷体" w:eastAsia="楷体" w:cs="宋体"/>
                <w:kern w:val="0"/>
                <w:szCs w:val="21"/>
              </w:rPr>
              <w:t>从整体经营</w:t>
            </w:r>
            <w:r>
              <w:rPr>
                <w:rFonts w:hint="eastAsia" w:ascii="楷体" w:hAnsi="楷体" w:eastAsia="楷体" w:cs="宋体"/>
                <w:kern w:val="0"/>
                <w:szCs w:val="21"/>
                <w:lang w:val="en-US" w:eastAsia="zh-CN"/>
              </w:rPr>
              <w:t>情况</w:t>
            </w:r>
            <w:r>
              <w:rPr>
                <w:rFonts w:hint="eastAsia" w:ascii="楷体" w:hAnsi="楷体" w:eastAsia="楷体" w:cs="宋体"/>
                <w:kern w:val="0"/>
                <w:szCs w:val="21"/>
              </w:rPr>
              <w:t>看</w:t>
            </w:r>
            <w:r>
              <w:rPr>
                <w:rFonts w:hint="eastAsia" w:ascii="楷体" w:hAnsi="楷体" w:eastAsia="楷体" w:cs="宋体"/>
                <w:kern w:val="0"/>
                <w:szCs w:val="21"/>
                <w:lang w:val="en-US" w:eastAsia="zh-CN"/>
              </w:rPr>
              <w:t>比较平稳</w:t>
            </w:r>
            <w:r>
              <w:rPr>
                <w:rFonts w:hint="eastAsia" w:ascii="楷体" w:hAnsi="楷体" w:eastAsia="楷体" w:cs="宋体"/>
                <w:kern w:val="0"/>
                <w:szCs w:val="21"/>
              </w:rPr>
              <w:t>。</w:t>
            </w:r>
          </w:p>
          <w:p w14:paraId="6DCAAAE5">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2、公司</w:t>
            </w:r>
            <w:r>
              <w:rPr>
                <w:rFonts w:hint="eastAsia" w:ascii="楷体" w:hAnsi="楷体" w:eastAsia="楷体" w:cs="宋体"/>
                <w:b/>
                <w:bCs/>
                <w:kern w:val="0"/>
                <w:szCs w:val="21"/>
                <w:lang w:val="en-US" w:eastAsia="zh-CN"/>
              </w:rPr>
              <w:t>在低空经济领域最新进展如何</w:t>
            </w:r>
            <w:r>
              <w:rPr>
                <w:rFonts w:hint="eastAsia" w:ascii="楷体" w:hAnsi="楷体" w:eastAsia="楷体" w:cs="宋体"/>
                <w:b/>
                <w:bCs/>
                <w:kern w:val="0"/>
                <w:szCs w:val="21"/>
              </w:rPr>
              <w:t>？</w:t>
            </w:r>
          </w:p>
          <w:p w14:paraId="6DC1B564">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rPr>
              <w:t>答：</w:t>
            </w:r>
            <w:r>
              <w:rPr>
                <w:rFonts w:hint="eastAsia" w:ascii="楷体" w:hAnsi="楷体" w:eastAsia="楷体" w:cs="宋体"/>
                <w:kern w:val="0"/>
                <w:szCs w:val="21"/>
                <w:lang w:val="en-US" w:eastAsia="zh-CN"/>
              </w:rPr>
              <w:t>在低空经济领域，公司在前期工作基础上，继续积极跟进政府需求，推进低空经济相关工作。一是在低空气象服务体系方面，由安徽省气象局指导、合肥市气象局牵头，公司联合合肥国际先进技术应用推进中心等单位发起成立了全国首个低空气象服务协同创新中心，签署了共建合作协议，不断提升低空气象业务支撑能力、推进技术创新研发和拓展示范应用场景；二是在创新中心成立大会上，公司首次发布“低空微气象系统——微盾1.0”，创新构建“一网一中心一平台”为城市空中交通、应急救援、无人机物流等新兴业态提供全天候保障；三是公司完成“低空雪亮”样板工程建设，以合肥市高新区蜀西湖为中心，联动博微产业园，聚焦城市要地安防和公安巡检两大场景，构建空地融合的监视能力、朔源查证能力和联动处置能力，整个区域涵盖了人流密集区域、科研院所、湖泊等复杂场景，占地面积约5平方公里，航线长度约12.5公里。在试点区域内构建了三维模型，充分复用城市雪亮杆件、铁塔、高点等基础设施资源，依托公安视频专网统一接入，初步构筑空地一体化监视防护网；四是上线“低空雪亮”平台，构建人、车、事件、无人机全要素的立体要地防御及“一机二巢”的低空警务实战应用，具备试运行条件；五是公司积极对接国际现金技术应用推进中心，力争深度参与合肥UAM国债方案编制。</w:t>
            </w:r>
          </w:p>
          <w:p w14:paraId="75D2FCFF">
            <w:pPr>
              <w:widowControl/>
              <w:numPr>
                <w:ilvl w:val="0"/>
                <w:numId w:val="1"/>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公司在人工智能方向有什么布局吗？</w:t>
            </w:r>
          </w:p>
          <w:p w14:paraId="759E9755">
            <w:pPr>
              <w:widowControl/>
              <w:numPr>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随着智能化为特征的新一轮科技革命和产业变革加速演进，公司也高度重视人工智能技术的应用，为此，公司成立了“人工智能应用研究中心”，以通用大模型为基座，结合专业模型形成垂直场景解决方案，致力于提升公司数智化、装备智能化以及软件核心能力，并以AI应用研究驱动产业创新，高效赋能“一核两翼新动能”主责主业。后续，公司还会持续加大科技创新投入，夯实自主可控的人工智能技术底座，打造高水平人才队伍。</w:t>
            </w:r>
          </w:p>
          <w:p w14:paraId="410D537C">
            <w:pPr>
              <w:widowControl/>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4、公司主业发展以及面临的环境有什么新变化吗？</w:t>
            </w:r>
          </w:p>
          <w:p w14:paraId="570D3342">
            <w:pPr>
              <w:widowControl/>
              <w:ind w:firstLine="420" w:firstLineChars="200"/>
              <w:jc w:val="left"/>
              <w:rPr>
                <w:rFonts w:hint="eastAsia" w:ascii="楷体" w:hAnsi="楷体" w:eastAsia="楷体" w:cs="宋体"/>
                <w:kern w:val="0"/>
                <w:szCs w:val="21"/>
              </w:rPr>
            </w:pPr>
            <w:r>
              <w:rPr>
                <w:rFonts w:hint="eastAsia" w:ascii="楷体" w:hAnsi="楷体" w:eastAsia="楷体" w:cs="宋体"/>
                <w:kern w:val="0"/>
                <w:szCs w:val="21"/>
                <w:lang w:val="en-US" w:eastAsia="zh-CN"/>
              </w:rPr>
              <w:t>答：总体来看，2025年在“两重”项目和“两新”政策实施下，数字化、网络化、智能化新体制雷达需求越来越大，万亿国债刺激下气象、水利和应急等领域机会也更多，具体说来在感知产品方面，公司自主研发的相控阵型水利测雨雷达完成技术验证并工程化落地，是按照水利部印发的《水利测雨雷达系统建设与应用技术要求》指标要求研制的，已经在巢湖地区开展测雨试验；在感知基础方面，pcb、微波组件和电源等业务，外部大院大所市场开拓局面逐步向好；在感知应用方面，数智防务业务继2024年10月中标某信息平台项目近亿元，面临较好的市场机会，同时重要目标防护和机场目标防护也面临较好的市场机会。公司将积极开拓市场，努力争取更多的订单，实现高质量发展</w:t>
            </w:r>
            <w:r>
              <w:rPr>
                <w:rFonts w:hint="eastAsia" w:ascii="楷体" w:hAnsi="楷体" w:eastAsia="楷体" w:cs="宋体"/>
                <w:kern w:val="0"/>
                <w:szCs w:val="21"/>
              </w:rPr>
              <w:t>。</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651"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651" w:type="dxa"/>
          </w:tcPr>
          <w:p w14:paraId="5382332D">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月1</w:t>
            </w:r>
            <w:r>
              <w:rPr>
                <w:rFonts w:hint="eastAsia" w:ascii="宋体" w:hAnsi="宋体"/>
                <w:bCs/>
                <w:iCs/>
                <w:color w:val="000000"/>
                <w:kern w:val="0"/>
                <w:sz w:val="24"/>
                <w:lang w:val="en-US" w:eastAsia="zh-CN"/>
              </w:rPr>
              <w:t>6</w:t>
            </w:r>
            <w:r>
              <w:rPr>
                <w:rFonts w:hint="eastAsia" w:ascii="宋体" w:hAnsi="宋体"/>
                <w:bCs/>
                <w:iCs/>
                <w:color w:val="000000"/>
                <w:kern w:val="0"/>
                <w:sz w:val="24"/>
              </w:rPr>
              <w:t>日</w:t>
            </w:r>
          </w:p>
          <w:p w14:paraId="0BDC628A">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w:t>
            </w:r>
            <w:r>
              <w:rPr>
                <w:rFonts w:hint="eastAsia" w:ascii="宋体" w:hAnsi="宋体"/>
                <w:bCs/>
                <w:iCs/>
                <w:color w:val="000000"/>
                <w:kern w:val="0"/>
                <w:sz w:val="24"/>
                <w:lang w:val="en-US" w:eastAsia="zh-CN"/>
              </w:rPr>
              <w:t>17</w:t>
            </w:r>
            <w:r>
              <w:rPr>
                <w:rFonts w:hint="eastAsia" w:ascii="宋体" w:hAnsi="宋体"/>
                <w:bCs/>
                <w:iCs/>
                <w:color w:val="000000"/>
                <w:kern w:val="0"/>
                <w:sz w:val="24"/>
              </w:rPr>
              <w:t>日</w:t>
            </w:r>
          </w:p>
          <w:p w14:paraId="51C45714">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月1</w:t>
            </w:r>
            <w:r>
              <w:rPr>
                <w:rFonts w:hint="eastAsia" w:ascii="宋体" w:hAnsi="宋体"/>
                <w:bCs/>
                <w:iCs/>
                <w:color w:val="000000"/>
                <w:kern w:val="0"/>
                <w:sz w:val="24"/>
                <w:lang w:val="en-US" w:eastAsia="zh-CN"/>
              </w:rPr>
              <w:t>8</w:t>
            </w:r>
            <w:r>
              <w:rPr>
                <w:rFonts w:hint="eastAsia" w:ascii="宋体" w:hAnsi="宋体"/>
                <w:bCs/>
                <w:iCs/>
                <w:color w:val="000000"/>
                <w:kern w:val="0"/>
                <w:sz w:val="24"/>
              </w:rPr>
              <w:t>日</w:t>
            </w:r>
          </w:p>
          <w:p w14:paraId="4BF17B7D">
            <w:pPr>
              <w:spacing w:line="480" w:lineRule="atLeast"/>
              <w:rPr>
                <w:rFonts w:hint="eastAsia" w:ascii="宋体" w:hAnsi="宋体"/>
                <w:bCs/>
                <w:iCs/>
                <w:color w:val="000000"/>
                <w:kern w:val="0"/>
                <w:sz w:val="24"/>
              </w:rPr>
            </w:pPr>
            <w:r>
              <w:rPr>
                <w:rFonts w:hint="eastAsia" w:ascii="宋体" w:hAnsi="宋体"/>
                <w:bCs/>
                <w:iCs/>
                <w:color w:val="000000"/>
                <w:kern w:val="0"/>
                <w:sz w:val="24"/>
              </w:rPr>
              <w:t>2025年</w:t>
            </w:r>
            <w:r>
              <w:rPr>
                <w:rFonts w:hint="eastAsia" w:ascii="宋体" w:hAnsi="宋体"/>
                <w:bCs/>
                <w:iCs/>
                <w:color w:val="000000"/>
                <w:kern w:val="0"/>
                <w:sz w:val="24"/>
                <w:lang w:val="en-US" w:eastAsia="zh-CN"/>
              </w:rPr>
              <w:t>4</w:t>
            </w:r>
            <w:r>
              <w:rPr>
                <w:rFonts w:hint="eastAsia" w:ascii="宋体" w:hAnsi="宋体"/>
                <w:bCs/>
                <w:iCs/>
                <w:color w:val="000000"/>
                <w:kern w:val="0"/>
                <w:sz w:val="24"/>
              </w:rPr>
              <w:t>月</w:t>
            </w:r>
            <w:r>
              <w:rPr>
                <w:rFonts w:hint="eastAsia" w:ascii="宋体" w:hAnsi="宋体"/>
                <w:bCs/>
                <w:iCs/>
                <w:color w:val="000000"/>
                <w:kern w:val="0"/>
                <w:sz w:val="24"/>
                <w:lang w:val="en-US" w:eastAsia="zh-CN"/>
              </w:rPr>
              <w:t>27</w:t>
            </w:r>
            <w:r>
              <w:rPr>
                <w:rFonts w:hint="eastAsia" w:ascii="宋体" w:hAnsi="宋体"/>
                <w:bCs/>
                <w:iCs/>
                <w:color w:val="000000"/>
                <w:kern w:val="0"/>
                <w:sz w:val="24"/>
              </w:rPr>
              <w:t>日</w:t>
            </w:r>
            <w:bookmarkStart w:id="0" w:name="_GoBack"/>
            <w:bookmarkEnd w:id="0"/>
          </w:p>
        </w:tc>
      </w:tr>
    </w:tbl>
    <w:p w14:paraId="703D9E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3357"/>
    <w:multiLevelType w:val="singleLevel"/>
    <w:tmpl w:val="DFCF335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57FAB4C"/>
    <w:rsid w:val="173B61C6"/>
    <w:rsid w:val="17D7062F"/>
    <w:rsid w:val="1912584B"/>
    <w:rsid w:val="19D9C4FE"/>
    <w:rsid w:val="1B8F39F9"/>
    <w:rsid w:val="1BCF41AF"/>
    <w:rsid w:val="1C103B5D"/>
    <w:rsid w:val="1CCB5FFA"/>
    <w:rsid w:val="1FBC2E81"/>
    <w:rsid w:val="1FDEE4EF"/>
    <w:rsid w:val="1FF96C60"/>
    <w:rsid w:val="23D63FF3"/>
    <w:rsid w:val="24EF070A"/>
    <w:rsid w:val="2593390D"/>
    <w:rsid w:val="25BA00DE"/>
    <w:rsid w:val="25F3B68A"/>
    <w:rsid w:val="262F577E"/>
    <w:rsid w:val="26783E77"/>
    <w:rsid w:val="293B50E9"/>
    <w:rsid w:val="2F3AEBD6"/>
    <w:rsid w:val="30121CBF"/>
    <w:rsid w:val="31B43443"/>
    <w:rsid w:val="32670BB9"/>
    <w:rsid w:val="33FC14D2"/>
    <w:rsid w:val="3537726B"/>
    <w:rsid w:val="35590EB3"/>
    <w:rsid w:val="360F36CE"/>
    <w:rsid w:val="366A0A92"/>
    <w:rsid w:val="37534DDA"/>
    <w:rsid w:val="37B62D5E"/>
    <w:rsid w:val="38464A2A"/>
    <w:rsid w:val="39440949"/>
    <w:rsid w:val="3B9DA3BA"/>
    <w:rsid w:val="3CD613E9"/>
    <w:rsid w:val="3CD780B2"/>
    <w:rsid w:val="3DEDC04A"/>
    <w:rsid w:val="3DFF0B3A"/>
    <w:rsid w:val="3E8B9DC5"/>
    <w:rsid w:val="3F2FA229"/>
    <w:rsid w:val="3F4348FA"/>
    <w:rsid w:val="3F9EAEF0"/>
    <w:rsid w:val="3FDFE2FC"/>
    <w:rsid w:val="3FEEF2A9"/>
    <w:rsid w:val="3FEF910E"/>
    <w:rsid w:val="3FF7DE95"/>
    <w:rsid w:val="41CA2070"/>
    <w:rsid w:val="43BEED3D"/>
    <w:rsid w:val="50C01D3C"/>
    <w:rsid w:val="55AA423F"/>
    <w:rsid w:val="579BAB39"/>
    <w:rsid w:val="5B864B76"/>
    <w:rsid w:val="5BBE33C7"/>
    <w:rsid w:val="5CCF1892"/>
    <w:rsid w:val="5CDC6630"/>
    <w:rsid w:val="5CEF07D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B62E0"/>
    <w:rsid w:val="6EE7C719"/>
    <w:rsid w:val="6F770826"/>
    <w:rsid w:val="6F9FD237"/>
    <w:rsid w:val="6FBF8949"/>
    <w:rsid w:val="6FEF7AF1"/>
    <w:rsid w:val="6FEFADB9"/>
    <w:rsid w:val="70DE69E9"/>
    <w:rsid w:val="71E8319D"/>
    <w:rsid w:val="71FBDB15"/>
    <w:rsid w:val="72146E61"/>
    <w:rsid w:val="7301505A"/>
    <w:rsid w:val="731B8652"/>
    <w:rsid w:val="73B7655F"/>
    <w:rsid w:val="73EB77E7"/>
    <w:rsid w:val="741B5345"/>
    <w:rsid w:val="74527E14"/>
    <w:rsid w:val="753D6ABB"/>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3</Pages>
  <Words>2539</Words>
  <Characters>2645</Characters>
  <Lines>20</Lines>
  <Paragraphs>5</Paragraphs>
  <TotalTime>84</TotalTime>
  <ScaleCrop>false</ScaleCrop>
  <LinksUpToDate>false</LinksUpToDate>
  <CharactersWithSpaces>2767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2025-04-30T08:35:06Z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E3F2914219234F6E819CAF24D5DC4DA8_13</vt:lpwstr>
  </property>
  <property fmtid="{D5CDD505-2E9C-101B-9397-08002B2CF9AE}" pid="4" name="KSOTemplateDocerSaveRecord">
    <vt:lpwstr>eyJoZGlkIjoiY2JhMGM3OTI0YmIxOGFkMzEzYmE0MTRhNGQ4ZTY1ZjMiLCJ1c2VySWQiOiIyMTc0NTczNjQifQ==</vt:lpwstr>
  </property>
</Properties>
</file>