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2D0" w:rsidRDefault="00CD32B5">
      <w:pPr>
        <w:spacing w:line="360" w:lineRule="auto"/>
        <w:jc w:val="center"/>
        <w:rPr>
          <w:rFonts w:ascii="黑体" w:eastAsia="黑体" w:hAnsi="黑体"/>
          <w:bCs/>
          <w:sz w:val="24"/>
        </w:rPr>
      </w:pPr>
      <w:r>
        <w:rPr>
          <w:rFonts w:ascii="黑体" w:eastAsia="黑体" w:hAnsi="黑体" w:hint="eastAsia"/>
          <w:bCs/>
          <w:sz w:val="24"/>
        </w:rPr>
        <w:t>证券代码：601187                                  证券简称：厦门银行</w:t>
      </w:r>
    </w:p>
    <w:p w:rsidR="002A72D0" w:rsidRDefault="00CD32B5">
      <w:pPr>
        <w:spacing w:line="360" w:lineRule="auto"/>
        <w:jc w:val="center"/>
        <w:rPr>
          <w:rFonts w:ascii="黑体" w:eastAsia="黑体" w:hAnsi="黑体"/>
          <w:b/>
          <w:sz w:val="32"/>
          <w:szCs w:val="32"/>
        </w:rPr>
      </w:pPr>
      <w:r>
        <w:rPr>
          <w:rFonts w:ascii="黑体" w:eastAsia="黑体" w:hAnsi="黑体" w:hint="eastAsia"/>
          <w:b/>
          <w:sz w:val="32"/>
          <w:szCs w:val="32"/>
        </w:rPr>
        <w:t>厦门银行股份有限公司</w:t>
      </w:r>
    </w:p>
    <w:p w:rsidR="002A72D0" w:rsidRDefault="00CD32B5">
      <w:pPr>
        <w:spacing w:line="360" w:lineRule="auto"/>
        <w:jc w:val="center"/>
        <w:rPr>
          <w:rFonts w:ascii="黑体" w:eastAsia="黑体" w:hAnsi="黑体"/>
          <w:b/>
          <w:bCs/>
          <w:iCs/>
          <w:color w:val="000000"/>
          <w:sz w:val="32"/>
          <w:szCs w:val="32"/>
        </w:rPr>
      </w:pPr>
      <w:r>
        <w:rPr>
          <w:rFonts w:ascii="黑体" w:eastAsia="黑体" w:hAnsi="黑体" w:hint="eastAsia"/>
          <w:b/>
          <w:bCs/>
          <w:iCs/>
          <w:color w:val="000000"/>
          <w:sz w:val="32"/>
          <w:szCs w:val="32"/>
        </w:rPr>
        <w:t>投资者关系活动记录表</w:t>
      </w:r>
    </w:p>
    <w:p w:rsidR="002A72D0" w:rsidRDefault="00CD32B5">
      <w:pPr>
        <w:spacing w:line="400" w:lineRule="exact"/>
        <w:jc w:val="right"/>
        <w:rPr>
          <w:rFonts w:ascii="宋体" w:eastAsia="宋体" w:hAnsi="宋体"/>
          <w:bCs/>
          <w:iCs/>
          <w:color w:val="000000"/>
          <w:sz w:val="24"/>
        </w:rPr>
      </w:pPr>
      <w:r>
        <w:rPr>
          <w:rFonts w:ascii="宋体" w:eastAsia="宋体" w:hAnsi="宋体" w:hint="eastAsia"/>
          <w:bCs/>
          <w:iCs/>
          <w:color w:val="000000"/>
          <w:sz w:val="24"/>
        </w:rPr>
        <w:t xml:space="preserve">                                               编号：2025-</w:t>
      </w:r>
      <w:r>
        <w:rPr>
          <w:rFonts w:ascii="宋体" w:eastAsia="宋体" w:hAnsi="宋体"/>
          <w:bCs/>
          <w:iCs/>
          <w:color w:val="000000"/>
          <w:sz w:val="24"/>
        </w:rPr>
        <w:t>03</w:t>
      </w:r>
      <w:r>
        <w:rPr>
          <w:rFonts w:ascii="宋体" w:eastAsia="宋体" w:hAnsi="宋体" w:hint="eastAsia"/>
          <w:bCs/>
          <w:iCs/>
          <w:color w:val="000000"/>
          <w:sz w:val="24"/>
        </w:rPr>
        <w:t xml:space="preserve">                                                        </w:t>
      </w:r>
    </w:p>
    <w:tbl>
      <w:tblPr>
        <w:tblpPr w:leftFromText="180" w:rightFromText="180" w:vertAnchor="text" w:tblpXSpec="right" w:tblpY="1"/>
        <w:tblOverlap w:val="neve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7"/>
        <w:gridCol w:w="7129"/>
      </w:tblGrid>
      <w:tr w:rsidR="002A72D0">
        <w:trPr>
          <w:trHeight w:val="1499"/>
        </w:trPr>
        <w:tc>
          <w:tcPr>
            <w:tcW w:w="1907" w:type="dxa"/>
            <w:tcBorders>
              <w:top w:val="single" w:sz="4" w:space="0" w:color="auto"/>
              <w:left w:val="single" w:sz="4" w:space="0" w:color="auto"/>
              <w:bottom w:val="single" w:sz="4" w:space="0" w:color="auto"/>
              <w:right w:val="single" w:sz="4" w:space="0" w:color="auto"/>
            </w:tcBorders>
          </w:tcPr>
          <w:p w:rsidR="002A72D0" w:rsidRDefault="00CD32B5">
            <w:pPr>
              <w:spacing w:line="360" w:lineRule="auto"/>
              <w:rPr>
                <w:rFonts w:ascii="宋体" w:eastAsia="宋体" w:hAnsi="宋体" w:cs="宋体"/>
                <w:b/>
                <w:bCs/>
                <w:iCs/>
                <w:color w:val="000000"/>
                <w:sz w:val="24"/>
              </w:rPr>
            </w:pPr>
            <w:r>
              <w:rPr>
                <w:rFonts w:ascii="宋体" w:eastAsia="宋体" w:hAnsi="宋体" w:cs="宋体" w:hint="eastAsia"/>
                <w:b/>
                <w:bCs/>
                <w:iCs/>
                <w:color w:val="000000"/>
                <w:sz w:val="24"/>
              </w:rPr>
              <w:t>投资者关系活动类别</w:t>
            </w:r>
          </w:p>
          <w:p w:rsidR="002A72D0" w:rsidRDefault="002A72D0">
            <w:pPr>
              <w:spacing w:line="360" w:lineRule="auto"/>
              <w:rPr>
                <w:rFonts w:ascii="宋体" w:eastAsia="宋体" w:hAnsi="宋体" w:cs="宋体"/>
                <w:bCs/>
                <w:iCs/>
                <w:color w:val="000000"/>
                <w:sz w:val="24"/>
              </w:rPr>
            </w:pPr>
          </w:p>
        </w:tc>
        <w:tc>
          <w:tcPr>
            <w:tcW w:w="7129" w:type="dxa"/>
            <w:tcBorders>
              <w:top w:val="single" w:sz="4" w:space="0" w:color="auto"/>
              <w:left w:val="single" w:sz="4" w:space="0" w:color="auto"/>
              <w:bottom w:val="single" w:sz="4" w:space="0" w:color="auto"/>
              <w:right w:val="single" w:sz="4" w:space="0" w:color="auto"/>
            </w:tcBorders>
          </w:tcPr>
          <w:p w:rsidR="002A72D0" w:rsidRDefault="00CD32B5">
            <w:pPr>
              <w:spacing w:line="360" w:lineRule="auto"/>
              <w:rPr>
                <w:rFonts w:ascii="宋体" w:eastAsia="宋体" w:hAnsi="宋体" w:cs="宋体"/>
                <w:sz w:val="24"/>
              </w:rPr>
            </w:pPr>
            <w:r>
              <w:rPr>
                <w:rFonts w:ascii="宋体" w:eastAsia="宋体" w:hAnsi="宋体" w:cs="宋体" w:hint="eastAsia"/>
                <w:bCs/>
                <w:iCs/>
                <w:color w:val="000000"/>
                <w:sz w:val="24"/>
              </w:rPr>
              <w:t>□</w:t>
            </w:r>
            <w:r>
              <w:rPr>
                <w:rFonts w:ascii="宋体" w:eastAsia="宋体" w:hAnsi="宋体" w:cs="宋体" w:hint="eastAsia"/>
                <w:sz w:val="24"/>
              </w:rPr>
              <w:t xml:space="preserve">特定对象调研      </w:t>
            </w:r>
            <w:r>
              <w:rPr>
                <w:rFonts w:ascii="宋体" w:eastAsia="宋体" w:hAnsi="宋体" w:cs="宋体" w:hint="eastAsia"/>
                <w:bCs/>
                <w:iCs/>
                <w:color w:val="000000"/>
                <w:sz w:val="24"/>
              </w:rPr>
              <w:t>□</w:t>
            </w:r>
            <w:r>
              <w:rPr>
                <w:rFonts w:ascii="宋体" w:eastAsia="宋体" w:hAnsi="宋体" w:cs="宋体" w:hint="eastAsia"/>
                <w:sz w:val="24"/>
              </w:rPr>
              <w:t>分析师会议</w:t>
            </w:r>
            <w:r>
              <w:rPr>
                <w:rFonts w:ascii="宋体" w:eastAsia="宋体" w:hAnsi="宋体" w:cs="宋体" w:hint="eastAsia"/>
                <w:bCs/>
                <w:iCs/>
                <w:color w:val="000000"/>
                <w:sz w:val="24"/>
              </w:rPr>
              <w:t xml:space="preserve">        □</w:t>
            </w:r>
            <w:r>
              <w:rPr>
                <w:rFonts w:ascii="宋体" w:eastAsia="宋体" w:hAnsi="宋体" w:cs="宋体" w:hint="eastAsia"/>
                <w:sz w:val="24"/>
              </w:rPr>
              <w:t>媒体采访</w:t>
            </w:r>
          </w:p>
          <w:p w:rsidR="002A72D0" w:rsidRDefault="00CD32B5">
            <w:pPr>
              <w:spacing w:line="360" w:lineRule="auto"/>
              <w:rPr>
                <w:rFonts w:ascii="宋体" w:eastAsia="宋体" w:hAnsi="宋体" w:cs="宋体"/>
                <w:bCs/>
                <w:iCs/>
                <w:color w:val="000000"/>
                <w:sz w:val="24"/>
              </w:rPr>
            </w:pPr>
            <w:r>
              <w:rPr>
                <w:rFonts w:ascii="宋体" w:eastAsia="宋体" w:hAnsi="宋体" w:cs="宋体" w:hint="eastAsia"/>
                <w:bCs/>
                <w:iCs/>
                <w:color w:val="000000"/>
                <w:sz w:val="24"/>
              </w:rPr>
              <w:sym w:font="Wingdings 2" w:char="0052"/>
            </w:r>
            <w:r>
              <w:rPr>
                <w:rFonts w:ascii="宋体" w:eastAsia="宋体" w:hAnsi="宋体" w:cs="宋体" w:hint="eastAsia"/>
                <w:sz w:val="24"/>
              </w:rPr>
              <w:t>业绩说明会</w:t>
            </w:r>
            <w:r>
              <w:rPr>
                <w:rFonts w:ascii="宋体" w:eastAsia="宋体" w:hAnsi="宋体" w:cs="宋体" w:hint="eastAsia"/>
                <w:bCs/>
                <w:iCs/>
                <w:color w:val="000000"/>
                <w:sz w:val="24"/>
              </w:rPr>
              <w:t xml:space="preserve">         □</w:t>
            </w:r>
            <w:r>
              <w:rPr>
                <w:rFonts w:ascii="宋体" w:eastAsia="宋体" w:hAnsi="宋体" w:cs="宋体" w:hint="eastAsia"/>
                <w:sz w:val="24"/>
              </w:rPr>
              <w:t xml:space="preserve">新闻发布会        </w:t>
            </w:r>
            <w:r>
              <w:rPr>
                <w:rFonts w:ascii="宋体" w:eastAsia="宋体" w:hAnsi="宋体" w:cs="宋体" w:hint="eastAsia"/>
                <w:bCs/>
                <w:iCs/>
                <w:color w:val="000000"/>
                <w:sz w:val="24"/>
              </w:rPr>
              <w:t>□</w:t>
            </w:r>
            <w:r>
              <w:rPr>
                <w:rFonts w:ascii="宋体" w:eastAsia="宋体" w:hAnsi="宋体" w:cs="宋体" w:hint="eastAsia"/>
                <w:sz w:val="24"/>
              </w:rPr>
              <w:t>路演活动</w:t>
            </w:r>
          </w:p>
          <w:p w:rsidR="002A72D0" w:rsidRDefault="00CD32B5">
            <w:pPr>
              <w:tabs>
                <w:tab w:val="left" w:pos="3045"/>
                <w:tab w:val="center" w:pos="3199"/>
              </w:tabs>
              <w:spacing w:line="360" w:lineRule="auto"/>
              <w:rPr>
                <w:rFonts w:ascii="宋体" w:eastAsia="宋体" w:hAnsi="宋体" w:cs="宋体"/>
                <w:bCs/>
                <w:iCs/>
                <w:color w:val="000000"/>
                <w:sz w:val="24"/>
              </w:rPr>
            </w:pPr>
            <w:r>
              <w:rPr>
                <w:rFonts w:ascii="宋体" w:eastAsia="宋体" w:hAnsi="宋体" w:cs="宋体" w:hint="eastAsia"/>
                <w:bCs/>
                <w:iCs/>
                <w:color w:val="000000"/>
                <w:sz w:val="24"/>
              </w:rPr>
              <w:t>□</w:t>
            </w:r>
            <w:r>
              <w:rPr>
                <w:rFonts w:ascii="宋体" w:eastAsia="宋体" w:hAnsi="宋体" w:cs="宋体" w:hint="eastAsia"/>
                <w:sz w:val="24"/>
              </w:rPr>
              <w:t>现场参观</w:t>
            </w:r>
            <w:r>
              <w:rPr>
                <w:rFonts w:ascii="宋体" w:eastAsia="宋体" w:hAnsi="宋体" w:cs="宋体" w:hint="eastAsia"/>
                <w:bCs/>
                <w:iCs/>
                <w:color w:val="000000"/>
                <w:sz w:val="24"/>
              </w:rPr>
              <w:t xml:space="preserve">           □</w:t>
            </w:r>
            <w:r>
              <w:rPr>
                <w:rFonts w:ascii="宋体" w:eastAsia="宋体" w:hAnsi="宋体" w:cs="宋体" w:hint="eastAsia"/>
                <w:sz w:val="24"/>
              </w:rPr>
              <w:t xml:space="preserve">其他 </w:t>
            </w:r>
          </w:p>
        </w:tc>
      </w:tr>
      <w:tr w:rsidR="002A72D0">
        <w:trPr>
          <w:trHeight w:val="540"/>
        </w:trPr>
        <w:tc>
          <w:tcPr>
            <w:tcW w:w="1907" w:type="dxa"/>
            <w:tcBorders>
              <w:top w:val="single" w:sz="4" w:space="0" w:color="auto"/>
              <w:left w:val="single" w:sz="4" w:space="0" w:color="auto"/>
              <w:bottom w:val="single" w:sz="4" w:space="0" w:color="auto"/>
              <w:right w:val="single" w:sz="4" w:space="0" w:color="auto"/>
            </w:tcBorders>
          </w:tcPr>
          <w:p w:rsidR="002A72D0" w:rsidRDefault="00CD32B5">
            <w:pPr>
              <w:spacing w:line="360" w:lineRule="auto"/>
              <w:rPr>
                <w:rFonts w:ascii="宋体" w:eastAsia="宋体" w:hAnsi="宋体" w:cs="宋体"/>
                <w:b/>
                <w:bCs/>
                <w:iCs/>
                <w:color w:val="000000"/>
                <w:sz w:val="24"/>
              </w:rPr>
            </w:pPr>
            <w:r>
              <w:rPr>
                <w:rFonts w:ascii="宋体" w:eastAsia="宋体" w:hAnsi="宋体" w:cs="宋体" w:hint="eastAsia"/>
                <w:b/>
                <w:bCs/>
                <w:iCs/>
                <w:color w:val="000000"/>
                <w:sz w:val="24"/>
              </w:rPr>
              <w:t>参与单位名称</w:t>
            </w:r>
          </w:p>
        </w:tc>
        <w:tc>
          <w:tcPr>
            <w:tcW w:w="7129" w:type="dxa"/>
            <w:tcBorders>
              <w:top w:val="single" w:sz="4" w:space="0" w:color="auto"/>
              <w:left w:val="single" w:sz="4" w:space="0" w:color="auto"/>
              <w:bottom w:val="single" w:sz="4" w:space="0" w:color="auto"/>
              <w:right w:val="single" w:sz="4" w:space="0" w:color="auto"/>
            </w:tcBorders>
          </w:tcPr>
          <w:p w:rsidR="002A72D0" w:rsidRDefault="00CD32B5">
            <w:pPr>
              <w:spacing w:line="360" w:lineRule="auto"/>
              <w:rPr>
                <w:rFonts w:ascii="宋体" w:eastAsia="宋体" w:hAnsi="宋体" w:cs="宋体"/>
                <w:bCs/>
                <w:iCs/>
                <w:kern w:val="0"/>
                <w:sz w:val="24"/>
              </w:rPr>
            </w:pPr>
            <w:r>
              <w:rPr>
                <w:rFonts w:ascii="宋体" w:eastAsia="宋体" w:hAnsi="宋体" w:cs="宋体" w:hint="eastAsia"/>
                <w:bCs/>
                <w:iCs/>
                <w:color w:val="000000"/>
                <w:sz w:val="24"/>
              </w:rPr>
              <w:t>投资者现场及网上提问</w:t>
            </w:r>
          </w:p>
        </w:tc>
      </w:tr>
      <w:tr w:rsidR="002A72D0">
        <w:trPr>
          <w:trHeight w:val="383"/>
        </w:trPr>
        <w:tc>
          <w:tcPr>
            <w:tcW w:w="1907" w:type="dxa"/>
            <w:tcBorders>
              <w:top w:val="single" w:sz="4" w:space="0" w:color="auto"/>
              <w:left w:val="single" w:sz="4" w:space="0" w:color="auto"/>
              <w:bottom w:val="single" w:sz="4" w:space="0" w:color="auto"/>
              <w:right w:val="single" w:sz="4" w:space="0" w:color="auto"/>
            </w:tcBorders>
          </w:tcPr>
          <w:p w:rsidR="002A72D0" w:rsidRDefault="00CD32B5">
            <w:pPr>
              <w:spacing w:line="360" w:lineRule="auto"/>
              <w:jc w:val="left"/>
              <w:rPr>
                <w:rFonts w:ascii="宋体" w:eastAsia="宋体" w:hAnsi="宋体" w:cs="宋体"/>
                <w:b/>
                <w:bCs/>
                <w:iCs/>
                <w:color w:val="000000"/>
                <w:sz w:val="24"/>
              </w:rPr>
            </w:pPr>
            <w:r>
              <w:rPr>
                <w:rFonts w:ascii="宋体" w:eastAsia="宋体" w:hAnsi="宋体" w:cs="宋体" w:hint="eastAsia"/>
                <w:b/>
                <w:bCs/>
                <w:iCs/>
                <w:color w:val="000000"/>
                <w:sz w:val="24"/>
              </w:rPr>
              <w:t>时间</w:t>
            </w:r>
          </w:p>
        </w:tc>
        <w:tc>
          <w:tcPr>
            <w:tcW w:w="7129" w:type="dxa"/>
            <w:tcBorders>
              <w:top w:val="single" w:sz="4" w:space="0" w:color="auto"/>
              <w:left w:val="single" w:sz="4" w:space="0" w:color="auto"/>
              <w:bottom w:val="single" w:sz="4" w:space="0" w:color="auto"/>
              <w:right w:val="single" w:sz="4" w:space="0" w:color="auto"/>
            </w:tcBorders>
          </w:tcPr>
          <w:p w:rsidR="002A72D0" w:rsidRDefault="00CD32B5">
            <w:pPr>
              <w:spacing w:line="360" w:lineRule="auto"/>
              <w:rPr>
                <w:rFonts w:ascii="宋体" w:eastAsia="宋体" w:hAnsi="宋体" w:cs="宋体"/>
                <w:bCs/>
                <w:iCs/>
                <w:color w:val="000000"/>
                <w:sz w:val="24"/>
              </w:rPr>
            </w:pPr>
            <w:r>
              <w:rPr>
                <w:rFonts w:ascii="宋体" w:eastAsia="宋体" w:hAnsi="宋体" w:cs="宋体"/>
                <w:bCs/>
                <w:iCs/>
                <w:color w:val="000000"/>
                <w:sz w:val="24"/>
              </w:rPr>
              <w:t>202</w:t>
            </w:r>
            <w:r>
              <w:rPr>
                <w:rFonts w:ascii="宋体" w:eastAsia="宋体" w:hAnsi="宋体" w:cs="宋体" w:hint="eastAsia"/>
                <w:bCs/>
                <w:iCs/>
                <w:color w:val="000000"/>
                <w:sz w:val="24"/>
              </w:rPr>
              <w:t>5</w:t>
            </w:r>
            <w:r>
              <w:rPr>
                <w:rFonts w:ascii="宋体" w:eastAsia="宋体" w:hAnsi="宋体" w:cs="宋体"/>
                <w:bCs/>
                <w:iCs/>
                <w:color w:val="000000"/>
                <w:sz w:val="24"/>
              </w:rPr>
              <w:t>年</w:t>
            </w:r>
            <w:r>
              <w:rPr>
                <w:rFonts w:ascii="宋体" w:eastAsia="宋体" w:hAnsi="宋体" w:cs="宋体" w:hint="eastAsia"/>
                <w:bCs/>
                <w:iCs/>
                <w:color w:val="000000"/>
                <w:sz w:val="24"/>
              </w:rPr>
              <w:t>4</w:t>
            </w:r>
            <w:r>
              <w:rPr>
                <w:rFonts w:ascii="宋体" w:eastAsia="宋体" w:hAnsi="宋体" w:cs="宋体"/>
                <w:bCs/>
                <w:iCs/>
                <w:color w:val="000000"/>
                <w:sz w:val="24"/>
              </w:rPr>
              <w:t>月</w:t>
            </w:r>
            <w:r>
              <w:rPr>
                <w:rFonts w:ascii="宋体" w:eastAsia="宋体" w:hAnsi="宋体" w:cs="宋体" w:hint="eastAsia"/>
                <w:bCs/>
                <w:iCs/>
                <w:color w:val="000000"/>
                <w:sz w:val="24"/>
              </w:rPr>
              <w:t>29</w:t>
            </w:r>
            <w:r>
              <w:rPr>
                <w:rFonts w:ascii="宋体" w:eastAsia="宋体" w:hAnsi="宋体" w:cs="宋体"/>
                <w:bCs/>
                <w:iCs/>
                <w:color w:val="000000"/>
                <w:sz w:val="24"/>
              </w:rPr>
              <w:t>日 (周</w:t>
            </w:r>
            <w:r>
              <w:rPr>
                <w:rFonts w:ascii="宋体" w:eastAsia="宋体" w:hAnsi="宋体" w:cs="宋体" w:hint="eastAsia"/>
                <w:bCs/>
                <w:iCs/>
                <w:color w:val="000000"/>
                <w:sz w:val="24"/>
              </w:rPr>
              <w:t>二</w:t>
            </w:r>
            <w:r>
              <w:rPr>
                <w:rFonts w:ascii="宋体" w:eastAsia="宋体" w:hAnsi="宋体" w:cs="宋体"/>
                <w:bCs/>
                <w:iCs/>
                <w:color w:val="000000"/>
                <w:sz w:val="24"/>
              </w:rPr>
              <w:t>) 下午 15:30~17:30</w:t>
            </w:r>
          </w:p>
        </w:tc>
      </w:tr>
      <w:tr w:rsidR="002A72D0">
        <w:trPr>
          <w:trHeight w:val="376"/>
        </w:trPr>
        <w:tc>
          <w:tcPr>
            <w:tcW w:w="1907" w:type="dxa"/>
            <w:tcBorders>
              <w:top w:val="single" w:sz="4" w:space="0" w:color="auto"/>
              <w:left w:val="single" w:sz="4" w:space="0" w:color="auto"/>
              <w:bottom w:val="single" w:sz="4" w:space="0" w:color="auto"/>
              <w:right w:val="single" w:sz="4" w:space="0" w:color="auto"/>
            </w:tcBorders>
          </w:tcPr>
          <w:p w:rsidR="002A72D0" w:rsidRDefault="00CD32B5">
            <w:pPr>
              <w:spacing w:line="360" w:lineRule="auto"/>
              <w:rPr>
                <w:rFonts w:ascii="宋体" w:eastAsia="宋体" w:hAnsi="宋体" w:cs="宋体"/>
                <w:b/>
                <w:bCs/>
                <w:iCs/>
                <w:color w:val="000000"/>
                <w:sz w:val="24"/>
              </w:rPr>
            </w:pPr>
            <w:r>
              <w:rPr>
                <w:rFonts w:ascii="宋体" w:eastAsia="宋体" w:hAnsi="宋体" w:cs="宋体" w:hint="eastAsia"/>
                <w:b/>
                <w:bCs/>
                <w:iCs/>
                <w:color w:val="000000"/>
                <w:sz w:val="24"/>
              </w:rPr>
              <w:t>地点</w:t>
            </w:r>
          </w:p>
        </w:tc>
        <w:tc>
          <w:tcPr>
            <w:tcW w:w="7129" w:type="dxa"/>
            <w:tcBorders>
              <w:top w:val="single" w:sz="4" w:space="0" w:color="auto"/>
              <w:left w:val="single" w:sz="4" w:space="0" w:color="auto"/>
              <w:bottom w:val="single" w:sz="4" w:space="0" w:color="auto"/>
              <w:right w:val="single" w:sz="4" w:space="0" w:color="auto"/>
            </w:tcBorders>
          </w:tcPr>
          <w:p w:rsidR="002A72D0" w:rsidRDefault="00CD32B5">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上海，</w:t>
            </w:r>
            <w:r>
              <w:rPr>
                <w:rFonts w:ascii="宋体" w:eastAsia="宋体" w:hAnsi="宋体" w:cs="宋体"/>
                <w:bCs/>
                <w:iCs/>
                <w:color w:val="000000"/>
                <w:sz w:val="24"/>
              </w:rPr>
              <w:t>上证路演中心</w:t>
            </w:r>
            <w:r>
              <w:rPr>
                <w:rFonts w:ascii="宋体" w:eastAsia="宋体" w:hAnsi="宋体" w:cs="宋体" w:hint="eastAsia"/>
                <w:bCs/>
                <w:iCs/>
                <w:color w:val="000000"/>
                <w:sz w:val="24"/>
              </w:rPr>
              <w:t>、全景网同步视频直播</w:t>
            </w:r>
          </w:p>
        </w:tc>
      </w:tr>
      <w:tr w:rsidR="002A72D0">
        <w:tc>
          <w:tcPr>
            <w:tcW w:w="1907" w:type="dxa"/>
            <w:tcBorders>
              <w:top w:val="single" w:sz="4" w:space="0" w:color="auto"/>
              <w:left w:val="single" w:sz="4" w:space="0" w:color="auto"/>
              <w:bottom w:val="single" w:sz="4" w:space="0" w:color="auto"/>
              <w:right w:val="single" w:sz="4" w:space="0" w:color="auto"/>
            </w:tcBorders>
          </w:tcPr>
          <w:p w:rsidR="002A72D0" w:rsidRDefault="00CD32B5">
            <w:pPr>
              <w:spacing w:line="360" w:lineRule="auto"/>
              <w:rPr>
                <w:rFonts w:ascii="宋体" w:eastAsia="宋体" w:hAnsi="宋体" w:cs="宋体"/>
                <w:b/>
                <w:bCs/>
                <w:iCs/>
                <w:color w:val="000000"/>
                <w:sz w:val="24"/>
              </w:rPr>
            </w:pPr>
            <w:r>
              <w:rPr>
                <w:rFonts w:ascii="宋体" w:eastAsia="宋体" w:hAnsi="宋体" w:cs="宋体" w:hint="eastAsia"/>
                <w:b/>
                <w:bCs/>
                <w:iCs/>
                <w:color w:val="000000"/>
                <w:sz w:val="24"/>
              </w:rPr>
              <w:t>公司接待人员</w:t>
            </w:r>
          </w:p>
        </w:tc>
        <w:tc>
          <w:tcPr>
            <w:tcW w:w="7129" w:type="dxa"/>
            <w:tcBorders>
              <w:top w:val="single" w:sz="4" w:space="0" w:color="auto"/>
              <w:left w:val="single" w:sz="4" w:space="0" w:color="auto"/>
              <w:bottom w:val="single" w:sz="4" w:space="0" w:color="auto"/>
              <w:right w:val="single" w:sz="4" w:space="0" w:color="auto"/>
            </w:tcBorders>
          </w:tcPr>
          <w:p w:rsidR="002A72D0" w:rsidRDefault="00CD32B5">
            <w:pPr>
              <w:spacing w:line="420" w:lineRule="exact"/>
              <w:rPr>
                <w:rFonts w:ascii="宋体" w:hAnsi="宋体"/>
                <w:bCs/>
                <w:sz w:val="24"/>
              </w:rPr>
            </w:pPr>
            <w:r>
              <w:rPr>
                <w:rFonts w:ascii="宋体" w:eastAsia="宋体" w:hAnsi="宋体" w:cs="宋体" w:hint="eastAsia"/>
                <w:bCs/>
                <w:iCs/>
                <w:color w:val="000000"/>
                <w:sz w:val="24"/>
              </w:rPr>
              <w:t>董事长洪枇杷、行长吴昕颢、独立董事袁东、副行长刘永斌、副行长郑承满、副行长兼董事会秘书谢彤华、行长助理兼首席风险官陈松</w:t>
            </w:r>
          </w:p>
        </w:tc>
      </w:tr>
      <w:tr w:rsidR="002A72D0">
        <w:tc>
          <w:tcPr>
            <w:tcW w:w="1907" w:type="dxa"/>
            <w:tcBorders>
              <w:top w:val="single" w:sz="4" w:space="0" w:color="auto"/>
              <w:left w:val="single" w:sz="4" w:space="0" w:color="auto"/>
              <w:bottom w:val="single" w:sz="4" w:space="0" w:color="auto"/>
              <w:right w:val="single" w:sz="4" w:space="0" w:color="auto"/>
            </w:tcBorders>
            <w:vAlign w:val="center"/>
          </w:tcPr>
          <w:p w:rsidR="002A72D0" w:rsidRDefault="00CD32B5">
            <w:pPr>
              <w:spacing w:line="360" w:lineRule="auto"/>
              <w:rPr>
                <w:rFonts w:asciiTheme="minorEastAsia" w:eastAsiaTheme="minorEastAsia" w:hAnsiTheme="minorEastAsia" w:cs="宋体"/>
                <w:b/>
                <w:bCs/>
                <w:iCs/>
                <w:sz w:val="24"/>
              </w:rPr>
            </w:pPr>
            <w:r>
              <w:rPr>
                <w:rFonts w:asciiTheme="minorEastAsia" w:eastAsiaTheme="minorEastAsia" w:hAnsiTheme="minorEastAsia" w:cs="宋体" w:hint="eastAsia"/>
                <w:b/>
                <w:bCs/>
                <w:iCs/>
                <w:sz w:val="24"/>
              </w:rPr>
              <w:t>投资者关系活动主要内容介绍（问题及回复概述）</w:t>
            </w:r>
          </w:p>
        </w:tc>
        <w:tc>
          <w:tcPr>
            <w:tcW w:w="7129" w:type="dxa"/>
            <w:tcBorders>
              <w:top w:val="single" w:sz="4" w:space="0" w:color="auto"/>
              <w:left w:val="single" w:sz="4" w:space="0" w:color="auto"/>
              <w:bottom w:val="single" w:sz="4" w:space="0" w:color="auto"/>
              <w:right w:val="single" w:sz="4" w:space="0" w:color="auto"/>
            </w:tcBorders>
          </w:tcPr>
          <w:p w:rsidR="002A72D0" w:rsidRDefault="00CD32B5">
            <w:pPr>
              <w:pStyle w:val="Style6"/>
              <w:spacing w:line="360" w:lineRule="auto"/>
              <w:ind w:firstLineChars="0" w:firstLine="0"/>
              <w:rPr>
                <w:rFonts w:ascii="宋体" w:hAnsi="宋体"/>
                <w:b/>
                <w:sz w:val="24"/>
                <w:szCs w:val="24"/>
              </w:rPr>
            </w:pPr>
            <w:r>
              <w:rPr>
                <w:rFonts w:ascii="宋体" w:hAnsi="宋体"/>
                <w:b/>
                <w:sz w:val="24"/>
                <w:szCs w:val="24"/>
              </w:rPr>
              <w:t>一、投资者现场提问</w:t>
            </w:r>
          </w:p>
          <w:p w:rsidR="002A72D0" w:rsidRDefault="00CD32B5">
            <w:pPr>
              <w:spacing w:line="360" w:lineRule="auto"/>
              <w:ind w:firstLineChars="200" w:firstLine="482"/>
              <w:rPr>
                <w:rFonts w:ascii="宋体" w:eastAsia="宋体" w:hAnsi="宋体"/>
                <w:b/>
                <w:bCs/>
                <w:sz w:val="24"/>
              </w:rPr>
            </w:pPr>
            <w:r>
              <w:rPr>
                <w:rFonts w:ascii="宋体" w:eastAsia="宋体" w:hAnsi="宋体" w:hint="eastAsia"/>
                <w:b/>
                <w:bCs/>
                <w:sz w:val="24"/>
              </w:rPr>
              <w:t>1.董事长刚</w:t>
            </w:r>
            <w:r w:rsidR="00CB1479">
              <w:rPr>
                <w:rFonts w:ascii="宋体" w:eastAsia="宋体" w:hAnsi="宋体" w:hint="eastAsia"/>
                <w:b/>
                <w:bCs/>
                <w:sz w:val="24"/>
              </w:rPr>
              <w:t>刚</w:t>
            </w:r>
            <w:r>
              <w:rPr>
                <w:rFonts w:ascii="宋体" w:eastAsia="宋体" w:hAnsi="宋体" w:hint="eastAsia"/>
                <w:b/>
                <w:bCs/>
                <w:sz w:val="24"/>
              </w:rPr>
              <w:t>致辞中有提到未来五年战略“2+3”，</w:t>
            </w:r>
            <w:r>
              <w:rPr>
                <w:rFonts w:ascii="宋体" w:eastAsia="宋体" w:hAnsi="宋体"/>
                <w:b/>
                <w:bCs/>
                <w:sz w:val="24"/>
              </w:rPr>
              <w:t>以</w:t>
            </w:r>
            <w:r>
              <w:rPr>
                <w:rFonts w:ascii="宋体" w:eastAsia="宋体" w:hAnsi="宋体" w:hint="eastAsia"/>
                <w:b/>
                <w:bCs/>
                <w:sz w:val="24"/>
              </w:rPr>
              <w:t>“稳”“进”“立”三字高度总结了未来的发展思路和想法，我们也知道洪董事长</w:t>
            </w:r>
            <w:r w:rsidR="00E86D97">
              <w:rPr>
                <w:rFonts w:ascii="宋体" w:eastAsia="宋体" w:hAnsi="宋体" w:hint="eastAsia"/>
                <w:b/>
                <w:bCs/>
                <w:sz w:val="24"/>
              </w:rPr>
              <w:t>有</w:t>
            </w:r>
            <w:r>
              <w:rPr>
                <w:rFonts w:ascii="宋体" w:eastAsia="宋体" w:hAnsi="宋体" w:hint="eastAsia"/>
                <w:b/>
                <w:bCs/>
                <w:sz w:val="24"/>
              </w:rPr>
              <w:t>30多年一线丰富的业务经验，能否和大家介绍一下厦门银行短期和中长期的重点工作有哪些？</w:t>
            </w:r>
          </w:p>
          <w:p w:rsidR="002A72D0" w:rsidRDefault="00CD32B5">
            <w:pPr>
              <w:spacing w:line="360" w:lineRule="auto"/>
              <w:ind w:firstLine="480"/>
              <w:rPr>
                <w:rFonts w:ascii="宋体" w:eastAsia="宋体" w:hAnsi="宋体"/>
                <w:sz w:val="24"/>
              </w:rPr>
            </w:pPr>
            <w:r>
              <w:rPr>
                <w:rFonts w:ascii="宋体" w:eastAsia="宋体" w:hAnsi="宋体" w:hint="eastAsia"/>
                <w:sz w:val="24"/>
              </w:rPr>
              <w:t>感谢提问。形势越是多变，越需要战略引领，以战略的确定性应对外部的不确定性。我们在构建的</w:t>
            </w:r>
            <w:r w:rsidR="00E86D97">
              <w:rPr>
                <w:rFonts w:ascii="宋体" w:eastAsia="宋体" w:hAnsi="宋体"/>
                <w:sz w:val="24"/>
              </w:rPr>
              <w:t>“</w:t>
            </w:r>
            <w:r>
              <w:rPr>
                <w:rFonts w:ascii="宋体" w:eastAsia="宋体" w:hAnsi="宋体" w:hint="eastAsia"/>
                <w:sz w:val="24"/>
              </w:rPr>
              <w:t>2+3</w:t>
            </w:r>
            <w:r w:rsidR="00E86D97">
              <w:rPr>
                <w:rFonts w:ascii="宋体" w:eastAsia="宋体" w:hAnsi="宋体"/>
                <w:sz w:val="24"/>
              </w:rPr>
              <w:t>”</w:t>
            </w:r>
            <w:r>
              <w:rPr>
                <w:rFonts w:ascii="宋体" w:eastAsia="宋体" w:hAnsi="宋体" w:hint="eastAsia"/>
                <w:sz w:val="24"/>
              </w:rPr>
              <w:t>五年规划，主题是“稳</w:t>
            </w:r>
            <w:r>
              <w:rPr>
                <w:rFonts w:ascii="宋体" w:eastAsia="宋体" w:hAnsi="宋体"/>
                <w:sz w:val="24"/>
              </w:rPr>
              <w:t>”</w:t>
            </w:r>
            <w:r>
              <w:rPr>
                <w:rFonts w:ascii="宋体" w:eastAsia="宋体" w:hAnsi="宋体" w:hint="eastAsia"/>
                <w:sz w:val="24"/>
              </w:rPr>
              <w:t>“进</w:t>
            </w:r>
            <w:r>
              <w:rPr>
                <w:rFonts w:ascii="宋体" w:eastAsia="宋体" w:hAnsi="宋体"/>
                <w:sz w:val="24"/>
              </w:rPr>
              <w:t>”</w:t>
            </w:r>
            <w:r>
              <w:rPr>
                <w:rFonts w:ascii="宋体" w:eastAsia="宋体" w:hAnsi="宋体" w:hint="eastAsia"/>
                <w:sz w:val="24"/>
              </w:rPr>
              <w:t>“立</w:t>
            </w:r>
            <w:r>
              <w:rPr>
                <w:rFonts w:ascii="宋体" w:eastAsia="宋体" w:hAnsi="宋体"/>
                <w:sz w:val="24"/>
              </w:rPr>
              <w:t>”</w:t>
            </w:r>
            <w:r>
              <w:rPr>
                <w:rFonts w:ascii="宋体" w:eastAsia="宋体" w:hAnsi="宋体" w:hint="eastAsia"/>
                <w:sz w:val="24"/>
              </w:rPr>
              <w:t>，这既是自身发展需要，也是对贯彻落实中央经济工作会议精神的要求。我们希望这个规划能有比较强的系统性、前瞻性和可操作性，兼顾短中长期。厦门银行仍然处于创业阶段，短期我们主要是集中精力，解决当前主要矛盾。中长期主要是提升能力，解决可持续发展问题。</w:t>
            </w:r>
          </w:p>
          <w:p w:rsidR="002A72D0" w:rsidRDefault="00CD32B5">
            <w:pPr>
              <w:spacing w:line="360" w:lineRule="auto"/>
              <w:ind w:firstLine="480"/>
              <w:rPr>
                <w:rFonts w:ascii="宋体" w:eastAsia="宋体" w:hAnsi="宋体"/>
                <w:sz w:val="24"/>
              </w:rPr>
            </w:pPr>
            <w:r>
              <w:rPr>
                <w:rFonts w:ascii="宋体" w:eastAsia="宋体" w:hAnsi="宋体" w:hint="eastAsia"/>
                <w:sz w:val="24"/>
              </w:rPr>
              <w:t>短期还是问题导向，我们基本面比较稳，整个质量还是可以的，但也有些指标有待进一步提升，重点抓好“三项工作”：</w:t>
            </w:r>
          </w:p>
          <w:p w:rsidR="002A72D0" w:rsidRDefault="00CD32B5">
            <w:pPr>
              <w:spacing w:line="360" w:lineRule="auto"/>
              <w:ind w:firstLine="480"/>
              <w:rPr>
                <w:rFonts w:ascii="宋体" w:eastAsia="宋体" w:hAnsi="宋体"/>
                <w:sz w:val="24"/>
              </w:rPr>
            </w:pPr>
            <w:r>
              <w:rPr>
                <w:rFonts w:ascii="宋体" w:eastAsia="宋体" w:hAnsi="宋体" w:hint="eastAsia"/>
                <w:sz w:val="24"/>
              </w:rPr>
              <w:t>第一，抓细分市场，加快业务发展。在福建和重庆，我们还有很多结构性的市场机会。资产端，下阶段要稳步上量。围绕金融“五</w:t>
            </w:r>
            <w:r>
              <w:rPr>
                <w:rFonts w:ascii="宋体" w:eastAsia="宋体" w:hAnsi="宋体" w:hint="eastAsia"/>
                <w:sz w:val="24"/>
              </w:rPr>
              <w:lastRenderedPageBreak/>
              <w:t>篇大文章</w:t>
            </w:r>
            <w:r>
              <w:rPr>
                <w:rFonts w:ascii="宋体" w:eastAsia="宋体" w:hAnsi="宋体"/>
                <w:sz w:val="24"/>
              </w:rPr>
              <w:t>”</w:t>
            </w:r>
            <w:r>
              <w:rPr>
                <w:rFonts w:ascii="宋体" w:eastAsia="宋体" w:hAnsi="宋体" w:hint="eastAsia"/>
                <w:sz w:val="24"/>
              </w:rPr>
              <w:t>，围绕宏观经济增长点，加大两新两重、优质产业集群等领域投放力度，在把好风险的前提下，有节奏地推动整个贷款上量，实现规模、效益、质量的平衡发展。负债端，还是要做稳做实。零售方面，我们将顺势而为，加大产品创新力度，发挥零售负债的压舱石基础性作用；对公方面也有很多增量机会，我们将提升综合经营能力，积极参与市场竞争。</w:t>
            </w:r>
          </w:p>
          <w:p w:rsidR="002A72D0" w:rsidRDefault="00CD32B5">
            <w:pPr>
              <w:spacing w:line="360" w:lineRule="auto"/>
              <w:ind w:firstLine="480"/>
              <w:rPr>
                <w:rFonts w:ascii="宋体" w:eastAsia="宋体" w:hAnsi="宋体"/>
                <w:sz w:val="24"/>
              </w:rPr>
            </w:pPr>
            <w:r>
              <w:rPr>
                <w:rFonts w:ascii="宋体" w:eastAsia="宋体" w:hAnsi="宋体" w:hint="eastAsia"/>
                <w:sz w:val="24"/>
              </w:rPr>
              <w:t>第二，抓息差管控，提升盈利水平。一方面，传统商行业务要做强做优，提高占比，稳定和提升利息差。与市场比，资产收益既要跑赢风险承担，又能保持一定发展速度；而负债成本的降低，关键在于活期存款低成本存款的增长，这里有很多工作要做，核心是客户基础建设。另一方面，金融市场条线盈利能力的提升，是有空间的，也是可持续的。我们的金融市场牌照比较齐全的，团队也比较优秀。</w:t>
            </w:r>
          </w:p>
          <w:p w:rsidR="002A72D0" w:rsidRDefault="00CD32B5">
            <w:pPr>
              <w:spacing w:line="360" w:lineRule="auto"/>
              <w:ind w:firstLine="480"/>
              <w:rPr>
                <w:rFonts w:ascii="宋体" w:eastAsia="宋体" w:hAnsi="宋体"/>
                <w:sz w:val="24"/>
              </w:rPr>
            </w:pPr>
            <w:r>
              <w:rPr>
                <w:rFonts w:ascii="宋体" w:eastAsia="宋体" w:hAnsi="宋体" w:hint="eastAsia"/>
                <w:sz w:val="24"/>
              </w:rPr>
              <w:t>第三，抓客户经营，实现提质上量。银行的经营逻辑是“客户-业务-效益</w:t>
            </w:r>
            <w:r w:rsidR="00E86D97">
              <w:rPr>
                <w:rFonts w:ascii="宋体" w:eastAsia="宋体" w:hAnsi="宋体"/>
                <w:sz w:val="24"/>
              </w:rPr>
              <w:t>”</w:t>
            </w:r>
            <w:r>
              <w:rPr>
                <w:rFonts w:ascii="宋体" w:eastAsia="宋体" w:hAnsi="宋体" w:hint="eastAsia"/>
                <w:sz w:val="24"/>
              </w:rPr>
              <w:t>。不论是业务规模，还是经营效益，都跟客户基础呈现正相关、强相关的关系。我们的目标，既要做大客户基数，也要深化客户经营，以体系化的经营、专业化的服务，吸引客户，留住客户，获取溢价，提增效益。</w:t>
            </w:r>
          </w:p>
          <w:p w:rsidR="002A72D0" w:rsidRDefault="00CD32B5">
            <w:pPr>
              <w:spacing w:line="360" w:lineRule="auto"/>
              <w:ind w:firstLine="480"/>
              <w:rPr>
                <w:rFonts w:ascii="宋体" w:eastAsia="宋体" w:hAnsi="宋体"/>
                <w:sz w:val="24"/>
              </w:rPr>
            </w:pPr>
            <w:r>
              <w:rPr>
                <w:rFonts w:ascii="宋体" w:eastAsia="宋体" w:hAnsi="宋体" w:hint="eastAsia"/>
                <w:sz w:val="24"/>
              </w:rPr>
              <w:t>还有一项工作，要不断取得新成效，就是要更好地打造两岸金融的标杆银行，我们将以高目标要求驱动，加大资源投入力度，做好专营工作，切实把这个金字招牌擦得更亮。</w:t>
            </w:r>
          </w:p>
          <w:p w:rsidR="002A72D0" w:rsidRDefault="00CD32B5">
            <w:pPr>
              <w:spacing w:line="360" w:lineRule="auto"/>
              <w:ind w:firstLine="480"/>
              <w:rPr>
                <w:rFonts w:ascii="宋体" w:eastAsia="宋体" w:hAnsi="宋体"/>
                <w:sz w:val="24"/>
              </w:rPr>
            </w:pPr>
            <w:r>
              <w:rPr>
                <w:rFonts w:ascii="宋体" w:eastAsia="宋体" w:hAnsi="宋体" w:hint="eastAsia"/>
                <w:sz w:val="24"/>
              </w:rPr>
              <w:t>还有不少工作，需要时间的积累，事情要一件一件干，才能出成效。我们要尊重发展的规律，做时间的好朋友，发挥时间的力量，秉承长期主义。从中长期看，能力建设是可持续发展的关键。我们将努力推动“四个赋能</w:t>
            </w:r>
            <w:r>
              <w:rPr>
                <w:rFonts w:ascii="宋体" w:eastAsia="宋体" w:hAnsi="宋体"/>
                <w:sz w:val="24"/>
              </w:rPr>
              <w:t>”</w:t>
            </w:r>
            <w:r>
              <w:rPr>
                <w:rFonts w:ascii="宋体" w:eastAsia="宋体" w:hAnsi="宋体" w:hint="eastAsia"/>
                <w:sz w:val="24"/>
              </w:rPr>
              <w:t>。</w:t>
            </w:r>
          </w:p>
          <w:p w:rsidR="002A72D0" w:rsidRDefault="00CD32B5">
            <w:pPr>
              <w:spacing w:line="360" w:lineRule="auto"/>
              <w:ind w:firstLine="480"/>
              <w:rPr>
                <w:rFonts w:ascii="宋体" w:eastAsia="宋体" w:hAnsi="宋体"/>
                <w:sz w:val="24"/>
              </w:rPr>
            </w:pPr>
            <w:r>
              <w:rPr>
                <w:rFonts w:ascii="宋体" w:eastAsia="宋体" w:hAnsi="宋体" w:hint="eastAsia"/>
                <w:sz w:val="24"/>
              </w:rPr>
              <w:t>第一，人才赋能。这是一项重要的系统性工程。要做好引人、用人、育人三件事。引人方面，我们倡导专家办行，我们行有非常好的开放包容的文化；用人方面，我们将健全人才管理机制，加强绩效管理，激发员工潜能，保持市场化基因，让人才有为、有位，</w:t>
            </w:r>
            <w:r>
              <w:rPr>
                <w:rFonts w:ascii="宋体" w:eastAsia="宋体" w:hAnsi="宋体" w:hint="eastAsia"/>
                <w:sz w:val="24"/>
              </w:rPr>
              <w:lastRenderedPageBreak/>
              <w:t>让组织保持活力；育人方面，我们将加强人才梯队培养，做好梯队建设，为长远发展储备人才。</w:t>
            </w:r>
          </w:p>
          <w:p w:rsidR="002A72D0" w:rsidRDefault="00CD32B5">
            <w:pPr>
              <w:spacing w:line="360" w:lineRule="auto"/>
              <w:ind w:firstLine="480"/>
              <w:rPr>
                <w:rFonts w:ascii="宋体" w:eastAsia="宋体" w:hAnsi="宋体"/>
                <w:sz w:val="24"/>
              </w:rPr>
            </w:pPr>
            <w:r>
              <w:rPr>
                <w:rFonts w:ascii="宋体" w:eastAsia="宋体" w:hAnsi="宋体" w:hint="eastAsia"/>
                <w:sz w:val="24"/>
              </w:rPr>
              <w:t>第二，科技赋能。数字化转型，我们要找到适合我们的路径。一方面，要加大科技投入，把钱花在刀刃上，以数字化转型的视角，推动组织架构重构，包括业务模式重塑。另一方面，大力推动包括积极引进新技术，在我行经营管理和客户服务场景中运用和实践，打造“科技+业务</w:t>
            </w:r>
            <w:r>
              <w:rPr>
                <w:rFonts w:ascii="宋体" w:eastAsia="宋体" w:hAnsi="宋体"/>
                <w:sz w:val="24"/>
              </w:rPr>
              <w:t>”</w:t>
            </w:r>
            <w:r>
              <w:rPr>
                <w:rFonts w:ascii="宋体" w:eastAsia="宋体" w:hAnsi="宋体" w:hint="eastAsia"/>
                <w:sz w:val="24"/>
              </w:rPr>
              <w:t>的双轮驱动模式。从中长期来看，科技非常重要。</w:t>
            </w:r>
          </w:p>
          <w:p w:rsidR="002A72D0" w:rsidRDefault="00CD32B5">
            <w:pPr>
              <w:spacing w:line="360" w:lineRule="auto"/>
              <w:ind w:firstLine="480"/>
              <w:rPr>
                <w:rFonts w:ascii="宋体" w:eastAsia="宋体" w:hAnsi="宋体"/>
                <w:sz w:val="24"/>
              </w:rPr>
            </w:pPr>
            <w:r>
              <w:rPr>
                <w:rFonts w:ascii="宋体" w:eastAsia="宋体" w:hAnsi="宋体" w:hint="eastAsia"/>
                <w:sz w:val="24"/>
              </w:rPr>
              <w:t>第三，体制机制赋能。改革始终是破解难题的关键一招。我们将以战略为牵引，不断优化体制机制，提升效率、推动创新，通过体制机制的优化，释放内在长效发展动能，在应对市场变化时，能够始终保持主动。</w:t>
            </w:r>
          </w:p>
          <w:p w:rsidR="002A72D0" w:rsidRDefault="00CD32B5">
            <w:pPr>
              <w:spacing w:line="360" w:lineRule="auto"/>
              <w:ind w:firstLine="480"/>
              <w:rPr>
                <w:rFonts w:ascii="宋体" w:eastAsia="宋体" w:hAnsi="宋体"/>
                <w:sz w:val="24"/>
              </w:rPr>
            </w:pPr>
            <w:r>
              <w:rPr>
                <w:rFonts w:ascii="宋体" w:eastAsia="宋体" w:hAnsi="宋体" w:hint="eastAsia"/>
                <w:sz w:val="24"/>
              </w:rPr>
              <w:t>第四，文化赋能。文化是长久的事情，我们是根在福建的企业，“敢拼会赢</w:t>
            </w:r>
            <w:r>
              <w:rPr>
                <w:rFonts w:ascii="宋体" w:eastAsia="宋体" w:hAnsi="宋体"/>
                <w:sz w:val="24"/>
              </w:rPr>
              <w:t>”</w:t>
            </w:r>
            <w:r>
              <w:rPr>
                <w:rFonts w:ascii="宋体" w:eastAsia="宋体" w:hAnsi="宋体" w:hint="eastAsia"/>
                <w:sz w:val="24"/>
              </w:rPr>
              <w:t>是福建文化的特点，我行本身也有鲜明的“海潮文化</w:t>
            </w:r>
            <w:r>
              <w:rPr>
                <w:rFonts w:ascii="宋体" w:eastAsia="宋体" w:hAnsi="宋体"/>
                <w:sz w:val="24"/>
              </w:rPr>
              <w:t>”</w:t>
            </w:r>
            <w:r>
              <w:rPr>
                <w:rFonts w:ascii="宋体" w:eastAsia="宋体" w:hAnsi="宋体" w:hint="eastAsia"/>
                <w:sz w:val="24"/>
              </w:rPr>
              <w:t>，它的核心内涵是团结进取、敢于争先、勇于挑战。这个跟福建文化也是融合在一起的。作为根在福建，根在厦门的一家银行，我们要将二者融合在一起，在提升整个文化力过程当中，它就是一个前进的力量。</w:t>
            </w:r>
          </w:p>
          <w:p w:rsidR="002A72D0" w:rsidRDefault="00CD32B5">
            <w:pPr>
              <w:spacing w:line="360" w:lineRule="auto"/>
              <w:ind w:firstLine="480"/>
              <w:rPr>
                <w:rFonts w:ascii="宋体" w:eastAsia="宋体" w:hAnsi="宋体"/>
                <w:sz w:val="24"/>
              </w:rPr>
            </w:pPr>
            <w:r>
              <w:rPr>
                <w:rFonts w:ascii="宋体" w:eastAsia="宋体" w:hAnsi="宋体" w:hint="eastAsia"/>
                <w:sz w:val="24"/>
              </w:rPr>
              <w:t>最后，“2+3</w:t>
            </w:r>
            <w:r>
              <w:rPr>
                <w:rFonts w:ascii="宋体" w:eastAsia="宋体" w:hAnsi="宋体"/>
                <w:sz w:val="24"/>
              </w:rPr>
              <w:t>”</w:t>
            </w:r>
            <w:r>
              <w:rPr>
                <w:rFonts w:ascii="宋体" w:eastAsia="宋体" w:hAnsi="宋体" w:hint="eastAsia"/>
                <w:sz w:val="24"/>
              </w:rPr>
              <w:t>的五年战略，我们希望立足当前和长远，兼顾守正和创新。我们相信，只要方向正确、坚定往前走，一定能够成功穿越周期，走出一条城商行高质量发展的实践之路。</w:t>
            </w:r>
          </w:p>
          <w:p w:rsidR="002A72D0" w:rsidRDefault="002A72D0">
            <w:pPr>
              <w:spacing w:line="360" w:lineRule="auto"/>
              <w:ind w:firstLine="480"/>
              <w:rPr>
                <w:rFonts w:ascii="宋体" w:eastAsia="宋体" w:hAnsi="宋体"/>
                <w:sz w:val="24"/>
              </w:rPr>
            </w:pPr>
          </w:p>
          <w:p w:rsidR="002A72D0" w:rsidRDefault="00CD32B5">
            <w:pPr>
              <w:spacing w:line="360" w:lineRule="auto"/>
              <w:ind w:firstLine="480"/>
              <w:rPr>
                <w:rFonts w:ascii="宋体" w:eastAsia="宋体" w:hAnsi="宋体"/>
                <w:sz w:val="24"/>
              </w:rPr>
            </w:pPr>
            <w:r>
              <w:rPr>
                <w:rFonts w:ascii="宋体" w:eastAsia="宋体" w:hAnsi="宋体" w:hint="eastAsia"/>
                <w:b/>
                <w:bCs/>
                <w:sz w:val="24"/>
              </w:rPr>
              <w:t>2.从过去好几年交流过程中，也感受到管理层真实和坦诚、务实。我们行业绩也很真实，请管理层分析一下一季报波动的主要原因？全年如何展望？另外，我们看到贵行息差水平一直是短板，后续怎么管理或者增强这块的短板？</w:t>
            </w:r>
          </w:p>
          <w:p w:rsidR="002A72D0" w:rsidRDefault="00CD32B5">
            <w:pPr>
              <w:spacing w:line="360" w:lineRule="auto"/>
              <w:ind w:firstLine="480"/>
              <w:rPr>
                <w:rFonts w:ascii="宋体" w:eastAsia="宋体" w:hAnsi="宋体"/>
                <w:sz w:val="24"/>
              </w:rPr>
            </w:pPr>
            <w:r>
              <w:rPr>
                <w:rFonts w:ascii="宋体" w:eastAsia="宋体" w:hAnsi="宋体" w:hint="eastAsia"/>
                <w:sz w:val="24"/>
              </w:rPr>
              <w:t>感谢您的提问。我们一季度整个经营情况，当然有不足，也有很重要的亮点。首先我们传统商业银行的业务，在贷款跟垫款的总额达到了2</w:t>
            </w:r>
            <w:r w:rsidR="009D3EF8">
              <w:rPr>
                <w:rFonts w:ascii="宋体" w:eastAsia="宋体" w:hAnsi="宋体"/>
                <w:sz w:val="24"/>
              </w:rPr>
              <w:t>,</w:t>
            </w:r>
            <w:r>
              <w:rPr>
                <w:rFonts w:ascii="宋体" w:eastAsia="宋体" w:hAnsi="宋体" w:hint="eastAsia"/>
                <w:sz w:val="24"/>
              </w:rPr>
              <w:t>105.78亿元，较上年末一季度增长2.49%，其中，一般</w:t>
            </w:r>
            <w:r>
              <w:rPr>
                <w:rFonts w:ascii="宋体" w:eastAsia="宋体" w:hAnsi="宋体" w:hint="eastAsia"/>
                <w:sz w:val="24"/>
              </w:rPr>
              <w:lastRenderedPageBreak/>
              <w:t>贷款规模较上年末增长2.75%。吸收存款总额2,213.76亿元，较上年末增长3.37%，增量同比多增211.99亿元，这是我们首次实现一季度在传统业务上存贷都有非常真实的成长。</w:t>
            </w:r>
          </w:p>
          <w:p w:rsidR="002A72D0" w:rsidRDefault="00CD32B5">
            <w:pPr>
              <w:spacing w:line="360" w:lineRule="auto"/>
              <w:ind w:firstLine="480"/>
              <w:rPr>
                <w:rFonts w:ascii="宋体" w:eastAsia="宋体" w:hAnsi="宋体"/>
                <w:sz w:val="24"/>
              </w:rPr>
            </w:pPr>
            <w:r>
              <w:rPr>
                <w:rFonts w:ascii="宋体" w:eastAsia="宋体" w:hAnsi="宋体" w:hint="eastAsia"/>
                <w:sz w:val="24"/>
              </w:rPr>
              <w:t>盈利方面，一方面今年一季度受到银行间市场资金面收紧、资金中枢抬升等因素影响，导致公允价值交易薄有账面损失，但是随着未来市场利率的趋势变动，后面还是要再观察的。另外一方面，去年一季度我们金融市场投资收益，有比较高的基数，去年达到3.8亿，比前一年同比增长317%。两方面因素导致今年一季度资金业务收入下降成为营收下滑的主要原因。我们要关切的重点还是在营收中最重要的净利息收入状况，一季度净利息收入同比下降主要还是因为息差的缩窄。但这个息差的缩窄，大幅好于我们预期的。为什么可以实现比较小的缩窄幅度，主要是我们一季度存款成本率降幅明显，我们在去年和前年重视我们息差缩窄，专注做存款定价的管理，以及期限的管理。把传统三年期的存款专注压降，希望大家都做一年期的存款，希望存款重定价的速度会快一些。到今年过去的这些存款成本下降滞后的因素将会持续改善。</w:t>
            </w:r>
          </w:p>
          <w:p w:rsidR="002A72D0" w:rsidRDefault="00CD32B5">
            <w:pPr>
              <w:spacing w:line="360" w:lineRule="auto"/>
              <w:ind w:firstLine="480"/>
              <w:rPr>
                <w:rFonts w:ascii="宋体" w:eastAsia="宋体" w:hAnsi="宋体"/>
                <w:sz w:val="24"/>
              </w:rPr>
            </w:pPr>
            <w:r>
              <w:rPr>
                <w:rFonts w:ascii="宋体" w:eastAsia="宋体" w:hAnsi="宋体" w:hint="eastAsia"/>
                <w:sz w:val="24"/>
              </w:rPr>
              <w:t>所以，从一季度这些数字来看并不是那么忧虑，因为主要不好的因素是一个短期因素，好的因素是一个长期可持续的因素。对于未来的三季，我们的看法是，一方面会持续全力以赴加大对公一般贷款增量，在去年11月上市全新的企业网银基础之上，我们明显看到对公活期存款经营效率效益大幅提升，所以对于今年对公活期存款吸纳稳存有比较高的把握和期许。加上高成本的定存陆续到期，负债成本进一步压降，在不考虑LPR今年持续调整的基础之上，我们预估今年全年息差是会企稳。</w:t>
            </w:r>
          </w:p>
          <w:p w:rsidR="002A72D0" w:rsidRDefault="00CD32B5">
            <w:pPr>
              <w:spacing w:line="360" w:lineRule="auto"/>
              <w:ind w:firstLine="480"/>
              <w:rPr>
                <w:rFonts w:ascii="宋体" w:eastAsia="宋体" w:hAnsi="宋体"/>
                <w:sz w:val="24"/>
              </w:rPr>
            </w:pPr>
            <w:r>
              <w:rPr>
                <w:rFonts w:ascii="宋体" w:eastAsia="宋体" w:hAnsi="宋体" w:hint="eastAsia"/>
                <w:sz w:val="24"/>
              </w:rPr>
              <w:t>回归到有关息差的顾虑，不管是对公还是零售，都在专注把存款成本率做压降，通过定价，通过结构做调整。业务端，主要是对公贷款希望能够专注提高我们一般贷款的占比。同时，对于信贷资产优化结构，从行业投向、产业结构、期限结构、客群结构，以及加大我们项目贷款的中长期贷款投放，把信贷投放资源配置到收益</w:t>
            </w:r>
            <w:r>
              <w:rPr>
                <w:rFonts w:ascii="宋体" w:eastAsia="宋体" w:hAnsi="宋体" w:hint="eastAsia"/>
                <w:sz w:val="24"/>
              </w:rPr>
              <w:lastRenderedPageBreak/>
              <w:t>高、质量好、抗周期强的领域。对公利差、零售利差，以及资金业务金融市场利差，利差最高是对公贷款。所以加大对公贷款的投放，我可以获得整个整体利差的改善。</w:t>
            </w:r>
          </w:p>
          <w:p w:rsidR="002A72D0" w:rsidRDefault="002A72D0">
            <w:pPr>
              <w:spacing w:line="360" w:lineRule="auto"/>
              <w:ind w:firstLine="480"/>
              <w:rPr>
                <w:rFonts w:ascii="宋体" w:eastAsia="宋体" w:hAnsi="宋体"/>
                <w:sz w:val="24"/>
              </w:rPr>
            </w:pPr>
          </w:p>
          <w:p w:rsidR="002A72D0" w:rsidRDefault="00CD32B5">
            <w:pPr>
              <w:spacing w:line="360" w:lineRule="auto"/>
              <w:ind w:firstLine="480"/>
              <w:rPr>
                <w:rFonts w:ascii="宋体" w:eastAsia="宋体" w:hAnsi="宋体"/>
                <w:b/>
                <w:bCs/>
                <w:sz w:val="24"/>
              </w:rPr>
            </w:pPr>
            <w:r>
              <w:rPr>
                <w:rFonts w:ascii="宋体" w:eastAsia="宋体" w:hAnsi="宋体"/>
                <w:b/>
                <w:bCs/>
                <w:sz w:val="24"/>
              </w:rPr>
              <w:t>3</w:t>
            </w:r>
            <w:r>
              <w:rPr>
                <w:rFonts w:ascii="宋体" w:eastAsia="宋体" w:hAnsi="宋体" w:hint="eastAsia"/>
                <w:b/>
                <w:bCs/>
                <w:sz w:val="24"/>
              </w:rPr>
              <w:t>.我们看到近两年厦门银行关注率、逾期率都有明显上升，请教一下背后的影响因素？市场都比较关注零售领域的风险，我们行在小微，包括零售领域资产质量的边际变化的情况？以及后续资产质量判断？从全行来看，后续对不良生成是怎么预判？以及有哪些举措，对资产质量进行管控。</w:t>
            </w:r>
          </w:p>
          <w:p w:rsidR="002A72D0" w:rsidRDefault="00CD32B5">
            <w:pPr>
              <w:spacing w:line="360" w:lineRule="auto"/>
              <w:ind w:firstLine="480"/>
              <w:rPr>
                <w:rFonts w:ascii="宋体" w:eastAsia="宋体" w:hAnsi="宋体"/>
                <w:sz w:val="24"/>
              </w:rPr>
            </w:pPr>
            <w:r>
              <w:rPr>
                <w:rFonts w:ascii="宋体" w:eastAsia="宋体" w:hAnsi="宋体" w:hint="eastAsia"/>
                <w:sz w:val="24"/>
              </w:rPr>
              <w:t>感谢提问。首先我行资产质量总体保持稳健，2024年末不良率0.74%，不良贷款余额15.12亿元，连续三年保持“稳中有降"趋势。同时，一些高风险领域的信用风险得到有效处置，比如自2023年末以来，房地产行业企业贷款风险得到有效化解，不良贷款率从当时的4.7%持续下降，目前已实现全面清零。 预计2024年及今后一段时间内，我行信贷资产质量会呈现“总体可控、局部承压</w:t>
            </w:r>
            <w:r>
              <w:rPr>
                <w:rFonts w:ascii="宋体" w:eastAsia="宋体" w:hAnsi="宋体"/>
                <w:sz w:val="24"/>
              </w:rPr>
              <w:t>”</w:t>
            </w:r>
            <w:r>
              <w:rPr>
                <w:rFonts w:ascii="宋体" w:eastAsia="宋体" w:hAnsi="宋体" w:hint="eastAsia"/>
                <w:sz w:val="24"/>
              </w:rPr>
              <w:t>态势。</w:t>
            </w:r>
          </w:p>
          <w:p w:rsidR="002A72D0" w:rsidRDefault="00CD32B5">
            <w:pPr>
              <w:spacing w:line="360" w:lineRule="auto"/>
              <w:ind w:firstLine="480"/>
              <w:rPr>
                <w:rFonts w:ascii="宋体" w:eastAsia="宋体" w:hAnsi="宋体"/>
                <w:sz w:val="24"/>
              </w:rPr>
            </w:pPr>
            <w:r>
              <w:rPr>
                <w:rFonts w:ascii="宋体" w:eastAsia="宋体" w:hAnsi="宋体" w:hint="eastAsia"/>
                <w:sz w:val="24"/>
              </w:rPr>
              <w:t>这个承压第一个方面表现为当前我行信贷资产关注率及逾期率出现短期波动。这既是受行业周期性波动、预期偏弱影响、国内外市场有效需求不足、成本端压力等的影响，部分企业阶段性流动性承压，也是我行基于审慎原则，根据《商业银行金融资产风险分类办法》核心精神，从严管理风险分类，主动将部分贷款风险分类调整为关注。</w:t>
            </w:r>
          </w:p>
          <w:p w:rsidR="002A72D0" w:rsidRDefault="00CD32B5">
            <w:pPr>
              <w:spacing w:line="360" w:lineRule="auto"/>
              <w:ind w:firstLine="480"/>
              <w:rPr>
                <w:rFonts w:ascii="宋体" w:eastAsia="宋体" w:hAnsi="宋体"/>
                <w:sz w:val="24"/>
              </w:rPr>
            </w:pPr>
            <w:r>
              <w:rPr>
                <w:rFonts w:ascii="宋体" w:eastAsia="宋体" w:hAnsi="宋体" w:hint="eastAsia"/>
                <w:sz w:val="24"/>
              </w:rPr>
              <w:t>这个承压的第二个方面表现为我行个人经营贷款呈现出风险上升趋势。当前小微企业经营压力增加、房地产等押品价格整体疲软的大背景下，商业银行普遍面临的问题。可以看到，我行个人经营贷款抵押贷款占比98%以上，个人经营贷的风险虽然有所上升，但最终损失率不高。同时，我行拨备覆盖率连续多年保持在较高的水平，风险抵补能力强，个人经营贷不良率阶段性波动对我行经营的冲击可控。</w:t>
            </w:r>
          </w:p>
          <w:p w:rsidR="002A72D0" w:rsidRDefault="00CD32B5">
            <w:pPr>
              <w:spacing w:line="360" w:lineRule="auto"/>
              <w:ind w:firstLine="480"/>
              <w:rPr>
                <w:rFonts w:ascii="宋体" w:eastAsia="宋体" w:hAnsi="宋体"/>
                <w:sz w:val="24"/>
              </w:rPr>
            </w:pPr>
            <w:r>
              <w:rPr>
                <w:rFonts w:ascii="宋体" w:eastAsia="宋体" w:hAnsi="宋体" w:hint="eastAsia"/>
                <w:sz w:val="24"/>
              </w:rPr>
              <w:t>当前，我行仍将高度重视信贷资产质量，全力打造风险管理的</w:t>
            </w:r>
            <w:r>
              <w:rPr>
                <w:rFonts w:ascii="宋体" w:eastAsia="宋体" w:hAnsi="宋体" w:hint="eastAsia"/>
                <w:sz w:val="24"/>
              </w:rPr>
              <w:lastRenderedPageBreak/>
              <w:t>核心竞争力。一是利用科技驱动智能风控体系升级，我行以金融科技为核心引擎，全面推进信用风险管理全流程智能化改造。在个人经营贷领域，我行已实现智能化风控管理，在信贷工厂2.0模式下，运用模型及线上风控策略规则，精准筛选优质客群，有效提升资产质量。二是加强主动风险管理，通过信用评级、行为评分卡等风险管理工具，以及扎实有效的风险排查工作，更切实地掌握潜在风险资产的情况，提早应对。三是用好中央支持小微企业、支持个人消费、房地产协调机制等各项政策，进行周期性调节。四是狠抓问题资产的化解处置清收工作。这里所指的问题资产，既包括目前我们表内的不良贷款与关注类授信，也包括这几年来已核销的资产。正如前面所说，这里面相当一部分为抵押贷款，通过组建重点领域专班、一户一策、一类一策、多种处置手段结合等方式，在尽快化解和处置风险的同时，也将进一步降低我们的风险成本。</w:t>
            </w:r>
          </w:p>
          <w:p w:rsidR="002A72D0" w:rsidRDefault="00CD32B5">
            <w:pPr>
              <w:spacing w:line="360" w:lineRule="auto"/>
              <w:ind w:firstLine="480"/>
              <w:rPr>
                <w:rFonts w:ascii="宋体" w:eastAsia="宋体" w:hAnsi="宋体"/>
                <w:sz w:val="24"/>
              </w:rPr>
            </w:pPr>
            <w:r>
              <w:rPr>
                <w:rFonts w:ascii="宋体" w:eastAsia="宋体" w:hAnsi="宋体" w:hint="eastAsia"/>
                <w:sz w:val="24"/>
              </w:rPr>
              <w:t>通过多种措施，虽然仍然面临诸多内外部挑战，但随着经济形势稳中向好，我们对2025年的资产质量仍然保持信心。</w:t>
            </w:r>
          </w:p>
          <w:p w:rsidR="002A72D0" w:rsidRDefault="002A72D0">
            <w:pPr>
              <w:spacing w:line="360" w:lineRule="auto"/>
              <w:ind w:firstLine="480"/>
              <w:rPr>
                <w:rFonts w:ascii="宋体" w:eastAsia="宋体" w:hAnsi="宋体"/>
                <w:sz w:val="24"/>
              </w:rPr>
            </w:pPr>
          </w:p>
          <w:p w:rsidR="002A72D0" w:rsidRDefault="00CD32B5">
            <w:pPr>
              <w:spacing w:line="360" w:lineRule="auto"/>
              <w:ind w:firstLine="480"/>
              <w:rPr>
                <w:rFonts w:ascii="宋体" w:eastAsia="宋体" w:hAnsi="宋体"/>
                <w:b/>
                <w:bCs/>
                <w:sz w:val="24"/>
              </w:rPr>
            </w:pPr>
            <w:r>
              <w:rPr>
                <w:rFonts w:ascii="宋体" w:eastAsia="宋体" w:hAnsi="宋体" w:hint="eastAsia"/>
                <w:b/>
                <w:bCs/>
                <w:sz w:val="24"/>
              </w:rPr>
              <w:t>4.贵行在介绍今年全行重点工作时提到，今年贷款要上量的，上量主要抓手就是对公业务，请问贵行今年对公客群覆盖有什么计划，跟往年有什么不同？打法有什么差异？全年对公信贷重点发力的领域主要在哪些方面？</w:t>
            </w:r>
          </w:p>
          <w:p w:rsidR="002A72D0" w:rsidRDefault="00CD32B5">
            <w:pPr>
              <w:spacing w:line="360" w:lineRule="auto"/>
              <w:ind w:firstLine="480"/>
              <w:rPr>
                <w:rFonts w:ascii="宋体" w:eastAsia="宋体" w:hAnsi="宋体"/>
                <w:sz w:val="24"/>
              </w:rPr>
            </w:pPr>
            <w:r>
              <w:rPr>
                <w:rFonts w:ascii="宋体" w:eastAsia="宋体" w:hAnsi="宋体" w:hint="eastAsia"/>
                <w:sz w:val="24"/>
              </w:rPr>
              <w:t>感谢您的提问。您提到两个问题，一个是对公信贷资产上量问题，第二是对公客群覆盖的问题。从第二个问题开始谈起。</w:t>
            </w:r>
          </w:p>
          <w:p w:rsidR="002A72D0" w:rsidRDefault="00CD32B5" w:rsidP="00185B0A">
            <w:pPr>
              <w:spacing w:line="360" w:lineRule="auto"/>
              <w:ind w:firstLine="480"/>
              <w:rPr>
                <w:rFonts w:ascii="宋体" w:eastAsia="宋体" w:hAnsi="宋体"/>
                <w:sz w:val="24"/>
              </w:rPr>
            </w:pPr>
            <w:r>
              <w:rPr>
                <w:rFonts w:ascii="宋体" w:eastAsia="宋体" w:hAnsi="宋体" w:hint="eastAsia"/>
                <w:sz w:val="24"/>
              </w:rPr>
              <w:t>对公客群覆盖，是对公业务的重点工作，和规模呈现强相关的关系。2025年，我们计划通过一系列的举措，推动客群覆盖上量和提质。一是要强化考核评价，跟往年</w:t>
            </w:r>
            <w:bookmarkStart w:id="0" w:name="_GoBack"/>
            <w:bookmarkEnd w:id="0"/>
            <w:r>
              <w:rPr>
                <w:rFonts w:ascii="宋体" w:eastAsia="宋体" w:hAnsi="宋体" w:hint="eastAsia"/>
                <w:sz w:val="24"/>
              </w:rPr>
              <w:t>相比，在今年考核体系里面，对公客群权重得到有效提升，同时对各个指标任务和目标较往年有了较大的幅度要求。通过较高的目标，驱动我们客群正向的经营。二是，要优化资源配置。今年，我们单列专项财务资源，明确奖惩机制，根据客群经营营销成果，加大奖惩力度。三是，我们要提升</w:t>
            </w:r>
            <w:r>
              <w:rPr>
                <w:rFonts w:ascii="宋体" w:eastAsia="宋体" w:hAnsi="宋体" w:hint="eastAsia"/>
                <w:sz w:val="24"/>
              </w:rPr>
              <w:lastRenderedPageBreak/>
              <w:t>打法及能力。首先，要落实目标客群责任。我们首先明确各类名单开发和负责团队，开发优先顺序进行跟踪和解释。第二，我们要夯实各类渠道的建设基础，像小微客群，无论是科技小微企业，还是外贸小微企业，团队要主动融入经营所在地小微企业融资协调机制，通过主动进</w:t>
            </w:r>
            <w:r>
              <w:rPr>
                <w:rFonts w:ascii="宋体" w:eastAsia="宋体" w:hAnsi="宋体"/>
                <w:sz w:val="24"/>
              </w:rPr>
              <w:t>园区</w:t>
            </w:r>
            <w:r>
              <w:rPr>
                <w:rFonts w:ascii="宋体" w:eastAsia="宋体" w:hAnsi="宋体" w:hint="eastAsia"/>
                <w:sz w:val="24"/>
              </w:rPr>
              <w:t>、</w:t>
            </w:r>
            <w:r>
              <w:rPr>
                <w:rFonts w:ascii="宋体" w:eastAsia="宋体" w:hAnsi="宋体"/>
                <w:sz w:val="24"/>
              </w:rPr>
              <w:t>访</w:t>
            </w:r>
            <w:r>
              <w:rPr>
                <w:rFonts w:ascii="宋体" w:eastAsia="宋体" w:hAnsi="宋体" w:hint="eastAsia"/>
                <w:sz w:val="24"/>
              </w:rPr>
              <w:t>协会、拓商圈、入乡村、走企业，扎实开展千企万户大走访。第三，我们还要提高数字化运营水平，构建目标客户的客户标签、客户视图，实现客户精准画像，梳理客户股权链、产业链、供应链、构筑企业营销引擎，助力一线客户经理，通过精准获客，批量获客能力，提升获客产能。此外，我们要综合经营，提升客户综合效益，在客户经营上面，实现提质增效。</w:t>
            </w:r>
          </w:p>
          <w:p w:rsidR="002A72D0" w:rsidRDefault="00CB1479">
            <w:pPr>
              <w:spacing w:line="360" w:lineRule="auto"/>
              <w:ind w:firstLine="480"/>
              <w:rPr>
                <w:rFonts w:ascii="宋体" w:eastAsia="宋体" w:hAnsi="宋体"/>
                <w:sz w:val="24"/>
              </w:rPr>
            </w:pPr>
            <w:r>
              <w:rPr>
                <w:rFonts w:ascii="宋体" w:eastAsia="宋体" w:hAnsi="宋体" w:hint="eastAsia"/>
                <w:sz w:val="24"/>
              </w:rPr>
              <w:t>至于第一个问题</w:t>
            </w:r>
            <w:r w:rsidR="00CD32B5">
              <w:rPr>
                <w:rFonts w:ascii="宋体" w:eastAsia="宋体" w:hAnsi="宋体" w:hint="eastAsia"/>
                <w:sz w:val="24"/>
              </w:rPr>
              <w:t>，关于对公信贷的上量。我们在过去两年，对公一般贷款增幅分别是7.</w:t>
            </w:r>
            <w:r w:rsidR="00CD32B5">
              <w:rPr>
                <w:rFonts w:ascii="宋体" w:eastAsia="宋体" w:hAnsi="宋体"/>
                <w:sz w:val="24"/>
              </w:rPr>
              <w:t>83</w:t>
            </w:r>
            <w:r w:rsidR="00CD32B5">
              <w:rPr>
                <w:rFonts w:ascii="宋体" w:eastAsia="宋体" w:hAnsi="宋体" w:hint="eastAsia"/>
                <w:sz w:val="24"/>
              </w:rPr>
              <w:t>%和9.25%，整个是较为平稳的。今年提出较高的目标，有节奏加快对公信贷快速上量。从一季度投放目标来看，基本达到了预期。目前应该讲整个趋势还是不错的，也能够得到保持。在贷款上量同时，我们还要重点抓投放，抓结构优化。一是主动融入地方经济发展大局，抓住地方经济结构性机会进行重点发力。目前除了传统的国企、政信类业务之外，提出要重点加强与当地的两新两重，以及当地重点优质产业链融合。例如，在厦门我们要围绕“4+4+6”现代产业体系，在福建要围绕164条重点产业链，在重庆要围绕“33618”现代制造业集群体系，切实提升我们产业金融服务的水平，加强项目贷款的投放。二是我们要继续做好“五篇大文章”，我们在过往两年，科技金融和绿色金融得到较快发展，2023年我们科技金融增速32%，</w:t>
            </w:r>
            <w:r>
              <w:rPr>
                <w:rFonts w:ascii="宋体" w:eastAsia="宋体" w:hAnsi="宋体" w:hint="eastAsia"/>
                <w:sz w:val="24"/>
              </w:rPr>
              <w:t>2</w:t>
            </w:r>
            <w:r>
              <w:rPr>
                <w:rFonts w:ascii="宋体" w:eastAsia="宋体" w:hAnsi="宋体"/>
                <w:sz w:val="24"/>
              </w:rPr>
              <w:t>0</w:t>
            </w:r>
            <w:r w:rsidR="00CD32B5">
              <w:rPr>
                <w:rFonts w:ascii="宋体" w:eastAsia="宋体" w:hAnsi="宋体" w:hint="eastAsia"/>
                <w:sz w:val="24"/>
              </w:rPr>
              <w:t>24年达到34%，绿色金融投放</w:t>
            </w:r>
            <w:r>
              <w:rPr>
                <w:rFonts w:ascii="宋体" w:eastAsia="宋体" w:hAnsi="宋体" w:hint="eastAsia"/>
                <w:sz w:val="24"/>
              </w:rPr>
              <w:t>2</w:t>
            </w:r>
            <w:r>
              <w:rPr>
                <w:rFonts w:ascii="宋体" w:eastAsia="宋体" w:hAnsi="宋体"/>
                <w:sz w:val="24"/>
              </w:rPr>
              <w:t>0</w:t>
            </w:r>
            <w:r w:rsidR="00CD32B5">
              <w:rPr>
                <w:rFonts w:ascii="宋体" w:eastAsia="宋体" w:hAnsi="宋体" w:hint="eastAsia"/>
                <w:sz w:val="24"/>
              </w:rPr>
              <w:t>23年增速70%，</w:t>
            </w:r>
            <w:r>
              <w:rPr>
                <w:rFonts w:ascii="宋体" w:eastAsia="宋体" w:hAnsi="宋体" w:hint="eastAsia"/>
                <w:sz w:val="24"/>
              </w:rPr>
              <w:t>2</w:t>
            </w:r>
            <w:r>
              <w:rPr>
                <w:rFonts w:ascii="宋体" w:eastAsia="宋体" w:hAnsi="宋体"/>
                <w:sz w:val="24"/>
              </w:rPr>
              <w:t>0</w:t>
            </w:r>
            <w:r w:rsidR="00CD32B5">
              <w:rPr>
                <w:rFonts w:ascii="宋体" w:eastAsia="宋体" w:hAnsi="宋体" w:hint="eastAsia"/>
                <w:sz w:val="24"/>
              </w:rPr>
              <w:t>24年达到62%。在过去两年基础上，今年对科技金融和绿色金融投放增速提出要达到40%以上，从目前情况来看，还是保持了比较好的趋势。</w:t>
            </w:r>
          </w:p>
          <w:p w:rsidR="002A72D0" w:rsidRDefault="002A72D0">
            <w:pPr>
              <w:spacing w:line="360" w:lineRule="auto"/>
              <w:ind w:firstLine="480"/>
              <w:rPr>
                <w:rFonts w:ascii="宋体" w:eastAsia="宋体" w:hAnsi="宋体"/>
                <w:sz w:val="24"/>
              </w:rPr>
            </w:pPr>
          </w:p>
          <w:p w:rsidR="002A72D0" w:rsidRDefault="00CD32B5">
            <w:pPr>
              <w:spacing w:line="360" w:lineRule="auto"/>
              <w:ind w:firstLine="480"/>
              <w:rPr>
                <w:rFonts w:ascii="宋体" w:eastAsia="宋体" w:hAnsi="宋体"/>
                <w:b/>
                <w:bCs/>
                <w:sz w:val="24"/>
              </w:rPr>
            </w:pPr>
            <w:r>
              <w:rPr>
                <w:rFonts w:ascii="宋体" w:eastAsia="宋体" w:hAnsi="宋体" w:hint="eastAsia"/>
                <w:b/>
                <w:bCs/>
                <w:sz w:val="24"/>
              </w:rPr>
              <w:t>5.两岸金融业务是贵行的特色业务，请问未来对台业务发展趋势及贡献度提升空间？</w:t>
            </w:r>
          </w:p>
          <w:p w:rsidR="002A72D0" w:rsidRDefault="00CD32B5">
            <w:pPr>
              <w:spacing w:line="360" w:lineRule="auto"/>
              <w:ind w:firstLine="480"/>
              <w:rPr>
                <w:rFonts w:ascii="宋体" w:eastAsia="宋体" w:hAnsi="宋体"/>
                <w:sz w:val="24"/>
              </w:rPr>
            </w:pPr>
            <w:r>
              <w:rPr>
                <w:rFonts w:ascii="宋体" w:eastAsia="宋体" w:hAnsi="宋体" w:hint="eastAsia"/>
                <w:sz w:val="24"/>
              </w:rPr>
              <w:lastRenderedPageBreak/>
              <w:t>感谢您的提问。刚刚董事长在致辞的时候，提到“稳”、“进”、“立”三个部分，里面提到对台金融现在长板要更长，简单来说，我们会进一步加大对台两岸金融的特色，甚至要更进一步扩大我们领先的优势。我们去年在台企台胞业务的增长情况，整体来说，都呈现了较快的成长，而且这个成长已经连续4年快速成长。进一步加大对台企台胞的覆盖率以及占有率，这是我们坚决要实现的。台企台胞对我们行来讲是非常重要、有贡献度的客户</w:t>
            </w:r>
            <w:r>
              <w:rPr>
                <w:rFonts w:ascii="宋体" w:eastAsia="宋体" w:hAnsi="宋体"/>
                <w:sz w:val="24"/>
              </w:rPr>
              <w:t>，</w:t>
            </w:r>
            <w:r>
              <w:rPr>
                <w:rFonts w:ascii="宋体" w:eastAsia="宋体" w:hAnsi="宋体" w:hint="eastAsia"/>
                <w:sz w:val="24"/>
              </w:rPr>
              <w:t>是我们必须聚焦经营的客户。</w:t>
            </w:r>
          </w:p>
          <w:p w:rsidR="002A72D0" w:rsidRDefault="00CD32B5">
            <w:pPr>
              <w:spacing w:line="360" w:lineRule="auto"/>
              <w:ind w:firstLine="480"/>
              <w:rPr>
                <w:rFonts w:ascii="宋体" w:eastAsia="宋体" w:hAnsi="宋体"/>
                <w:sz w:val="24"/>
              </w:rPr>
            </w:pPr>
            <w:r>
              <w:rPr>
                <w:rFonts w:ascii="宋体" w:eastAsia="宋体" w:hAnsi="宋体" w:hint="eastAsia"/>
                <w:sz w:val="24"/>
              </w:rPr>
              <w:t>未来的发展趋势将继续加快。怎么发展，除了我们谈到覆盖度之外，其实还有很多产品配套。比方说我们今年3月份刚发的厦金同城卡，直接面对金门籍的客户，某种程度来讲，实现了区域上面的扩展。对于台农，持续这几年大量优质且具备技术的台农到福建台农创业园做相关的投资跟种植。针对台湾农业创业园的建设，也是我们在探讨的。在福建深耕的台企，可能一些台企有收购并购的需求，我们就会产生相对的一些融资或者顾问建议的服务。这些都是我们未来可以发展的地方。</w:t>
            </w:r>
          </w:p>
          <w:p w:rsidR="002A72D0" w:rsidRDefault="00CD32B5">
            <w:pPr>
              <w:spacing w:line="360" w:lineRule="auto"/>
              <w:ind w:firstLine="480"/>
              <w:rPr>
                <w:rFonts w:ascii="宋体" w:eastAsia="宋体" w:hAnsi="宋体"/>
                <w:sz w:val="24"/>
              </w:rPr>
            </w:pPr>
            <w:r>
              <w:rPr>
                <w:rFonts w:ascii="宋体" w:eastAsia="宋体" w:hAnsi="宋体" w:hint="eastAsia"/>
                <w:sz w:val="24"/>
              </w:rPr>
              <w:t>同时，我们也相信，</w:t>
            </w:r>
            <w:r>
              <w:rPr>
                <w:rFonts w:ascii="宋体" w:eastAsia="宋体" w:hAnsi="宋体"/>
                <w:sz w:val="24"/>
              </w:rPr>
              <w:t>当</w:t>
            </w:r>
            <w:r>
              <w:rPr>
                <w:rFonts w:ascii="宋体" w:eastAsia="宋体" w:hAnsi="宋体" w:hint="eastAsia"/>
                <w:sz w:val="24"/>
              </w:rPr>
              <w:t>我们把长板做更长</w:t>
            </w:r>
            <w:r>
              <w:rPr>
                <w:rFonts w:ascii="宋体" w:eastAsia="宋体" w:hAnsi="宋体"/>
                <w:sz w:val="24"/>
              </w:rPr>
              <w:t>、</w:t>
            </w:r>
            <w:r>
              <w:rPr>
                <w:rFonts w:ascii="宋体" w:eastAsia="宋体" w:hAnsi="宋体" w:hint="eastAsia"/>
                <w:sz w:val="24"/>
              </w:rPr>
              <w:t>我们更明确有这个能力服务更广大的台企台胞的时候，我们可以通过供应链金融，逐步开展</w:t>
            </w:r>
            <w:r>
              <w:rPr>
                <w:rFonts w:ascii="宋体" w:eastAsia="宋体" w:hAnsi="宋体"/>
                <w:sz w:val="24"/>
              </w:rPr>
              <w:t>向</w:t>
            </w:r>
            <w:r>
              <w:rPr>
                <w:rFonts w:ascii="宋体" w:eastAsia="宋体" w:hAnsi="宋体" w:hint="eastAsia"/>
                <w:sz w:val="24"/>
              </w:rPr>
              <w:t>福建、重庆台商以外的供应链相关的台胞台企的提供金融服务，可以扩大我们区域的覆盖。</w:t>
            </w:r>
          </w:p>
          <w:p w:rsidR="002A72D0" w:rsidRDefault="002A72D0">
            <w:pPr>
              <w:spacing w:line="360" w:lineRule="auto"/>
              <w:ind w:firstLine="480"/>
              <w:rPr>
                <w:rFonts w:ascii="宋体" w:eastAsia="宋体" w:hAnsi="宋体"/>
                <w:sz w:val="24"/>
              </w:rPr>
            </w:pPr>
          </w:p>
          <w:p w:rsidR="002A72D0" w:rsidRDefault="00CD32B5">
            <w:pPr>
              <w:spacing w:line="360" w:lineRule="auto"/>
              <w:ind w:firstLine="480"/>
              <w:rPr>
                <w:rFonts w:ascii="宋体" w:eastAsia="宋体" w:hAnsi="宋体"/>
                <w:b/>
                <w:bCs/>
                <w:sz w:val="24"/>
              </w:rPr>
            </w:pPr>
            <w:r>
              <w:rPr>
                <w:rFonts w:ascii="宋体" w:eastAsia="宋体" w:hAnsi="宋体" w:hint="eastAsia"/>
                <w:b/>
                <w:bCs/>
                <w:sz w:val="24"/>
              </w:rPr>
              <w:t>6.数字化转型是生命线，现在AI包括金融科技各方面非常火，问一下我们行在这方面有什么样的举措？未来有什么探索？</w:t>
            </w:r>
          </w:p>
          <w:p w:rsidR="002A72D0" w:rsidRDefault="00CD32B5">
            <w:pPr>
              <w:spacing w:line="360" w:lineRule="auto"/>
              <w:ind w:firstLine="480"/>
              <w:rPr>
                <w:rFonts w:ascii="宋体" w:eastAsia="宋体" w:hAnsi="宋体"/>
                <w:sz w:val="24"/>
              </w:rPr>
            </w:pPr>
            <w:r>
              <w:rPr>
                <w:rFonts w:ascii="宋体" w:eastAsia="宋体" w:hAnsi="宋体" w:hint="eastAsia"/>
                <w:sz w:val="24"/>
              </w:rPr>
              <w:t>感谢您的提问。我行一直持续推动科技赋能业务发展，积极推动数字金融发展进程。有四方面的内容可以分享：</w:t>
            </w:r>
          </w:p>
          <w:p w:rsidR="002A72D0" w:rsidRDefault="00CD32B5">
            <w:pPr>
              <w:spacing w:line="360" w:lineRule="auto"/>
              <w:ind w:firstLine="480"/>
              <w:rPr>
                <w:rFonts w:ascii="宋体" w:eastAsia="宋体" w:hAnsi="宋体"/>
                <w:sz w:val="24"/>
              </w:rPr>
            </w:pPr>
            <w:r>
              <w:rPr>
                <w:rFonts w:ascii="宋体" w:eastAsia="宋体" w:hAnsi="宋体" w:hint="eastAsia"/>
                <w:sz w:val="24"/>
              </w:rPr>
              <w:t>一是战略认知与组织保障方面，深化“数字基因</w:t>
            </w:r>
            <w:r w:rsidR="00CB1479">
              <w:rPr>
                <w:rFonts w:ascii="宋体" w:eastAsia="宋体" w:hAnsi="宋体"/>
                <w:sz w:val="24"/>
              </w:rPr>
              <w:t>”</w:t>
            </w:r>
            <w:r>
              <w:rPr>
                <w:rFonts w:ascii="宋体" w:eastAsia="宋体" w:hAnsi="宋体" w:hint="eastAsia"/>
                <w:sz w:val="24"/>
              </w:rPr>
              <w:t>全行共识，将数字化转型锚定为高质量发展核心战略，内部依托数字化转型委员会，强化顶层设计与执行推动，统筹科技治理体系优化、财务资源配置及人才能力进阶，实现战略落地与组织能力双提升。</w:t>
            </w:r>
          </w:p>
          <w:p w:rsidR="002A72D0" w:rsidRDefault="00CD32B5">
            <w:pPr>
              <w:spacing w:line="360" w:lineRule="auto"/>
              <w:ind w:firstLine="480"/>
              <w:rPr>
                <w:rFonts w:ascii="宋体" w:eastAsia="宋体" w:hAnsi="宋体"/>
                <w:sz w:val="24"/>
              </w:rPr>
            </w:pPr>
            <w:r>
              <w:rPr>
                <w:rFonts w:ascii="宋体" w:eastAsia="宋体" w:hAnsi="宋体" w:hint="eastAsia"/>
                <w:sz w:val="24"/>
              </w:rPr>
              <w:lastRenderedPageBreak/>
              <w:t>二是科技赋能业务应用层面，立足战略定位，聚焦高价值业务场景攻坚，深化业务和科技的融合共创，打造场景化数字金融解决方案，推动数字化任务落地。具体来讲，零售业务板块，正在打造“智慧生活+金融</w:t>
            </w:r>
            <w:r>
              <w:rPr>
                <w:rFonts w:ascii="宋体" w:eastAsia="宋体" w:hAnsi="宋体"/>
                <w:sz w:val="24"/>
              </w:rPr>
              <w:t>”</w:t>
            </w:r>
            <w:r>
              <w:rPr>
                <w:rFonts w:ascii="宋体" w:eastAsia="宋体" w:hAnsi="宋体" w:hint="eastAsia"/>
                <w:sz w:val="24"/>
              </w:rPr>
              <w:t>生态平台，深度融合本地消费场景与数字金融服务，通过精准营销引擎，实现客户全生命周期价值挖掘，推动我行零售利润贡献增长。公司业务板块，重点推出财资管家，打造集资金监控、智能调拨、资金预警于一体的企业级数字化财资中枢，为企业客户提供自动化、智能化财资管理体验，带动企业结算量提升与资金沉淀；风险管理板块，推进信贷服务的全面升级，强化全流程线上化风控能力建设，为客户提供高效、便捷、安全的信贷服务体验。全面赋能业务经营和管理数字化转型，提升金融服务实体经济能力。</w:t>
            </w:r>
          </w:p>
          <w:p w:rsidR="002A72D0" w:rsidRDefault="00CD32B5">
            <w:pPr>
              <w:spacing w:line="360" w:lineRule="auto"/>
              <w:ind w:firstLine="480"/>
              <w:rPr>
                <w:rFonts w:ascii="宋体" w:eastAsia="宋体" w:hAnsi="宋体"/>
                <w:sz w:val="24"/>
              </w:rPr>
            </w:pPr>
            <w:r>
              <w:rPr>
                <w:rFonts w:ascii="宋体" w:eastAsia="宋体" w:hAnsi="宋体" w:hint="eastAsia"/>
                <w:sz w:val="24"/>
              </w:rPr>
              <w:t>三是信息科技底座夯实方面，持续完善数据中心、通信网络、数据算力、国产服务器等数字基础设施体系，夯实数字底座。同时，积极探索云、分布式、人工智能等新技术在金融领域的创新应用，确保技术底座能够对业务的强力支撑。同时，深入推进信创技术体系建设，加强关键核心技术信创攻关，确保在极端环境下，业务连续性的应急能力得到保障。</w:t>
            </w:r>
          </w:p>
          <w:p w:rsidR="002A72D0" w:rsidRDefault="00CD32B5">
            <w:pPr>
              <w:spacing w:line="360" w:lineRule="auto"/>
              <w:ind w:firstLine="480"/>
              <w:rPr>
                <w:rFonts w:ascii="宋体" w:eastAsia="宋体" w:hAnsi="宋体"/>
                <w:sz w:val="24"/>
              </w:rPr>
            </w:pPr>
            <w:r>
              <w:rPr>
                <w:rFonts w:ascii="宋体" w:eastAsia="宋体" w:hAnsi="宋体" w:hint="eastAsia"/>
                <w:sz w:val="24"/>
              </w:rPr>
              <w:t>四是人工智能应用探索方面，面对新一轮的科技革命，尤其是随着以大模型为代表的人工智能、人形机器人等新技术的推广应用。当前我们已经部署了混合模型deepseek-R-70b模型，为全行员工提供智能问答、办公助手等大模型基础服务，应用广泛使用，百花齐放。</w:t>
            </w:r>
          </w:p>
          <w:p w:rsidR="002A72D0" w:rsidRDefault="00CD32B5">
            <w:pPr>
              <w:spacing w:line="360" w:lineRule="auto"/>
              <w:ind w:firstLine="480"/>
              <w:rPr>
                <w:rFonts w:ascii="宋体" w:eastAsia="宋体" w:hAnsi="宋体"/>
                <w:sz w:val="24"/>
              </w:rPr>
            </w:pPr>
            <w:r>
              <w:rPr>
                <w:rFonts w:ascii="宋体" w:eastAsia="宋体" w:hAnsi="宋体" w:hint="eastAsia"/>
                <w:sz w:val="24"/>
              </w:rPr>
              <w:t>下一步，将推进人工智能场景探索和规划，强化投入产出比分析及评估，聚焦高价值场景应用落地。在传统AI方面，持续推进“RPA+AI</w:t>
            </w:r>
            <w:r>
              <w:rPr>
                <w:rFonts w:ascii="宋体" w:eastAsia="宋体" w:hAnsi="宋体"/>
                <w:sz w:val="24"/>
              </w:rPr>
              <w:t>”</w:t>
            </w:r>
            <w:r>
              <w:rPr>
                <w:rFonts w:ascii="宋体" w:eastAsia="宋体" w:hAnsi="宋体" w:hint="eastAsia"/>
                <w:sz w:val="24"/>
              </w:rPr>
              <w:t>技术，实现业务流程优化与再造，提升内部运营管理效率，同时能够降本增效。</w:t>
            </w:r>
          </w:p>
          <w:p w:rsidR="002A72D0" w:rsidRDefault="002A72D0">
            <w:pPr>
              <w:spacing w:line="360" w:lineRule="auto"/>
              <w:ind w:firstLine="480"/>
              <w:rPr>
                <w:rFonts w:ascii="宋体" w:eastAsia="宋体" w:hAnsi="宋体"/>
                <w:sz w:val="24"/>
              </w:rPr>
            </w:pPr>
          </w:p>
          <w:p w:rsidR="002A72D0" w:rsidRDefault="00CD32B5">
            <w:pPr>
              <w:spacing w:line="360" w:lineRule="auto"/>
              <w:ind w:firstLine="480"/>
              <w:rPr>
                <w:rFonts w:ascii="宋体" w:eastAsia="宋体" w:hAnsi="宋体"/>
                <w:b/>
                <w:bCs/>
                <w:sz w:val="24"/>
              </w:rPr>
            </w:pPr>
            <w:r>
              <w:rPr>
                <w:rFonts w:ascii="宋体" w:eastAsia="宋体" w:hAnsi="宋体" w:hint="eastAsia"/>
                <w:b/>
                <w:bCs/>
                <w:sz w:val="24"/>
              </w:rPr>
              <w:t>7.请独立董事谈谈在厦门银行履职的情况和对合规建设的看</w:t>
            </w:r>
            <w:r>
              <w:rPr>
                <w:rFonts w:ascii="宋体" w:eastAsia="宋体" w:hAnsi="宋体" w:hint="eastAsia"/>
                <w:b/>
                <w:bCs/>
                <w:sz w:val="24"/>
              </w:rPr>
              <w:lastRenderedPageBreak/>
              <w:t>法？</w:t>
            </w:r>
          </w:p>
          <w:p w:rsidR="002A72D0" w:rsidRDefault="00CD32B5">
            <w:pPr>
              <w:spacing w:line="360" w:lineRule="auto"/>
              <w:ind w:firstLine="480"/>
              <w:rPr>
                <w:rFonts w:ascii="宋体" w:eastAsia="宋体" w:hAnsi="宋体"/>
                <w:sz w:val="24"/>
              </w:rPr>
            </w:pPr>
            <w:r>
              <w:rPr>
                <w:rFonts w:ascii="宋体" w:eastAsia="宋体" w:hAnsi="宋体" w:hint="eastAsia"/>
                <w:sz w:val="24"/>
              </w:rPr>
              <w:t>感谢您的提问。独立董事是我们国家健全完善公司治理机制一项重要的制度设置，这项制度本身也在不断地完善和强化之中，特别是有关独立董事应该发挥什么样的作用，又如何有效地发挥应有作用，本身也是一个不断探索健全完善和强化的过程。作为厦门银行的独立董事，我们积极按照相关的法律法规、部门规章以及公司的章程，独立客观审慎履职。厦门银行的股权董事和高管层，对独立董事提出的一些建设性的意见非常尊重，尽最大努力有效地吸取，而且这几届厦门银行聘任的独立董事，都是一些在不同领域有着一定的知识积累和丰富实践经验的人士。独立董事们包括我本人在内，能够发挥参与重大决策、监督和专业咨询作用。</w:t>
            </w:r>
          </w:p>
          <w:p w:rsidR="002A72D0" w:rsidRDefault="00CD32B5">
            <w:pPr>
              <w:spacing w:line="360" w:lineRule="auto"/>
              <w:ind w:firstLine="480"/>
              <w:rPr>
                <w:rFonts w:ascii="宋体" w:eastAsia="宋体" w:hAnsi="宋体"/>
                <w:sz w:val="24"/>
              </w:rPr>
            </w:pPr>
            <w:r>
              <w:rPr>
                <w:rFonts w:ascii="宋体" w:eastAsia="宋体" w:hAnsi="宋体" w:hint="eastAsia"/>
                <w:sz w:val="24"/>
              </w:rPr>
              <w:t>关于合规方面，厦门银行在合规方面是城市商业银行大家庭里的一个典范，银行的发展既要比赛速度，更要比赛稳健性，谁能够耐力更足，发展得更可持续，在不同的周期里更能够有韧劲，这才是最终的胜者。厦门银行的风险控制和内部控制，在独立董事的参与下，全体董事会成员的共同努力下，覆盖面越来越广，力度不断加强，有效性也在不断提高，所以它是相对比较稳健的，比较有韧劲的。</w:t>
            </w:r>
          </w:p>
          <w:p w:rsidR="002A72D0" w:rsidRDefault="00CD32B5">
            <w:pPr>
              <w:spacing w:line="360" w:lineRule="auto"/>
              <w:ind w:firstLine="480"/>
              <w:rPr>
                <w:rFonts w:ascii="宋体" w:eastAsia="宋体" w:hAnsi="宋体"/>
                <w:sz w:val="24"/>
              </w:rPr>
            </w:pPr>
            <w:r>
              <w:rPr>
                <w:rFonts w:ascii="宋体" w:eastAsia="宋体" w:hAnsi="宋体" w:hint="eastAsia"/>
                <w:sz w:val="24"/>
              </w:rPr>
              <w:t>接下来，作为独立董事，我们继续按照相关的法律法规部门规章和公司章程，客观独立审慎履职，既要为银行的发展风险控制起到一定作用，也要对广大投资者，特别是中小投资者的合法权益保护，起到我们独立董事应有的作用。</w:t>
            </w:r>
          </w:p>
          <w:p w:rsidR="002A72D0" w:rsidRDefault="002A72D0">
            <w:pPr>
              <w:spacing w:line="360" w:lineRule="auto"/>
              <w:ind w:firstLine="480"/>
              <w:rPr>
                <w:rFonts w:ascii="宋体" w:eastAsia="宋体" w:hAnsi="宋体"/>
                <w:sz w:val="24"/>
              </w:rPr>
            </w:pPr>
          </w:p>
          <w:p w:rsidR="002A72D0" w:rsidRDefault="00CD32B5">
            <w:pPr>
              <w:spacing w:line="360" w:lineRule="auto"/>
              <w:ind w:firstLine="480"/>
              <w:rPr>
                <w:rFonts w:ascii="宋体" w:eastAsia="宋体" w:hAnsi="宋体"/>
                <w:sz w:val="24"/>
              </w:rPr>
            </w:pPr>
            <w:r>
              <w:rPr>
                <w:rFonts w:ascii="宋体" w:eastAsia="宋体" w:hAnsi="宋体" w:hint="eastAsia"/>
                <w:b/>
                <w:bCs/>
                <w:sz w:val="24"/>
              </w:rPr>
              <w:t>8.最近这段时间以来，金融市场波动频繁，尤其是利率环境在一季度和二季度呈现不一样的走势。我想了解一下我们厦门银行怎么样应对市场带来的挑战？</w:t>
            </w:r>
          </w:p>
          <w:p w:rsidR="002A72D0" w:rsidRDefault="00CD32B5">
            <w:pPr>
              <w:spacing w:line="360" w:lineRule="auto"/>
              <w:ind w:firstLine="480"/>
              <w:rPr>
                <w:rFonts w:ascii="宋体" w:eastAsia="宋体" w:hAnsi="宋体"/>
                <w:sz w:val="24"/>
              </w:rPr>
            </w:pPr>
            <w:r>
              <w:rPr>
                <w:rFonts w:ascii="宋体" w:eastAsia="宋体" w:hAnsi="宋体" w:hint="eastAsia"/>
                <w:sz w:val="24"/>
              </w:rPr>
              <w:t>感谢您的提问。金融市场业务是我行综合金融服务的重要组成部分，也是我行的利润重要来源。我们有相对齐全的金融市场牌照，这个有利于自营投资和代客业务的持续发展。今年以来市场波动比</w:t>
            </w:r>
            <w:r>
              <w:rPr>
                <w:rFonts w:ascii="宋体" w:eastAsia="宋体" w:hAnsi="宋体" w:hint="eastAsia"/>
                <w:sz w:val="24"/>
              </w:rPr>
              <w:lastRenderedPageBreak/>
              <w:t>较频繁，对我们的专业能力也提出了更高的要求。为此，我们的策略概括来说，就是“稳配置、强交易、促转型、控风险、重科技”。</w:t>
            </w:r>
          </w:p>
          <w:p w:rsidR="002A72D0" w:rsidRDefault="00CD32B5">
            <w:pPr>
              <w:spacing w:line="360" w:lineRule="auto"/>
              <w:ind w:firstLine="480"/>
              <w:rPr>
                <w:rFonts w:ascii="宋体" w:eastAsia="宋体" w:hAnsi="宋体"/>
                <w:sz w:val="24"/>
              </w:rPr>
            </w:pPr>
            <w:r>
              <w:rPr>
                <w:rFonts w:ascii="宋体" w:eastAsia="宋体" w:hAnsi="宋体" w:hint="eastAsia"/>
                <w:sz w:val="24"/>
              </w:rPr>
              <w:t>一是要构建稳健的自营投资组合，我们要合理配置本外币多品种产品。在这个过程中，我们要精细管理，根据市场的动态，不断调整我们配置的节奏，来达到久期和流动性平衡，收益和风险的平衡，力争在波动中能够获取相对稳定的配置收益；二是加强全面的交易能力，一方面我们要完善宏观、微观研究框架，在仓位和久期动态调整中，不断优化投资</w:t>
            </w:r>
            <w:r>
              <w:rPr>
                <w:rFonts w:ascii="宋体" w:eastAsia="宋体" w:hAnsi="宋体"/>
                <w:sz w:val="24"/>
              </w:rPr>
              <w:t>，并</w:t>
            </w:r>
            <w:r>
              <w:rPr>
                <w:rFonts w:ascii="宋体" w:eastAsia="宋体" w:hAnsi="宋体" w:hint="eastAsia"/>
                <w:sz w:val="24"/>
              </w:rPr>
              <w:t>形成主观和量化相结合的全面交易能力。量化交易方面，经过这些年积极探索和实践，目前我们在本币债券投资、外汇交易已经进行了量化交易实盘运用。接下来会完成黄金量化交易部署。同时，研发衍生品策略以应对波动压力；三是优化收入结构，通过与传统业务联动，促进业务转型。我们有专业代客服务团队，有效运用我们较为齐全的金融牌照，为客户提供债券、外汇、衍生品等相关产品和服务，满足客户投资和避险需求，积极发展中间业务。四是深化风险管理，聚焦重点行业，拟定适配的风险政策，完善内部评价体系，引导合理的风险定价；同时根据今年的情况和业务发展的计划，进一步优化市场风险限额指标。五是高度重视数字化对各项业务，包括对金融市场业务的赋能，利用长期积累下来的大量数据资产，围绕前台交易效率、中台风险控制、后台流程再造以及经营分析这四个维度进行数字化赋能。随着大模型技术的发展，我们高度重视AI在金融市场业务垂直领域的创新应用，现在开始在智能问答、智能审批这些场景进行大模型技术应用的尝试。后续，我们也会审慎推动在投资和代客领域大模型技术应用探索。</w:t>
            </w:r>
          </w:p>
          <w:p w:rsidR="002A72D0" w:rsidRDefault="00CD32B5">
            <w:pPr>
              <w:spacing w:line="360" w:lineRule="auto"/>
              <w:ind w:firstLine="480"/>
              <w:rPr>
                <w:rFonts w:ascii="宋体" w:eastAsia="宋体" w:hAnsi="宋体"/>
                <w:sz w:val="24"/>
              </w:rPr>
            </w:pPr>
            <w:r>
              <w:rPr>
                <w:rFonts w:ascii="宋体" w:eastAsia="宋体" w:hAnsi="宋体" w:hint="eastAsia"/>
                <w:sz w:val="24"/>
              </w:rPr>
              <w:t>总之，在目前市场情况下，我们会以扎实管理作为基础，以“稳配置、强交易、促转型、控风险、重科技"为主要策略和思路，积极应对市场变化，实现业务稳健发展。</w:t>
            </w:r>
          </w:p>
          <w:p w:rsidR="002A72D0" w:rsidRDefault="002A72D0">
            <w:pPr>
              <w:spacing w:line="360" w:lineRule="auto"/>
              <w:ind w:firstLine="480"/>
              <w:rPr>
                <w:rFonts w:ascii="宋体" w:eastAsia="宋体" w:hAnsi="宋体"/>
                <w:sz w:val="24"/>
              </w:rPr>
            </w:pPr>
          </w:p>
          <w:p w:rsidR="002A72D0" w:rsidRDefault="00CD32B5">
            <w:pPr>
              <w:pStyle w:val="Style6"/>
              <w:spacing w:line="360" w:lineRule="auto"/>
              <w:ind w:firstLineChars="0" w:firstLine="0"/>
              <w:rPr>
                <w:rFonts w:ascii="宋体" w:hAnsi="宋体"/>
                <w:b/>
                <w:sz w:val="24"/>
                <w:szCs w:val="24"/>
              </w:rPr>
            </w:pPr>
            <w:r>
              <w:rPr>
                <w:rFonts w:ascii="宋体" w:hAnsi="宋体"/>
                <w:b/>
                <w:sz w:val="24"/>
                <w:szCs w:val="24"/>
              </w:rPr>
              <w:t>二、网络互动提问</w:t>
            </w:r>
          </w:p>
          <w:p w:rsidR="002A72D0" w:rsidRDefault="00CD32B5">
            <w:pPr>
              <w:widowControl/>
              <w:spacing w:line="360" w:lineRule="auto"/>
              <w:ind w:firstLineChars="200" w:firstLine="482"/>
              <w:rPr>
                <w:rFonts w:ascii="宋体" w:eastAsia="宋体" w:hAnsi="宋体"/>
                <w:b/>
                <w:bCs/>
                <w:sz w:val="24"/>
              </w:rPr>
            </w:pPr>
            <w:r>
              <w:rPr>
                <w:rFonts w:ascii="宋体" w:eastAsia="宋体" w:hAnsi="宋体" w:hint="eastAsia"/>
                <w:b/>
                <w:bCs/>
                <w:sz w:val="24"/>
              </w:rPr>
              <w:lastRenderedPageBreak/>
              <w:t>1.监管机构现在高度重视市值管理工作，出台了系列文件、指引来规范上市公司的相关行为，请问：厦门银行在董事长及一众高管的带领下，准备从哪几个方面来改进和加强市值管理工作，有何具体举措？希望厦门银行在董事长的带领下，进一步加强上市分红和回购措施，让投资者真情实意的感受到投资的价值所在。</w:t>
            </w:r>
          </w:p>
          <w:p w:rsidR="002A72D0" w:rsidRDefault="00CD32B5">
            <w:pPr>
              <w:widowControl/>
              <w:spacing w:line="360" w:lineRule="auto"/>
              <w:ind w:firstLineChars="200" w:firstLine="480"/>
              <w:rPr>
                <w:rFonts w:ascii="宋体" w:eastAsia="宋体" w:hAnsi="宋体"/>
                <w:sz w:val="24"/>
              </w:rPr>
            </w:pPr>
            <w:r>
              <w:rPr>
                <w:rFonts w:ascii="宋体" w:eastAsia="宋体" w:hAnsi="宋体" w:hint="eastAsia"/>
                <w:sz w:val="24"/>
              </w:rPr>
              <w:t>感谢关注。我行积极提升投资价值和股东回报能力，推动我行投资价值合理反映公司质量，具体措施包括：一是提升金融服务能力，践行高质量发展，扎实推进“五篇大文章”，在科技金融、绿色金融、普惠金融、民营企业方面持续加大服务力度；坚持特色化经营，深耕两岸金融业务，持续擦亮“两岸金融合作标杆银行”的金字招牌；践行金融为民，持续推动大零售战略转型，提升规模创利。二是高度重视投资者体验，致力提升投资回报，我行自2020年上市以来一直坚持稳定、持续的分红政策，现金分红率已连续三年超过30%。2024年度末期利润分配拟每股派发现金股利0.16元，2024年全年分红为每股0.31元，现金分红比例高达31.53%，该方案已通过董事会审议，尚需提交股东大会审议。三是我行部分董事、监事、高级管理人员基于对我行价值的认可、未来战略规划及发展前景的信心，拟以不低于上一年度从我行取得税后薪酬总额的10%主动增持我行股份。详情可参看我行在上海证券交易所披露的《厦门银行股份有限公司关于估值提升计划的公告》等公告。</w:t>
            </w:r>
          </w:p>
          <w:p w:rsidR="002A72D0" w:rsidRDefault="002A72D0">
            <w:pPr>
              <w:widowControl/>
              <w:spacing w:line="360" w:lineRule="auto"/>
              <w:ind w:firstLineChars="200" w:firstLine="480"/>
              <w:rPr>
                <w:rFonts w:ascii="宋体" w:eastAsia="宋体" w:hAnsi="宋体"/>
                <w:sz w:val="24"/>
              </w:rPr>
            </w:pPr>
          </w:p>
          <w:p w:rsidR="002A72D0" w:rsidRDefault="00CD32B5">
            <w:pPr>
              <w:widowControl/>
              <w:spacing w:line="360" w:lineRule="auto"/>
              <w:ind w:firstLineChars="200" w:firstLine="482"/>
              <w:rPr>
                <w:rFonts w:ascii="宋体" w:eastAsia="宋体" w:hAnsi="宋体"/>
                <w:sz w:val="24"/>
              </w:rPr>
            </w:pPr>
            <w:r>
              <w:rPr>
                <w:rFonts w:ascii="宋体" w:eastAsia="宋体" w:hAnsi="宋体" w:hint="eastAsia"/>
                <w:b/>
                <w:bCs/>
                <w:sz w:val="24"/>
              </w:rPr>
              <w:t>2.2025分红情况如何？</w:t>
            </w:r>
          </w:p>
          <w:p w:rsidR="002A72D0" w:rsidRDefault="00CD32B5">
            <w:pPr>
              <w:widowControl/>
              <w:spacing w:line="360" w:lineRule="auto"/>
              <w:ind w:firstLineChars="200" w:firstLine="480"/>
              <w:rPr>
                <w:rFonts w:ascii="宋体" w:eastAsia="宋体" w:hAnsi="宋体"/>
                <w:sz w:val="24"/>
              </w:rPr>
            </w:pPr>
            <w:r>
              <w:rPr>
                <w:rFonts w:ascii="宋体" w:eastAsia="宋体" w:hAnsi="宋体" w:hint="eastAsia"/>
                <w:sz w:val="24"/>
              </w:rPr>
              <w:t>感谢关注。我行高度重视投资者回报，持续以高比例分红回馈股东。2024年度末期利润分配拟每股派发现金股利0.16元，2024年中期我行已派发分红每股0.15元，2024年全年分红为每股0.31元，拟分配现金分红总额（包括中期已分配的现金红利）达8.18亿元，现金分红比例高达31.53%，该方案已通过董事会审议，尚需提交股东大会审议。此外，我行已提请股东大会授权董事会决定2025</w:t>
            </w:r>
            <w:r>
              <w:rPr>
                <w:rFonts w:ascii="宋体" w:eastAsia="宋体" w:hAnsi="宋体" w:hint="eastAsia"/>
                <w:sz w:val="24"/>
              </w:rPr>
              <w:lastRenderedPageBreak/>
              <w:t>年中期利润分配方案，拟制定并实施2025年中期分红，延续2024年全年开展二次分红的频率，与投资者共享企业发展红利。</w:t>
            </w:r>
          </w:p>
          <w:p w:rsidR="002A72D0" w:rsidRDefault="002A72D0">
            <w:pPr>
              <w:widowControl/>
              <w:spacing w:line="360" w:lineRule="auto"/>
              <w:ind w:firstLineChars="200" w:firstLine="480"/>
              <w:rPr>
                <w:rFonts w:ascii="宋体" w:eastAsia="宋体" w:hAnsi="宋体"/>
                <w:sz w:val="24"/>
              </w:rPr>
            </w:pPr>
          </w:p>
          <w:p w:rsidR="002A72D0" w:rsidRDefault="00CD32B5">
            <w:pPr>
              <w:widowControl/>
              <w:spacing w:line="360" w:lineRule="auto"/>
              <w:ind w:firstLineChars="200" w:firstLine="482"/>
              <w:rPr>
                <w:rFonts w:ascii="宋体" w:eastAsia="宋体" w:hAnsi="宋体"/>
                <w:b/>
                <w:bCs/>
                <w:sz w:val="24"/>
              </w:rPr>
            </w:pPr>
            <w:r>
              <w:rPr>
                <w:rFonts w:ascii="宋体" w:eastAsia="宋体" w:hAnsi="宋体" w:hint="eastAsia"/>
                <w:b/>
                <w:bCs/>
                <w:sz w:val="24"/>
              </w:rPr>
              <w:t>3.请问贵公司本期财务报告中，盈利表现如何？</w:t>
            </w:r>
          </w:p>
          <w:p w:rsidR="002A72D0" w:rsidRDefault="00CD32B5">
            <w:pPr>
              <w:widowControl/>
              <w:spacing w:line="360" w:lineRule="auto"/>
              <w:ind w:firstLineChars="200" w:firstLine="480"/>
              <w:rPr>
                <w:rFonts w:ascii="宋体" w:eastAsia="宋体" w:hAnsi="宋体"/>
                <w:sz w:val="24"/>
              </w:rPr>
            </w:pPr>
            <w:r>
              <w:rPr>
                <w:rFonts w:ascii="宋体" w:eastAsia="宋体" w:hAnsi="宋体" w:hint="eastAsia"/>
                <w:sz w:val="24"/>
              </w:rPr>
              <w:t>感谢关注。2024年度，公司实现营业收入57.59亿元，同比增长2.79%；报告期内，公司以结构优化及负债成本管控作为突破口，一方面，主动压降低息票据规模，缓解贷款平均利率降幅；另一方面，积极压降高息存款，积极发力短期限定期存款从而改善存款久期，叠加前期存款挂牌利率调降效果显现，存款平均付息率明显压降，助力公司净息差、净利差降幅较2023年明显缩小。公司全年实现利润总额27.35亿元，同比增长3.54%；实现净利润27.06亿元。</w:t>
            </w:r>
          </w:p>
          <w:p w:rsidR="002A72D0" w:rsidRDefault="002A72D0">
            <w:pPr>
              <w:widowControl/>
              <w:spacing w:line="360" w:lineRule="auto"/>
              <w:ind w:firstLineChars="200" w:firstLine="480"/>
              <w:rPr>
                <w:rFonts w:ascii="宋体" w:eastAsia="宋体" w:hAnsi="宋体"/>
                <w:sz w:val="24"/>
              </w:rPr>
            </w:pPr>
          </w:p>
          <w:p w:rsidR="002A72D0" w:rsidRDefault="00CD32B5">
            <w:pPr>
              <w:widowControl/>
              <w:spacing w:line="360" w:lineRule="auto"/>
              <w:ind w:firstLineChars="200" w:firstLine="482"/>
              <w:rPr>
                <w:rFonts w:ascii="宋体" w:eastAsia="宋体" w:hAnsi="宋体"/>
                <w:b/>
                <w:bCs/>
                <w:sz w:val="24"/>
              </w:rPr>
            </w:pPr>
            <w:r>
              <w:rPr>
                <w:rFonts w:ascii="宋体" w:eastAsia="宋体" w:hAnsi="宋体" w:hint="eastAsia"/>
                <w:b/>
                <w:bCs/>
                <w:sz w:val="24"/>
              </w:rPr>
              <w:t>4.请问贵公司未来盈利增长的主要驱动因素有哪些？</w:t>
            </w:r>
          </w:p>
          <w:p w:rsidR="002A72D0" w:rsidRDefault="00CD32B5">
            <w:pPr>
              <w:widowControl/>
              <w:spacing w:line="360" w:lineRule="auto"/>
              <w:ind w:firstLineChars="200" w:firstLine="480"/>
              <w:rPr>
                <w:rFonts w:ascii="宋体" w:eastAsia="宋体" w:hAnsi="宋体"/>
                <w:sz w:val="24"/>
              </w:rPr>
            </w:pPr>
            <w:r>
              <w:rPr>
                <w:rFonts w:ascii="宋体" w:eastAsia="宋体" w:hAnsi="宋体" w:hint="eastAsia"/>
                <w:sz w:val="24"/>
              </w:rPr>
              <w:t>感谢关注。未来，我行将在以下几个方面做好经营管理，扎实推进，不断提升盈利能力。</w:t>
            </w:r>
          </w:p>
          <w:p w:rsidR="002A72D0" w:rsidRDefault="00CD32B5">
            <w:pPr>
              <w:widowControl/>
              <w:spacing w:line="360" w:lineRule="auto"/>
              <w:ind w:firstLineChars="200" w:firstLine="480"/>
              <w:rPr>
                <w:rFonts w:ascii="宋体" w:eastAsia="宋体" w:hAnsi="宋体"/>
                <w:sz w:val="24"/>
              </w:rPr>
            </w:pPr>
            <w:r>
              <w:rPr>
                <w:rFonts w:ascii="宋体" w:eastAsia="宋体" w:hAnsi="宋体" w:hint="eastAsia"/>
                <w:sz w:val="24"/>
              </w:rPr>
              <w:t>（1）因时制宜，强化资产负债管理：把握成本下行红利，灵活配置负债来源；强化重大项目营销管控及中小微企业的信贷投放机会，推动对公贷款稳步上量。</w:t>
            </w:r>
          </w:p>
          <w:p w:rsidR="002A72D0" w:rsidRDefault="00CD32B5">
            <w:pPr>
              <w:widowControl/>
              <w:spacing w:line="360" w:lineRule="auto"/>
              <w:ind w:firstLineChars="200" w:firstLine="480"/>
              <w:rPr>
                <w:rFonts w:ascii="宋体" w:eastAsia="宋体" w:hAnsi="宋体"/>
                <w:sz w:val="24"/>
              </w:rPr>
            </w:pPr>
            <w:r>
              <w:rPr>
                <w:rFonts w:ascii="宋体" w:eastAsia="宋体" w:hAnsi="宋体" w:hint="eastAsia"/>
                <w:sz w:val="24"/>
              </w:rPr>
              <w:t>（2）因地制宜，深耕区域经济：与经营地域发展战略深度绑定，布局重点区域内的重点行业和重点项目。</w:t>
            </w:r>
          </w:p>
          <w:p w:rsidR="002A72D0" w:rsidRDefault="00CD32B5">
            <w:pPr>
              <w:widowControl/>
              <w:spacing w:line="360" w:lineRule="auto"/>
              <w:ind w:firstLineChars="200" w:firstLine="480"/>
              <w:rPr>
                <w:rFonts w:ascii="宋体" w:eastAsia="宋体" w:hAnsi="宋体"/>
                <w:sz w:val="24"/>
              </w:rPr>
            </w:pPr>
            <w:r>
              <w:rPr>
                <w:rFonts w:ascii="宋体" w:eastAsia="宋体" w:hAnsi="宋体" w:hint="eastAsia"/>
                <w:sz w:val="24"/>
              </w:rPr>
              <w:t>（3）因人制宜，增强客户粘性：加强客户精细化管理和服务能力，广泛拓展低成本结算性负债，提升资产收益率。</w:t>
            </w:r>
          </w:p>
          <w:p w:rsidR="002A72D0" w:rsidRDefault="00CD32B5">
            <w:pPr>
              <w:widowControl/>
              <w:spacing w:line="360" w:lineRule="auto"/>
              <w:ind w:firstLineChars="200" w:firstLine="480"/>
              <w:rPr>
                <w:rFonts w:ascii="宋体" w:eastAsia="宋体" w:hAnsi="宋体"/>
                <w:sz w:val="24"/>
              </w:rPr>
            </w:pPr>
            <w:r>
              <w:rPr>
                <w:rFonts w:ascii="宋体" w:eastAsia="宋体" w:hAnsi="宋体" w:hint="eastAsia"/>
                <w:sz w:val="24"/>
              </w:rPr>
              <w:t>（4）打造智能化风控体系：强化科技赋能和风险驱动，畅通不良资产化解机制，构建资本可补充方案，持续提升经营韧性。</w:t>
            </w:r>
          </w:p>
          <w:p w:rsidR="002A72D0" w:rsidRDefault="00CD32B5">
            <w:pPr>
              <w:widowControl/>
              <w:spacing w:line="360" w:lineRule="auto"/>
              <w:ind w:firstLineChars="200" w:firstLine="480"/>
              <w:rPr>
                <w:rFonts w:ascii="宋体" w:eastAsia="宋体" w:hAnsi="宋体"/>
                <w:sz w:val="24"/>
              </w:rPr>
            </w:pPr>
            <w:r>
              <w:rPr>
                <w:rFonts w:ascii="宋体" w:eastAsia="宋体" w:hAnsi="宋体" w:hint="eastAsia"/>
                <w:sz w:val="24"/>
              </w:rPr>
              <w:t>下阶段，我们将重点围绕“稳规模”和“优结构”，既提升资产构建能力，又有效压降负债成本，两端同时发力，做好息差管控。</w:t>
            </w:r>
          </w:p>
          <w:p w:rsidR="002A72D0" w:rsidRDefault="002A72D0">
            <w:pPr>
              <w:widowControl/>
              <w:spacing w:line="360" w:lineRule="auto"/>
              <w:ind w:firstLineChars="200" w:firstLine="480"/>
              <w:rPr>
                <w:rFonts w:ascii="宋体" w:eastAsia="宋体" w:hAnsi="宋体"/>
                <w:sz w:val="24"/>
              </w:rPr>
            </w:pPr>
          </w:p>
          <w:p w:rsidR="002A72D0" w:rsidRDefault="00CD32B5">
            <w:pPr>
              <w:widowControl/>
              <w:spacing w:line="360" w:lineRule="auto"/>
              <w:ind w:firstLineChars="200" w:firstLine="482"/>
              <w:rPr>
                <w:rFonts w:ascii="宋体" w:eastAsia="宋体" w:hAnsi="宋体"/>
                <w:b/>
                <w:bCs/>
                <w:sz w:val="24"/>
              </w:rPr>
            </w:pPr>
            <w:r>
              <w:rPr>
                <w:rFonts w:ascii="宋体" w:eastAsia="宋体" w:hAnsi="宋体" w:hint="eastAsia"/>
                <w:b/>
                <w:bCs/>
                <w:sz w:val="24"/>
              </w:rPr>
              <w:lastRenderedPageBreak/>
              <w:t>5.请问在绿色金融方面，贵行有哪些具体实践，取得了哪些成果？</w:t>
            </w:r>
          </w:p>
          <w:p w:rsidR="002A72D0" w:rsidRDefault="00CD32B5">
            <w:pPr>
              <w:widowControl/>
              <w:spacing w:line="360" w:lineRule="auto"/>
              <w:ind w:firstLineChars="200" w:firstLine="480"/>
              <w:rPr>
                <w:rFonts w:ascii="宋体" w:eastAsia="宋体" w:hAnsi="宋体"/>
                <w:sz w:val="24"/>
              </w:rPr>
            </w:pPr>
            <w:r>
              <w:rPr>
                <w:rFonts w:ascii="宋体" w:eastAsia="宋体" w:hAnsi="宋体" w:hint="eastAsia"/>
                <w:sz w:val="24"/>
              </w:rPr>
              <w:t>感谢关注。我行积极践行绿色金融理念，在产品方面，通过创设“节能减排贷”，为“合同能源管理”型节能服务企业提供项目融资，助力能源领域节能减排；推出“绿色生活贷”、“E秒车贷”，满足消费者绿色生活、绿色出行的金融需求；落地福建省首批钢铁行业转型金融贷款及首笔海洋碳汇质押贷款，助力传统高碳行业低碳转型，盘活企业沉睡的碳资产。在内部管理方面，我行上线 “绿色金融业务管理系统”，提高绿色金融业务处理效率和管理精度，推动业务数字化转型。</w:t>
            </w:r>
          </w:p>
          <w:p w:rsidR="002A72D0" w:rsidRDefault="00CD32B5">
            <w:pPr>
              <w:widowControl/>
              <w:spacing w:line="360" w:lineRule="auto"/>
              <w:ind w:firstLineChars="200" w:firstLine="480"/>
              <w:rPr>
                <w:rFonts w:ascii="宋体" w:eastAsia="宋体" w:hAnsi="宋体"/>
                <w:sz w:val="24"/>
              </w:rPr>
            </w:pPr>
            <w:r>
              <w:rPr>
                <w:rFonts w:ascii="宋体" w:eastAsia="宋体" w:hAnsi="宋体" w:hint="eastAsia"/>
                <w:sz w:val="24"/>
              </w:rPr>
              <w:t>截至2024年末，我行绿色信贷余额130.70亿元，较年初增幅达61.96%，累计发行绿债35亿元，使用绿债发放信贷31.22亿元，累计使用碳减排支持工具发放贷款3.03亿元。</w:t>
            </w:r>
          </w:p>
        </w:tc>
      </w:tr>
    </w:tbl>
    <w:p w:rsidR="002A72D0" w:rsidRDefault="002A72D0">
      <w:pPr>
        <w:spacing w:line="360" w:lineRule="auto"/>
        <w:rPr>
          <w:rFonts w:asciiTheme="minorEastAsia" w:eastAsiaTheme="minorEastAsia" w:hAnsiTheme="minorEastAsia"/>
          <w:sz w:val="28"/>
          <w:szCs w:val="28"/>
        </w:rPr>
      </w:pPr>
    </w:p>
    <w:sectPr w:rsidR="002A72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717" w:rsidRDefault="00151717" w:rsidP="00837180">
      <w:r>
        <w:separator/>
      </w:r>
    </w:p>
  </w:endnote>
  <w:endnote w:type="continuationSeparator" w:id="0">
    <w:p w:rsidR="00151717" w:rsidRDefault="00151717" w:rsidP="00837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717" w:rsidRDefault="00151717" w:rsidP="00837180">
      <w:r>
        <w:separator/>
      </w:r>
    </w:p>
  </w:footnote>
  <w:footnote w:type="continuationSeparator" w:id="0">
    <w:p w:rsidR="00151717" w:rsidRDefault="00151717" w:rsidP="00837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31"/>
    <w:rsid w:val="000246FD"/>
    <w:rsid w:val="000252F2"/>
    <w:rsid w:val="00026086"/>
    <w:rsid w:val="0003505D"/>
    <w:rsid w:val="000367CC"/>
    <w:rsid w:val="00043DE1"/>
    <w:rsid w:val="0005378B"/>
    <w:rsid w:val="0006674F"/>
    <w:rsid w:val="000719F0"/>
    <w:rsid w:val="00082ED5"/>
    <w:rsid w:val="000B298D"/>
    <w:rsid w:val="000B2FED"/>
    <w:rsid w:val="000D201C"/>
    <w:rsid w:val="000D57CA"/>
    <w:rsid w:val="000F2DEA"/>
    <w:rsid w:val="001038D4"/>
    <w:rsid w:val="00125712"/>
    <w:rsid w:val="0014156A"/>
    <w:rsid w:val="00151717"/>
    <w:rsid w:val="00184F9C"/>
    <w:rsid w:val="00185B0A"/>
    <w:rsid w:val="001952A1"/>
    <w:rsid w:val="001A37D5"/>
    <w:rsid w:val="001C008C"/>
    <w:rsid w:val="001C0C8A"/>
    <w:rsid w:val="001C6978"/>
    <w:rsid w:val="001D3154"/>
    <w:rsid w:val="001D77C5"/>
    <w:rsid w:val="001E5D66"/>
    <w:rsid w:val="001F412A"/>
    <w:rsid w:val="00201D0A"/>
    <w:rsid w:val="0029008E"/>
    <w:rsid w:val="00292069"/>
    <w:rsid w:val="002A72D0"/>
    <w:rsid w:val="002D0FB2"/>
    <w:rsid w:val="002D1B9B"/>
    <w:rsid w:val="002E2585"/>
    <w:rsid w:val="00312F50"/>
    <w:rsid w:val="00326F2C"/>
    <w:rsid w:val="003870DB"/>
    <w:rsid w:val="00390CC1"/>
    <w:rsid w:val="0039318E"/>
    <w:rsid w:val="00396AE7"/>
    <w:rsid w:val="003C230C"/>
    <w:rsid w:val="003C7689"/>
    <w:rsid w:val="003E1CE3"/>
    <w:rsid w:val="003E3F42"/>
    <w:rsid w:val="003E4E74"/>
    <w:rsid w:val="003E7872"/>
    <w:rsid w:val="003F0008"/>
    <w:rsid w:val="004023FB"/>
    <w:rsid w:val="00411811"/>
    <w:rsid w:val="00427258"/>
    <w:rsid w:val="00430987"/>
    <w:rsid w:val="00436013"/>
    <w:rsid w:val="004505F4"/>
    <w:rsid w:val="00450AF4"/>
    <w:rsid w:val="00461A53"/>
    <w:rsid w:val="00466061"/>
    <w:rsid w:val="004703B6"/>
    <w:rsid w:val="00484CB8"/>
    <w:rsid w:val="004874E0"/>
    <w:rsid w:val="00493823"/>
    <w:rsid w:val="00494EB8"/>
    <w:rsid w:val="004953F4"/>
    <w:rsid w:val="004A28E8"/>
    <w:rsid w:val="004E0106"/>
    <w:rsid w:val="004F0608"/>
    <w:rsid w:val="004F4869"/>
    <w:rsid w:val="005024FF"/>
    <w:rsid w:val="00502FA3"/>
    <w:rsid w:val="00522596"/>
    <w:rsid w:val="005578CA"/>
    <w:rsid w:val="00592226"/>
    <w:rsid w:val="005C1902"/>
    <w:rsid w:val="005E6C45"/>
    <w:rsid w:val="006046F6"/>
    <w:rsid w:val="00606A89"/>
    <w:rsid w:val="00606F21"/>
    <w:rsid w:val="006131BF"/>
    <w:rsid w:val="006145F4"/>
    <w:rsid w:val="00614EE7"/>
    <w:rsid w:val="00630D9D"/>
    <w:rsid w:val="0065074C"/>
    <w:rsid w:val="006546EF"/>
    <w:rsid w:val="0066539E"/>
    <w:rsid w:val="00684E46"/>
    <w:rsid w:val="006B2D02"/>
    <w:rsid w:val="006C2EC8"/>
    <w:rsid w:val="006C368F"/>
    <w:rsid w:val="006D293A"/>
    <w:rsid w:val="006D72A3"/>
    <w:rsid w:val="006E1B7C"/>
    <w:rsid w:val="00707234"/>
    <w:rsid w:val="0072749C"/>
    <w:rsid w:val="007345EF"/>
    <w:rsid w:val="00786574"/>
    <w:rsid w:val="007A3788"/>
    <w:rsid w:val="007A7F1F"/>
    <w:rsid w:val="007C7FE5"/>
    <w:rsid w:val="007D21FC"/>
    <w:rsid w:val="0080480B"/>
    <w:rsid w:val="00807458"/>
    <w:rsid w:val="00812422"/>
    <w:rsid w:val="00812E1D"/>
    <w:rsid w:val="00821A73"/>
    <w:rsid w:val="0082323B"/>
    <w:rsid w:val="0082496B"/>
    <w:rsid w:val="00831AD8"/>
    <w:rsid w:val="0083425E"/>
    <w:rsid w:val="008346D5"/>
    <w:rsid w:val="00837180"/>
    <w:rsid w:val="00837953"/>
    <w:rsid w:val="00846FB3"/>
    <w:rsid w:val="00861808"/>
    <w:rsid w:val="00864179"/>
    <w:rsid w:val="00884BBC"/>
    <w:rsid w:val="008E0E5E"/>
    <w:rsid w:val="008E2E7C"/>
    <w:rsid w:val="008E49BB"/>
    <w:rsid w:val="008F02C7"/>
    <w:rsid w:val="00916FB2"/>
    <w:rsid w:val="00932163"/>
    <w:rsid w:val="009460A6"/>
    <w:rsid w:val="009614B8"/>
    <w:rsid w:val="00967C11"/>
    <w:rsid w:val="009820B1"/>
    <w:rsid w:val="00993AED"/>
    <w:rsid w:val="009B1755"/>
    <w:rsid w:val="009B3C93"/>
    <w:rsid w:val="009D3C26"/>
    <w:rsid w:val="009D3EF8"/>
    <w:rsid w:val="00A0333E"/>
    <w:rsid w:val="00A042DF"/>
    <w:rsid w:val="00A66F7B"/>
    <w:rsid w:val="00A675A5"/>
    <w:rsid w:val="00A71D7B"/>
    <w:rsid w:val="00A75302"/>
    <w:rsid w:val="00A753DB"/>
    <w:rsid w:val="00A815AA"/>
    <w:rsid w:val="00A91BCF"/>
    <w:rsid w:val="00A92B23"/>
    <w:rsid w:val="00AA4EC1"/>
    <w:rsid w:val="00B12B0F"/>
    <w:rsid w:val="00B13D11"/>
    <w:rsid w:val="00B262BB"/>
    <w:rsid w:val="00B4000B"/>
    <w:rsid w:val="00B513C9"/>
    <w:rsid w:val="00B77060"/>
    <w:rsid w:val="00BA2A5C"/>
    <w:rsid w:val="00BB224B"/>
    <w:rsid w:val="00BD0130"/>
    <w:rsid w:val="00BE159B"/>
    <w:rsid w:val="00BE6E4F"/>
    <w:rsid w:val="00C00E97"/>
    <w:rsid w:val="00C127A8"/>
    <w:rsid w:val="00C168DA"/>
    <w:rsid w:val="00C272E4"/>
    <w:rsid w:val="00C306C4"/>
    <w:rsid w:val="00C3426E"/>
    <w:rsid w:val="00C346E2"/>
    <w:rsid w:val="00C510A7"/>
    <w:rsid w:val="00C57CB6"/>
    <w:rsid w:val="00C75F92"/>
    <w:rsid w:val="00C77107"/>
    <w:rsid w:val="00C94428"/>
    <w:rsid w:val="00CA185F"/>
    <w:rsid w:val="00CA1978"/>
    <w:rsid w:val="00CB1479"/>
    <w:rsid w:val="00CB4B1B"/>
    <w:rsid w:val="00CC1C1D"/>
    <w:rsid w:val="00CD32B5"/>
    <w:rsid w:val="00CD6B39"/>
    <w:rsid w:val="00CE363A"/>
    <w:rsid w:val="00CF65E3"/>
    <w:rsid w:val="00D00EE2"/>
    <w:rsid w:val="00D15C8D"/>
    <w:rsid w:val="00D26075"/>
    <w:rsid w:val="00D33EEB"/>
    <w:rsid w:val="00D345FF"/>
    <w:rsid w:val="00D36031"/>
    <w:rsid w:val="00D4086F"/>
    <w:rsid w:val="00D54255"/>
    <w:rsid w:val="00D6304B"/>
    <w:rsid w:val="00D64ADC"/>
    <w:rsid w:val="00D769E6"/>
    <w:rsid w:val="00D831EB"/>
    <w:rsid w:val="00D94103"/>
    <w:rsid w:val="00D95B4D"/>
    <w:rsid w:val="00DE45ED"/>
    <w:rsid w:val="00DF5561"/>
    <w:rsid w:val="00E150B1"/>
    <w:rsid w:val="00E24606"/>
    <w:rsid w:val="00E40AEC"/>
    <w:rsid w:val="00E669D3"/>
    <w:rsid w:val="00E70F11"/>
    <w:rsid w:val="00E72078"/>
    <w:rsid w:val="00E86D97"/>
    <w:rsid w:val="00EB24F4"/>
    <w:rsid w:val="00EB31D9"/>
    <w:rsid w:val="00ED44A8"/>
    <w:rsid w:val="00EF5FF9"/>
    <w:rsid w:val="00F2487E"/>
    <w:rsid w:val="00F33950"/>
    <w:rsid w:val="00F3512A"/>
    <w:rsid w:val="00F37B60"/>
    <w:rsid w:val="00F66912"/>
    <w:rsid w:val="00F7342D"/>
    <w:rsid w:val="00F742BE"/>
    <w:rsid w:val="00F817A3"/>
    <w:rsid w:val="00FA14BB"/>
    <w:rsid w:val="00FA7DE0"/>
    <w:rsid w:val="00FB5012"/>
    <w:rsid w:val="00FD27C0"/>
    <w:rsid w:val="00FD3735"/>
    <w:rsid w:val="00FD5E49"/>
    <w:rsid w:val="00FE6AE6"/>
    <w:rsid w:val="015D5A57"/>
    <w:rsid w:val="021F29F0"/>
    <w:rsid w:val="02CF50BD"/>
    <w:rsid w:val="06552F15"/>
    <w:rsid w:val="06A92CC0"/>
    <w:rsid w:val="0871603F"/>
    <w:rsid w:val="08AC19AE"/>
    <w:rsid w:val="09077D9B"/>
    <w:rsid w:val="0B451836"/>
    <w:rsid w:val="0D3D4770"/>
    <w:rsid w:val="0DF57533"/>
    <w:rsid w:val="0E0F2D35"/>
    <w:rsid w:val="0E6A399D"/>
    <w:rsid w:val="0E857138"/>
    <w:rsid w:val="0F227EA4"/>
    <w:rsid w:val="0F5205A8"/>
    <w:rsid w:val="104154AE"/>
    <w:rsid w:val="123D1B85"/>
    <w:rsid w:val="15344502"/>
    <w:rsid w:val="15B26672"/>
    <w:rsid w:val="162034A3"/>
    <w:rsid w:val="17191A1B"/>
    <w:rsid w:val="180F3DC4"/>
    <w:rsid w:val="18134543"/>
    <w:rsid w:val="1A0148DD"/>
    <w:rsid w:val="1A463ED0"/>
    <w:rsid w:val="1AEA51B8"/>
    <w:rsid w:val="1B8E1A7A"/>
    <w:rsid w:val="1D08208C"/>
    <w:rsid w:val="1D5B4846"/>
    <w:rsid w:val="1EFF4A06"/>
    <w:rsid w:val="1F533E08"/>
    <w:rsid w:val="1F7F64FD"/>
    <w:rsid w:val="1F954C73"/>
    <w:rsid w:val="20091475"/>
    <w:rsid w:val="207F7CDD"/>
    <w:rsid w:val="20D613AC"/>
    <w:rsid w:val="217457D8"/>
    <w:rsid w:val="2330723F"/>
    <w:rsid w:val="236B0EA4"/>
    <w:rsid w:val="23FC25FD"/>
    <w:rsid w:val="24AB2515"/>
    <w:rsid w:val="24D01C41"/>
    <w:rsid w:val="24EC5A0C"/>
    <w:rsid w:val="25505231"/>
    <w:rsid w:val="26782427"/>
    <w:rsid w:val="26C11F9D"/>
    <w:rsid w:val="291C0ADB"/>
    <w:rsid w:val="2A7700BA"/>
    <w:rsid w:val="2B025748"/>
    <w:rsid w:val="2BEE2172"/>
    <w:rsid w:val="2D7D35AC"/>
    <w:rsid w:val="30001143"/>
    <w:rsid w:val="311533DB"/>
    <w:rsid w:val="315251C1"/>
    <w:rsid w:val="325A7A12"/>
    <w:rsid w:val="325B0635"/>
    <w:rsid w:val="34EA47A2"/>
    <w:rsid w:val="35BE7B1D"/>
    <w:rsid w:val="37506ECC"/>
    <w:rsid w:val="37C27387"/>
    <w:rsid w:val="37C330F5"/>
    <w:rsid w:val="390E5D5F"/>
    <w:rsid w:val="3A271C12"/>
    <w:rsid w:val="3B4F3804"/>
    <w:rsid w:val="3C646B2F"/>
    <w:rsid w:val="3E4048E7"/>
    <w:rsid w:val="3E97235C"/>
    <w:rsid w:val="3FA50D03"/>
    <w:rsid w:val="3FB47E5D"/>
    <w:rsid w:val="403E2BF1"/>
    <w:rsid w:val="4206663F"/>
    <w:rsid w:val="42BF41FD"/>
    <w:rsid w:val="42E43CFD"/>
    <w:rsid w:val="432F2BEE"/>
    <w:rsid w:val="44540D09"/>
    <w:rsid w:val="4544795B"/>
    <w:rsid w:val="45E407D2"/>
    <w:rsid w:val="478A748B"/>
    <w:rsid w:val="47A6596C"/>
    <w:rsid w:val="49CB08F7"/>
    <w:rsid w:val="49F6616E"/>
    <w:rsid w:val="4A2E72C4"/>
    <w:rsid w:val="4B121005"/>
    <w:rsid w:val="4B141055"/>
    <w:rsid w:val="4D0B658B"/>
    <w:rsid w:val="4D3D6C75"/>
    <w:rsid w:val="4D962E8A"/>
    <w:rsid w:val="4DFA5431"/>
    <w:rsid w:val="50E670CB"/>
    <w:rsid w:val="515F600E"/>
    <w:rsid w:val="52A25C20"/>
    <w:rsid w:val="53A52936"/>
    <w:rsid w:val="53CE56A9"/>
    <w:rsid w:val="54AF4160"/>
    <w:rsid w:val="55A74129"/>
    <w:rsid w:val="55F60F9E"/>
    <w:rsid w:val="57465FB3"/>
    <w:rsid w:val="5CFC6FC7"/>
    <w:rsid w:val="5E5751B0"/>
    <w:rsid w:val="5E7743AA"/>
    <w:rsid w:val="5F9816B2"/>
    <w:rsid w:val="60336B55"/>
    <w:rsid w:val="61516313"/>
    <w:rsid w:val="63655192"/>
    <w:rsid w:val="644625C2"/>
    <w:rsid w:val="64DA3681"/>
    <w:rsid w:val="65E66C8F"/>
    <w:rsid w:val="66554AE1"/>
    <w:rsid w:val="667D142E"/>
    <w:rsid w:val="67235143"/>
    <w:rsid w:val="67AD2B2C"/>
    <w:rsid w:val="69093257"/>
    <w:rsid w:val="6A080FCF"/>
    <w:rsid w:val="6A154DA2"/>
    <w:rsid w:val="6AC90847"/>
    <w:rsid w:val="6EFF222E"/>
    <w:rsid w:val="6F6B10F2"/>
    <w:rsid w:val="7184016E"/>
    <w:rsid w:val="74222042"/>
    <w:rsid w:val="749A186B"/>
    <w:rsid w:val="75D91B12"/>
    <w:rsid w:val="766057FB"/>
    <w:rsid w:val="77CD4B73"/>
    <w:rsid w:val="79557DF0"/>
    <w:rsid w:val="7958726C"/>
    <w:rsid w:val="7B042B3B"/>
    <w:rsid w:val="7B146786"/>
    <w:rsid w:val="7C141CB7"/>
    <w:rsid w:val="7C3C1899"/>
    <w:rsid w:val="7C893740"/>
    <w:rsid w:val="7D781FE1"/>
    <w:rsid w:val="7D8B5C14"/>
    <w:rsid w:val="7E892B9A"/>
    <w:rsid w:val="7FC11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69E336-C374-4DBE-93D4-84292AC0F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微软雅黑" w:hAnsi="Calibri" w:cs="Times New Roman"/>
      <w:kern w:val="2"/>
      <w:sz w:val="21"/>
      <w:szCs w:val="2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Plain Text"/>
    <w:basedOn w:val="a"/>
    <w:uiPriority w:val="99"/>
    <w:unhideWhenUsed/>
    <w:qFormat/>
    <w:rPr>
      <w:rFonts w:asciiTheme="minorEastAsia" w:hAnsi="Courier New" w:cs="Courier New"/>
    </w:r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rPr>
  </w:style>
  <w:style w:type="paragraph" w:styleId="a8">
    <w:name w:val="annotation subject"/>
    <w:basedOn w:val="a3"/>
    <w:next w:val="a3"/>
    <w:link w:val="Char3"/>
    <w:uiPriority w:val="99"/>
    <w:semiHidden/>
    <w:unhideWhenUsed/>
    <w:qFormat/>
    <w:rPr>
      <w:b/>
      <w:bCs/>
    </w:r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Char">
    <w:name w:val="批注文字 Char"/>
    <w:basedOn w:val="a0"/>
    <w:link w:val="a3"/>
    <w:uiPriority w:val="99"/>
    <w:semiHidden/>
    <w:qFormat/>
    <w:rPr>
      <w:rFonts w:ascii="Calibri" w:eastAsia="微软雅黑" w:hAnsi="Calibri" w:cs="Times New Roman"/>
      <w:szCs w:val="24"/>
    </w:rPr>
  </w:style>
  <w:style w:type="character" w:customStyle="1" w:styleId="Char3">
    <w:name w:val="批注主题 Char"/>
    <w:basedOn w:val="Char"/>
    <w:link w:val="a8"/>
    <w:uiPriority w:val="99"/>
    <w:semiHidden/>
    <w:qFormat/>
    <w:rPr>
      <w:rFonts w:ascii="Calibri" w:eastAsia="微软雅黑" w:hAnsi="Calibri" w:cs="Times New Roman"/>
      <w:b/>
      <w:bCs/>
      <w:szCs w:val="24"/>
    </w:rPr>
  </w:style>
  <w:style w:type="character" w:customStyle="1" w:styleId="Char0">
    <w:name w:val="批注框文本 Char"/>
    <w:basedOn w:val="a0"/>
    <w:link w:val="a5"/>
    <w:uiPriority w:val="99"/>
    <w:semiHidden/>
    <w:qFormat/>
    <w:rPr>
      <w:rFonts w:ascii="Calibri" w:eastAsia="微软雅黑" w:hAnsi="Calibri" w:cs="Times New Roman"/>
      <w:sz w:val="18"/>
      <w:szCs w:val="18"/>
    </w:rPr>
  </w:style>
  <w:style w:type="paragraph" w:customStyle="1" w:styleId="1">
    <w:name w:val="列出段落1"/>
    <w:basedOn w:val="a"/>
    <w:uiPriority w:val="34"/>
    <w:qFormat/>
    <w:pPr>
      <w:ind w:firstLineChars="200" w:firstLine="420"/>
    </w:pPr>
    <w:rPr>
      <w:rFonts w:eastAsia="宋体"/>
      <w:szCs w:val="2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paragraph" w:styleId="aa">
    <w:name w:val="List Paragraph"/>
    <w:basedOn w:val="a"/>
    <w:uiPriority w:val="34"/>
    <w:qFormat/>
    <w:pPr>
      <w:ind w:firstLineChars="200" w:firstLine="420"/>
    </w:pPr>
  </w:style>
  <w:style w:type="paragraph" w:customStyle="1" w:styleId="Style6">
    <w:name w:val="_Style 6"/>
    <w:basedOn w:val="a"/>
    <w:uiPriority w:val="34"/>
    <w:qFormat/>
    <w:pPr>
      <w:ind w:firstLineChars="200" w:firstLine="420"/>
    </w:pPr>
    <w:rPr>
      <w:rFonts w:eastAsia="宋体"/>
      <w:szCs w:val="22"/>
    </w:rPr>
  </w:style>
  <w:style w:type="character" w:customStyle="1" w:styleId="HTMLChar">
    <w:name w:val="HTML 预设格式 Char"/>
    <w:basedOn w:val="a0"/>
    <w:link w:val="HTML"/>
    <w:uiPriority w:val="99"/>
    <w:semiHidden/>
    <w:qFormat/>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5ACBD-A14A-4ACC-A736-DE04CBF9D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14</Pages>
  <Words>1527</Words>
  <Characters>8710</Characters>
  <Application>Microsoft Office Word</Application>
  <DocSecurity>0</DocSecurity>
  <Lines>72</Lines>
  <Paragraphs>20</Paragraphs>
  <ScaleCrop>false</ScaleCrop>
  <Company>AB</Company>
  <LinksUpToDate>false</LinksUpToDate>
  <CharactersWithSpaces>10217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邱素萍</cp:lastModifiedBy>
  <cp:revision>43</cp:revision>
  <dcterms:created xsi:type="dcterms:W3CDTF">2023-02-23T09:31:00Z</dcterms:created>
  <dcterms:modified xsi:type="dcterms:W3CDTF">2025-05-06T08:33:00Z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97BBE531AA5A4A6F9D0F065B015A5B5B</vt:lpwstr>
  </property>
</Properties>
</file>