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FBD56">
      <w:pPr>
        <w:spacing w:line="480" w:lineRule="exact"/>
        <w:rPr>
          <w:rFonts w:asciiTheme="minorEastAsia" w:hAnsiTheme="minorEastAsia"/>
          <w:sz w:val="24"/>
        </w:rPr>
      </w:pPr>
      <w:r>
        <w:rPr>
          <w:rFonts w:hint="eastAsia" w:asciiTheme="minorEastAsia" w:hAnsiTheme="minorEastAsia"/>
          <w:sz w:val="24"/>
        </w:rPr>
        <w:t>证券代码：</w:t>
      </w:r>
      <w:r>
        <w:rPr>
          <w:rFonts w:asciiTheme="minorEastAsia" w:hAnsiTheme="minorEastAsia"/>
          <w:sz w:val="24"/>
        </w:rPr>
        <w:t>600054(</w:t>
      </w:r>
      <w:r>
        <w:rPr>
          <w:rFonts w:hint="eastAsia" w:asciiTheme="minorEastAsia" w:hAnsiTheme="minorEastAsia"/>
          <w:sz w:val="24"/>
        </w:rPr>
        <w:t>Ａ股</w:t>
      </w:r>
      <w:r>
        <w:rPr>
          <w:rFonts w:asciiTheme="minorEastAsia" w:hAnsiTheme="minorEastAsia"/>
          <w:sz w:val="24"/>
        </w:rPr>
        <w:t xml:space="preserve">)    </w:t>
      </w:r>
      <w:r>
        <w:rPr>
          <w:rFonts w:hint="eastAsia" w:asciiTheme="minorEastAsia" w:hAnsiTheme="minorEastAsia"/>
          <w:sz w:val="24"/>
        </w:rPr>
        <w:t xml:space="preserve">                    股票简称：黄山旅游</w:t>
      </w:r>
      <w:r>
        <w:rPr>
          <w:rFonts w:asciiTheme="minorEastAsia" w:hAnsiTheme="minorEastAsia"/>
          <w:sz w:val="24"/>
        </w:rPr>
        <w:t>(</w:t>
      </w:r>
      <w:r>
        <w:rPr>
          <w:rFonts w:hint="eastAsia" w:asciiTheme="minorEastAsia" w:hAnsiTheme="minorEastAsia"/>
          <w:sz w:val="24"/>
        </w:rPr>
        <w:t>Ａ股</w:t>
      </w:r>
      <w:r>
        <w:rPr>
          <w:rFonts w:asciiTheme="minorEastAsia" w:hAnsiTheme="minorEastAsia"/>
          <w:sz w:val="24"/>
        </w:rPr>
        <w:t>)</w:t>
      </w:r>
    </w:p>
    <w:p w14:paraId="66CF6EB2">
      <w:pPr>
        <w:spacing w:line="480" w:lineRule="exact"/>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 xml:space="preserve"> </w:t>
      </w:r>
      <w:r>
        <w:rPr>
          <w:rFonts w:asciiTheme="minorEastAsia" w:hAnsiTheme="minorEastAsia"/>
          <w:sz w:val="24"/>
        </w:rPr>
        <w:t>900942(</w:t>
      </w:r>
      <w:r>
        <w:rPr>
          <w:rFonts w:hint="eastAsia" w:asciiTheme="minorEastAsia" w:hAnsiTheme="minorEastAsia"/>
          <w:sz w:val="24"/>
        </w:rPr>
        <w:t>Ｂ股</w:t>
      </w:r>
      <w:r>
        <w:rPr>
          <w:rFonts w:asciiTheme="minorEastAsia" w:hAnsiTheme="minorEastAsia"/>
          <w:sz w:val="24"/>
        </w:rPr>
        <w:t xml:space="preserve">)          </w:t>
      </w:r>
      <w:r>
        <w:rPr>
          <w:rFonts w:hint="eastAsia" w:asciiTheme="minorEastAsia" w:hAnsiTheme="minorEastAsia"/>
          <w:sz w:val="24"/>
        </w:rPr>
        <w:t xml:space="preserve">                       黄山Ｂ股</w:t>
      </w:r>
      <w:r>
        <w:rPr>
          <w:rFonts w:asciiTheme="minorEastAsia" w:hAnsiTheme="minorEastAsia"/>
          <w:sz w:val="24"/>
        </w:rPr>
        <w:t>(</w:t>
      </w:r>
      <w:r>
        <w:rPr>
          <w:rFonts w:hint="eastAsia" w:asciiTheme="minorEastAsia" w:hAnsiTheme="minorEastAsia"/>
          <w:sz w:val="24"/>
        </w:rPr>
        <w:t>Ｂ股</w:t>
      </w:r>
      <w:r>
        <w:rPr>
          <w:rFonts w:asciiTheme="minorEastAsia" w:hAnsiTheme="minorEastAsia"/>
          <w:sz w:val="24"/>
        </w:rPr>
        <w:t>)</w:t>
      </w:r>
    </w:p>
    <w:p w14:paraId="4119D847">
      <w:pPr>
        <w:spacing w:line="480" w:lineRule="exact"/>
        <w:rPr>
          <w:bCs/>
          <w:iCs/>
          <w:color w:val="000000"/>
          <w:sz w:val="24"/>
        </w:rPr>
      </w:pPr>
    </w:p>
    <w:p w14:paraId="5F94D9B0">
      <w:pPr>
        <w:spacing w:line="480" w:lineRule="exact"/>
        <w:jc w:val="center"/>
        <w:rPr>
          <w:rFonts w:ascii="宋体" w:hAnsi="宋体"/>
          <w:b/>
          <w:bCs/>
          <w:iCs/>
          <w:color w:val="FF0000"/>
          <w:sz w:val="32"/>
          <w:szCs w:val="32"/>
        </w:rPr>
      </w:pPr>
      <w:r>
        <w:rPr>
          <w:rFonts w:ascii="宋体" w:hAnsi="宋体"/>
          <w:b/>
          <w:bCs/>
          <w:iCs/>
          <w:color w:val="FF0000"/>
          <w:sz w:val="32"/>
          <w:szCs w:val="32"/>
        </w:rPr>
        <w:t>黄山旅游发展股份有限公司</w:t>
      </w:r>
    </w:p>
    <w:p w14:paraId="39947A58">
      <w:pPr>
        <w:spacing w:line="480" w:lineRule="exact"/>
        <w:jc w:val="center"/>
        <w:rPr>
          <w:rFonts w:hint="eastAsia" w:ascii="宋体" w:hAnsi="宋体"/>
          <w:b/>
          <w:bCs/>
          <w:iCs/>
          <w:color w:val="FF0000"/>
          <w:sz w:val="32"/>
          <w:szCs w:val="32"/>
        </w:rPr>
      </w:pPr>
      <w:r>
        <w:rPr>
          <w:rFonts w:hint="eastAsia" w:ascii="宋体" w:hAnsi="宋体"/>
          <w:b/>
          <w:bCs/>
          <w:iCs/>
          <w:color w:val="FF0000"/>
          <w:sz w:val="32"/>
          <w:szCs w:val="32"/>
        </w:rPr>
        <w:t>投资者关系活动记录表</w:t>
      </w:r>
    </w:p>
    <w:p w14:paraId="4D9E1E59">
      <w:pPr>
        <w:spacing w:line="440" w:lineRule="exact"/>
        <w:jc w:val="center"/>
        <w:rPr>
          <w:rFonts w:hint="eastAsia" w:ascii="Times New Roman" w:hAnsi="宋体" w:eastAsia="宋体" w:cs="Times New Roman"/>
          <w:bCs/>
          <w:iCs/>
          <w:color w:val="000000"/>
          <w:kern w:val="0"/>
          <w:sz w:val="24"/>
        </w:rPr>
      </w:pPr>
    </w:p>
    <w:p w14:paraId="10266301">
      <w:pPr>
        <w:spacing w:line="440" w:lineRule="exact"/>
        <w:jc w:val="right"/>
        <w:rPr>
          <w:rFonts w:ascii="宋体" w:hAnsi="宋体" w:cs="宋体"/>
          <w:bCs/>
          <w:iCs/>
          <w:color w:val="000000"/>
          <w:sz w:val="24"/>
        </w:rPr>
      </w:pPr>
      <w:r>
        <w:rPr>
          <w:rFonts w:hint="eastAsia"/>
          <w:bCs/>
          <w:iCs/>
          <w:color w:val="000000"/>
          <w:sz w:val="24"/>
        </w:rPr>
        <w:t>编号：</w:t>
      </w:r>
      <w:r>
        <w:rPr>
          <w:rFonts w:hint="eastAsia" w:ascii="宋体" w:hAnsi="宋体" w:cs="宋体"/>
          <w:bCs/>
          <w:iCs/>
          <w:color w:val="000000"/>
          <w:sz w:val="24"/>
        </w:rPr>
        <w:t>2025-001</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1"/>
      </w:tblGrid>
      <w:tr w14:paraId="126E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Borders>
              <w:top w:val="single" w:color="auto" w:sz="4" w:space="0"/>
              <w:left w:val="single" w:color="auto" w:sz="4" w:space="0"/>
              <w:bottom w:val="single" w:color="auto" w:sz="4" w:space="0"/>
              <w:right w:val="single" w:color="auto" w:sz="4" w:space="0"/>
            </w:tcBorders>
            <w:vAlign w:val="center"/>
          </w:tcPr>
          <w:p w14:paraId="3A932AE8">
            <w:pPr>
              <w:spacing w:line="440" w:lineRule="exact"/>
              <w:rPr>
                <w:bCs/>
                <w:iCs/>
                <w:color w:val="000000"/>
                <w:sz w:val="24"/>
              </w:rPr>
            </w:pPr>
            <w:r>
              <w:rPr>
                <w:rFonts w:hAnsi="宋体"/>
                <w:bCs/>
                <w:iCs/>
                <w:color w:val="000000"/>
                <w:kern w:val="0"/>
                <w:sz w:val="24"/>
              </w:rPr>
              <w:t>投资者关系活动类别</w:t>
            </w:r>
          </w:p>
        </w:tc>
        <w:tc>
          <w:tcPr>
            <w:tcW w:w="3879" w:type="pct"/>
            <w:tcBorders>
              <w:top w:val="single" w:color="auto" w:sz="4" w:space="0"/>
              <w:left w:val="single" w:color="auto" w:sz="4" w:space="0"/>
              <w:bottom w:val="single" w:color="auto" w:sz="4" w:space="0"/>
              <w:right w:val="single" w:color="auto" w:sz="4" w:space="0"/>
            </w:tcBorders>
            <w:vAlign w:val="center"/>
          </w:tcPr>
          <w:p w14:paraId="3AE1D21C">
            <w:pPr>
              <w:spacing w:line="44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04464F1F">
            <w:pPr>
              <w:spacing w:line="44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18560EAA">
            <w:pPr>
              <w:spacing w:line="44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859F582">
            <w:pPr>
              <w:tabs>
                <w:tab w:val="left" w:pos="2570"/>
                <w:tab w:val="center" w:pos="3199"/>
              </w:tabs>
              <w:spacing w:line="44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p>
          <w:p w14:paraId="37CB6F01">
            <w:pPr>
              <w:tabs>
                <w:tab w:val="left" w:pos="2570"/>
                <w:tab w:val="center" w:pos="3199"/>
              </w:tabs>
              <w:spacing w:line="44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p>
        </w:tc>
      </w:tr>
      <w:tr w14:paraId="6B1E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Borders>
              <w:top w:val="single" w:color="auto" w:sz="4" w:space="0"/>
              <w:left w:val="single" w:color="auto" w:sz="4" w:space="0"/>
              <w:bottom w:val="single" w:color="auto" w:sz="4" w:space="0"/>
              <w:right w:val="single" w:color="auto" w:sz="4" w:space="0"/>
            </w:tcBorders>
            <w:vAlign w:val="center"/>
          </w:tcPr>
          <w:p w14:paraId="2DEDBE64">
            <w:pPr>
              <w:spacing w:line="440" w:lineRule="exact"/>
              <w:rPr>
                <w:bCs/>
                <w:iCs/>
                <w:color w:val="000000"/>
                <w:kern w:val="0"/>
                <w:sz w:val="24"/>
              </w:rPr>
            </w:pPr>
            <w:r>
              <w:rPr>
                <w:rFonts w:hAnsi="宋体"/>
                <w:bCs/>
                <w:iCs/>
                <w:color w:val="000000"/>
                <w:kern w:val="0"/>
                <w:sz w:val="24"/>
              </w:rPr>
              <w:t>参与单位名称及人员姓名</w:t>
            </w:r>
          </w:p>
        </w:tc>
        <w:tc>
          <w:tcPr>
            <w:tcW w:w="3879" w:type="pct"/>
            <w:tcBorders>
              <w:top w:val="single" w:color="auto" w:sz="4" w:space="0"/>
              <w:left w:val="single" w:color="auto" w:sz="4" w:space="0"/>
              <w:bottom w:val="single" w:color="auto" w:sz="4" w:space="0"/>
              <w:right w:val="single" w:color="auto" w:sz="4" w:space="0"/>
            </w:tcBorders>
            <w:vAlign w:val="center"/>
          </w:tcPr>
          <w:p w14:paraId="14ADD055">
            <w:pPr>
              <w:spacing w:line="440" w:lineRule="exact"/>
              <w:rPr>
                <w:bCs/>
                <w:iCs/>
                <w:color w:val="000000"/>
                <w:sz w:val="24"/>
                <w:lang w:val="en-GB"/>
              </w:rPr>
            </w:pPr>
            <w:r>
              <w:rPr>
                <w:bCs/>
                <w:iCs/>
                <w:color w:val="000000"/>
                <w:sz w:val="24"/>
              </w:rPr>
              <w:t>参与黄山旅游2024年年度暨2025年第一季度业绩说明会的</w:t>
            </w:r>
            <w:r>
              <w:rPr>
                <w:bCs/>
                <w:iCs/>
                <w:color w:val="000000"/>
                <w:sz w:val="24"/>
                <w:lang w:val="en-GB"/>
              </w:rPr>
              <w:t>投资者</w:t>
            </w:r>
          </w:p>
        </w:tc>
      </w:tr>
      <w:tr w14:paraId="0178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Borders>
              <w:top w:val="single" w:color="auto" w:sz="4" w:space="0"/>
              <w:left w:val="single" w:color="auto" w:sz="4" w:space="0"/>
              <w:bottom w:val="single" w:color="auto" w:sz="4" w:space="0"/>
              <w:right w:val="single" w:color="auto" w:sz="4" w:space="0"/>
            </w:tcBorders>
            <w:vAlign w:val="center"/>
          </w:tcPr>
          <w:p w14:paraId="7981CEE8">
            <w:pPr>
              <w:spacing w:line="440" w:lineRule="exact"/>
              <w:rPr>
                <w:bCs/>
                <w:iCs/>
                <w:color w:val="000000"/>
                <w:kern w:val="0"/>
                <w:sz w:val="24"/>
              </w:rPr>
            </w:pPr>
            <w:r>
              <w:rPr>
                <w:rFonts w:hAnsi="宋体"/>
                <w:bCs/>
                <w:iCs/>
                <w:color w:val="000000"/>
                <w:kern w:val="0"/>
                <w:sz w:val="24"/>
              </w:rPr>
              <w:t>时间</w:t>
            </w:r>
          </w:p>
        </w:tc>
        <w:tc>
          <w:tcPr>
            <w:tcW w:w="3879" w:type="pct"/>
            <w:tcBorders>
              <w:top w:val="single" w:color="auto" w:sz="4" w:space="0"/>
              <w:left w:val="single" w:color="auto" w:sz="4" w:space="0"/>
              <w:bottom w:val="single" w:color="auto" w:sz="4" w:space="0"/>
              <w:right w:val="single" w:color="auto" w:sz="4" w:space="0"/>
            </w:tcBorders>
            <w:vAlign w:val="center"/>
          </w:tcPr>
          <w:p w14:paraId="03EBA07B">
            <w:pPr>
              <w:spacing w:line="440" w:lineRule="exact"/>
              <w:rPr>
                <w:bCs/>
                <w:iCs/>
                <w:color w:val="000000"/>
                <w:sz w:val="24"/>
              </w:rPr>
            </w:pPr>
            <w:r>
              <w:rPr>
                <w:bCs/>
                <w:iCs/>
                <w:color w:val="000000"/>
                <w:sz w:val="24"/>
              </w:rPr>
              <w:t>2025年5月7日（周三）上午10:00-11:00</w:t>
            </w:r>
          </w:p>
        </w:tc>
      </w:tr>
      <w:tr w14:paraId="61E4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Borders>
              <w:top w:val="single" w:color="auto" w:sz="4" w:space="0"/>
              <w:left w:val="single" w:color="auto" w:sz="4" w:space="0"/>
              <w:bottom w:val="single" w:color="auto" w:sz="4" w:space="0"/>
              <w:right w:val="single" w:color="auto" w:sz="4" w:space="0"/>
            </w:tcBorders>
            <w:vAlign w:val="center"/>
          </w:tcPr>
          <w:p w14:paraId="7F665B5A">
            <w:pPr>
              <w:spacing w:line="440" w:lineRule="exact"/>
              <w:rPr>
                <w:bCs/>
                <w:iCs/>
                <w:color w:val="000000"/>
                <w:kern w:val="0"/>
                <w:sz w:val="24"/>
              </w:rPr>
            </w:pPr>
            <w:r>
              <w:rPr>
                <w:rFonts w:hAnsi="宋体"/>
                <w:bCs/>
                <w:iCs/>
                <w:color w:val="000000"/>
                <w:kern w:val="0"/>
                <w:sz w:val="24"/>
              </w:rPr>
              <w:t>地点</w:t>
            </w:r>
          </w:p>
        </w:tc>
        <w:tc>
          <w:tcPr>
            <w:tcW w:w="3879" w:type="pct"/>
            <w:tcBorders>
              <w:top w:val="single" w:color="auto" w:sz="4" w:space="0"/>
              <w:left w:val="single" w:color="auto" w:sz="4" w:space="0"/>
              <w:bottom w:val="single" w:color="auto" w:sz="4" w:space="0"/>
              <w:right w:val="single" w:color="auto" w:sz="4" w:space="0"/>
            </w:tcBorders>
            <w:vAlign w:val="center"/>
          </w:tcPr>
          <w:p w14:paraId="14CB9A23">
            <w:pPr>
              <w:spacing w:line="440" w:lineRule="exact"/>
              <w:rPr>
                <w:bCs/>
                <w:iCs/>
                <w:color w:val="000000"/>
                <w:sz w:val="24"/>
              </w:rPr>
            </w:pPr>
            <w:r>
              <w:rPr>
                <w:bCs/>
                <w:sz w:val="24"/>
              </w:rPr>
              <w:t>全景网“</w:t>
            </w:r>
            <w:r>
              <w:rPr>
                <w:sz w:val="24"/>
              </w:rPr>
              <w:t>投资者关系互动平台</w:t>
            </w:r>
            <w:r>
              <w:rPr>
                <w:bCs/>
                <w:sz w:val="24"/>
              </w:rPr>
              <w:t>”（https://ir.p5w.net）</w:t>
            </w:r>
          </w:p>
        </w:tc>
      </w:tr>
      <w:tr w14:paraId="447E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Borders>
              <w:top w:val="single" w:color="auto" w:sz="4" w:space="0"/>
              <w:left w:val="single" w:color="auto" w:sz="4" w:space="0"/>
              <w:bottom w:val="single" w:color="auto" w:sz="4" w:space="0"/>
              <w:right w:val="single" w:color="auto" w:sz="4" w:space="0"/>
            </w:tcBorders>
            <w:vAlign w:val="center"/>
          </w:tcPr>
          <w:p w14:paraId="288855A4">
            <w:pPr>
              <w:spacing w:line="440" w:lineRule="exact"/>
              <w:rPr>
                <w:bCs/>
                <w:iCs/>
                <w:color w:val="000000"/>
                <w:kern w:val="0"/>
                <w:sz w:val="24"/>
              </w:rPr>
            </w:pPr>
            <w:r>
              <w:rPr>
                <w:rFonts w:hAnsi="宋体"/>
                <w:bCs/>
                <w:iCs/>
                <w:color w:val="000000"/>
                <w:kern w:val="0"/>
                <w:sz w:val="24"/>
              </w:rPr>
              <w:t>上市公司接待人员姓名</w:t>
            </w:r>
          </w:p>
        </w:tc>
        <w:tc>
          <w:tcPr>
            <w:tcW w:w="3879" w:type="pct"/>
            <w:tcBorders>
              <w:top w:val="single" w:color="auto" w:sz="4" w:space="0"/>
              <w:left w:val="single" w:color="auto" w:sz="4" w:space="0"/>
              <w:bottom w:val="single" w:color="auto" w:sz="4" w:space="0"/>
              <w:right w:val="single" w:color="auto" w:sz="4" w:space="0"/>
            </w:tcBorders>
            <w:vAlign w:val="center"/>
          </w:tcPr>
          <w:p w14:paraId="6301509A">
            <w:pPr>
              <w:spacing w:line="440" w:lineRule="exact"/>
              <w:rPr>
                <w:bCs/>
                <w:sz w:val="24"/>
              </w:rPr>
            </w:pPr>
            <w:r>
              <w:rPr>
                <w:bCs/>
                <w:sz w:val="24"/>
              </w:rPr>
              <w:t>公司董事长章德辉，董事、总裁孙峻，独立董事吴忠生，董事、高级副总裁兼董事会秘书丁维，总会计师王雁</w:t>
            </w:r>
          </w:p>
        </w:tc>
      </w:tr>
      <w:tr w14:paraId="723A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Borders>
              <w:top w:val="single" w:color="auto" w:sz="4" w:space="0"/>
              <w:left w:val="single" w:color="auto" w:sz="4" w:space="0"/>
              <w:bottom w:val="single" w:color="auto" w:sz="4" w:space="0"/>
              <w:right w:val="single" w:color="auto" w:sz="4" w:space="0"/>
            </w:tcBorders>
            <w:vAlign w:val="center"/>
          </w:tcPr>
          <w:p w14:paraId="62ABDB07">
            <w:pPr>
              <w:spacing w:line="440" w:lineRule="exact"/>
              <w:rPr>
                <w:bCs/>
                <w:iCs/>
                <w:color w:val="000000"/>
                <w:kern w:val="0"/>
                <w:sz w:val="24"/>
              </w:rPr>
            </w:pPr>
            <w:r>
              <w:rPr>
                <w:rFonts w:hAnsi="宋体"/>
                <w:bCs/>
                <w:iCs/>
                <w:color w:val="000000"/>
                <w:kern w:val="0"/>
                <w:sz w:val="24"/>
              </w:rPr>
              <w:t>投资者关系活动主要内容介绍</w:t>
            </w:r>
          </w:p>
        </w:tc>
        <w:tc>
          <w:tcPr>
            <w:tcW w:w="3879" w:type="pct"/>
            <w:tcBorders>
              <w:top w:val="single" w:color="auto" w:sz="4" w:space="0"/>
              <w:left w:val="single" w:color="auto" w:sz="4" w:space="0"/>
              <w:bottom w:val="single" w:color="auto" w:sz="4" w:space="0"/>
              <w:right w:val="single" w:color="auto" w:sz="4" w:space="0"/>
            </w:tcBorders>
            <w:vAlign w:val="center"/>
          </w:tcPr>
          <w:p w14:paraId="6EAEAA22">
            <w:pPr>
              <w:pStyle w:val="7"/>
              <w:spacing w:line="440" w:lineRule="exact"/>
              <w:ind w:firstLine="482"/>
              <w:rPr>
                <w:rFonts w:ascii="Times New Roman" w:hAnsi="Times New Roman"/>
                <w:b/>
                <w:sz w:val="24"/>
                <w:szCs w:val="24"/>
              </w:rPr>
            </w:pPr>
            <w:r>
              <w:rPr>
                <w:rFonts w:ascii="Times New Roman" w:hAnsi="Times New Roman"/>
                <w:b/>
                <w:sz w:val="24"/>
                <w:szCs w:val="24"/>
              </w:rPr>
              <w:t>1、请问黄山景区一季度接待人数同比大幅增长的主要驱动因素是什么？目前黄山景区的客源地游客的构成占比是什么？</w:t>
            </w:r>
          </w:p>
          <w:p w14:paraId="31F9832E">
            <w:pPr>
              <w:spacing w:line="440" w:lineRule="exact"/>
              <w:ind w:firstLine="480" w:firstLineChars="200"/>
              <w:rPr>
                <w:sz w:val="24"/>
              </w:rPr>
            </w:pPr>
            <w:r>
              <w:rPr>
                <w:sz w:val="24"/>
              </w:rPr>
              <w:t>答：2025年第一季度，黄山景区累计接待进山游客101.20万人，较去年同期82.72万人增加18.48万人，增幅22.34%。公司围绕“自然奇观+文化传承”双IP矩阵，始终秉着从游客需求出发，同时结合市场数据，针对市场和客群分区分层分级，精准施策，不断创新营销</w:t>
            </w:r>
            <w:bookmarkStart w:id="0" w:name="_GoBack"/>
            <w:bookmarkEnd w:id="0"/>
            <w:r>
              <w:rPr>
                <w:sz w:val="24"/>
              </w:rPr>
              <w:t>打法。具体表现在以下几个方面：</w:t>
            </w:r>
            <w:r>
              <w:rPr>
                <w:b/>
                <w:bCs/>
                <w:sz w:val="24"/>
              </w:rPr>
              <w:t>一是优化营销政策。</w:t>
            </w:r>
            <w:r>
              <w:rPr>
                <w:sz w:val="24"/>
              </w:rPr>
              <w:t>一季度先后推出“烟雨黄山 文旅惠民”政策，惠及14.58万人；“三八节免票”政策，7天累计接待女性游客5.12万人；另面向银发、研学等专项团队市场，推出一系列相关政策。</w:t>
            </w:r>
            <w:r>
              <w:rPr>
                <w:b/>
                <w:bCs/>
                <w:sz w:val="24"/>
              </w:rPr>
              <w:t>二是持续宣传种草。</w:t>
            </w:r>
            <w:r>
              <w:rPr>
                <w:sz w:val="24"/>
              </w:rPr>
              <w:t>充分发挥公司新媒体矩阵内容种草和传播能力，分时段结合营销主题开展系列宣传活动，展现黄山文化的魅力，促进文化旅游融合。一季度共发布视频 3,897条同比增长18%、3,542万观看量同比增长129%，直播1,498场同比增长24.8%、观看2,188万同比增长135%，累计获赞量1.25亿。</w:t>
            </w:r>
            <w:r>
              <w:rPr>
                <w:b/>
                <w:bCs/>
                <w:sz w:val="24"/>
              </w:rPr>
              <w:t>三是加强渠道合作。</w:t>
            </w:r>
            <w:r>
              <w:rPr>
                <w:sz w:val="24"/>
              </w:rPr>
              <w:t>一方面线上充分借助公域平台流量，同携程等OTA平台开展深入合作，如携程高钻会员专项合作，通过优化服务内容，提升游客游玩体验，3月份上线以来，山上两家高端山宿出租数同比分别增长58%和70%；另一方面，联合线下渠道，聚焦入境、研学、银发等专项市场，以营销小分队形式走进客源地，开展专项推介活动。</w:t>
            </w:r>
            <w:r>
              <w:rPr>
                <w:b/>
                <w:bCs/>
                <w:sz w:val="24"/>
              </w:rPr>
              <w:t>四是创新产品供给。</w:t>
            </w:r>
            <w:r>
              <w:rPr>
                <w:sz w:val="24"/>
              </w:rPr>
              <w:t>在1月份相对淡季，联合携程、美团、飞猪、抖音等渠道，继续开展冬游大促活动，围绕“黄山之巅过大年”IP，推出十余款优质景酒套餐产品，大促活动实现品牌总曝光量超9.5亿次，总支付GMV4,070万；另外，为了提升游客行前对产品的体验感知，聚焦研学、康养、入境、银发等人群，推出一系列可视化产品。</w:t>
            </w:r>
            <w:r>
              <w:rPr>
                <w:b/>
                <w:bCs/>
                <w:sz w:val="24"/>
              </w:rPr>
              <w:t>五是深化跨界合作。</w:t>
            </w:r>
            <w:r>
              <w:rPr>
                <w:sz w:val="24"/>
              </w:rPr>
              <w:t>积极推进“黄山+”战略，创新营销活动玩法，拓宽营销视野与边界，多元化触达用户，提升黄山品牌影响力和市场声量。1月份联合美团、诛仙世界发布国内五大景区联动视频，活动总曝光近千万；3月份联合国潮新锐美甲领导品牌指朴（fingerbook）共同策划“女神节跨界营销活动”，活动总曝光破2.3亿；4月份联合洽洽瓜子开展“带上洽洽，人间四月游黄山”活动，同时推出联名款瓜子在多个城市零售终端上架，活动总曝光超2,000万。</w:t>
            </w:r>
          </w:p>
          <w:p w14:paraId="13DEDC0E">
            <w:pPr>
              <w:spacing w:line="440" w:lineRule="exact"/>
              <w:ind w:firstLine="480" w:firstLineChars="200"/>
              <w:rPr>
                <w:sz w:val="24"/>
              </w:rPr>
            </w:pPr>
            <w:r>
              <w:rPr>
                <w:sz w:val="24"/>
              </w:rPr>
              <w:t>景区游客客源地构成：黄山景区客源地结构相对稳定。一季度，长三角区域仍是景区核心客源地，其中省内游客占比17.2%，江苏游客占比15.2%，浙江游客占比14.5%，上海游客占比6.5%；排名前十的其他省（市）依次排序分别是广东游客占比6.2%，河南游客占比4.2%，山东游客占比4.0%，福建游客占比3.8%，江西游客占比3.6%，北京游客占比3.3%。</w:t>
            </w:r>
          </w:p>
          <w:p w14:paraId="16C6067E">
            <w:pPr>
              <w:pStyle w:val="7"/>
              <w:spacing w:line="440" w:lineRule="exact"/>
              <w:ind w:firstLine="482"/>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、北海宾馆环境整治改造项目延期至2025年9月。请问延期的具体原因是什么？公司采取了哪些措施确保项目质量和进度？</w:t>
            </w:r>
          </w:p>
          <w:p w14:paraId="2684327A">
            <w:pPr>
              <w:spacing w:line="440" w:lineRule="exact"/>
              <w:ind w:firstLine="480" w:firstLineChars="200"/>
              <w:rPr>
                <w:sz w:val="24"/>
              </w:rPr>
            </w:pPr>
            <w:r>
              <w:rPr>
                <w:sz w:val="24"/>
              </w:rPr>
              <w:t>答：黄山风景名胜区北海宾馆环境整治改造项目经历三年疫情冲击等原因导致延缓，疫情过后，公司采取了加强力量、强化调度等举措，项目进度明显提速。但因黄山景区实际，项目施工物资运输依赖人力肩运，而肩运人员数量近年来呈一定下降趋势，同时专项货运索道经申报后因景区规划等原因未获审批，载货无人机等运输方式运输量有限，项目施工物资运输问题未能按原计划得到有效解决，同时受2024年雨水天气较多，特别是6月份强降雨天气影响，施工现场经常采取临时停工措施以保证施工人员及财产安全，进一步制约了项目推进。多方面因素的综合影响导致本项目建设进度有所延后。公司将加强项目建设进度和质量监督，加强募集资金使用管理，积极合理调配现有资源，采取相应的应对措施，促进项目有序进行，并确保项目质量。具体详见公司2024-046号公告。</w:t>
            </w:r>
          </w:p>
          <w:p w14:paraId="4189BF57">
            <w:pPr>
              <w:pStyle w:val="7"/>
              <w:spacing w:line="440" w:lineRule="exact"/>
              <w:ind w:firstLine="482"/>
              <w:rPr>
                <w:rFonts w:ascii="Times New Roman" w:hAnsi="Times New Roman"/>
                <w:b/>
                <w:sz w:val="24"/>
                <w:szCs w:val="24"/>
              </w:rPr>
            </w:pPr>
            <w:r>
              <w:rPr>
                <w:rFonts w:hint="eastAsia" w:ascii="Times New Roman" w:hAnsi="Times New Roman"/>
                <w:b/>
                <w:sz w:val="24"/>
                <w:szCs w:val="24"/>
              </w:rPr>
              <w:t>3</w:t>
            </w:r>
            <w:r>
              <w:rPr>
                <w:rFonts w:ascii="Times New Roman" w:hAnsi="Times New Roman"/>
                <w:b/>
                <w:sz w:val="24"/>
                <w:szCs w:val="24"/>
              </w:rPr>
              <w:t>、公司股价一直很低迷，市值管理难道不考虑吗？</w:t>
            </w:r>
          </w:p>
          <w:p w14:paraId="73BE01B8">
            <w:pPr>
              <w:spacing w:line="440" w:lineRule="exact"/>
              <w:ind w:firstLine="480" w:firstLineChars="200"/>
              <w:rPr>
                <w:sz w:val="24"/>
              </w:rPr>
            </w:pPr>
            <w:r>
              <w:rPr>
                <w:sz w:val="24"/>
              </w:rPr>
              <w:t>答：公司始终关注自身在资本市场的价值体现，专注做好主业，致力于通过持续提升经营业绩体现公司内在价值，不断加强投资者关系管理，打造包括信息披露、业绩说明会、投资者调研、E互动问答、投资者热线等多渠道沟通体系，加强与机构投资者及广大中小投资者的沟通交流，有效传递公司价值，切实维护股东权益；2019年以来公司累计分红6.78亿，位于景区类上市公司前列。未来，公司将在充分考虑行业发展、内外部经营环境以及公司实际情况的基础上，兼顾股东利益和公司未来发展规划，拟定相关利润分配方案，并提交公司股东大会审批。</w:t>
            </w:r>
          </w:p>
          <w:p w14:paraId="6E0FDD19">
            <w:pPr>
              <w:pStyle w:val="7"/>
              <w:spacing w:line="440" w:lineRule="exact"/>
              <w:ind w:firstLine="482"/>
              <w:rPr>
                <w:rFonts w:ascii="Times New Roman" w:hAnsi="Times New Roman"/>
                <w:b/>
                <w:sz w:val="24"/>
                <w:szCs w:val="24"/>
              </w:rPr>
            </w:pPr>
            <w:r>
              <w:rPr>
                <w:rFonts w:hint="eastAsia" w:ascii="Times New Roman" w:hAnsi="Times New Roman"/>
                <w:b/>
                <w:sz w:val="24"/>
                <w:szCs w:val="24"/>
              </w:rPr>
              <w:t>4</w:t>
            </w:r>
            <w:r>
              <w:rPr>
                <w:rFonts w:ascii="Times New Roman" w:hAnsi="Times New Roman"/>
                <w:b/>
                <w:sz w:val="24"/>
                <w:szCs w:val="24"/>
              </w:rPr>
              <w:t>、请问章总，东海公司的运营是否与股份公司造成同业竞争</w:t>
            </w:r>
            <w:r>
              <w:rPr>
                <w:rFonts w:hint="eastAsia" w:ascii="Times New Roman" w:hAnsi="Times New Roman"/>
                <w:b/>
                <w:sz w:val="24"/>
                <w:szCs w:val="24"/>
              </w:rPr>
              <w:t>？</w:t>
            </w:r>
          </w:p>
          <w:p w14:paraId="60CF8FF8">
            <w:pPr>
              <w:spacing w:line="440" w:lineRule="exact"/>
              <w:ind w:firstLine="480" w:firstLineChars="200"/>
              <w:rPr>
                <w:sz w:val="24"/>
              </w:rPr>
            </w:pPr>
            <w:r>
              <w:rPr>
                <w:sz w:val="24"/>
              </w:rPr>
              <w:t>答：黄山东海景区开发有限公司为黄山旅游集团有限公司全资子公司，主要负责东黄山景区项目开发，目前尚未投入运营。</w:t>
            </w:r>
          </w:p>
          <w:p w14:paraId="4E33ECA4">
            <w:pPr>
              <w:pStyle w:val="7"/>
              <w:spacing w:line="440" w:lineRule="exact"/>
              <w:ind w:firstLine="482"/>
              <w:rPr>
                <w:rFonts w:ascii="Times New Roman" w:hAnsi="Times New Roman"/>
                <w:b/>
                <w:sz w:val="24"/>
                <w:szCs w:val="24"/>
              </w:rPr>
            </w:pPr>
            <w:r>
              <w:rPr>
                <w:rFonts w:hint="eastAsia" w:ascii="Times New Roman" w:hAnsi="Times New Roman"/>
                <w:b/>
                <w:sz w:val="24"/>
                <w:szCs w:val="24"/>
              </w:rPr>
              <w:t>5</w:t>
            </w:r>
            <w:r>
              <w:rPr>
                <w:rFonts w:ascii="Times New Roman" w:hAnsi="Times New Roman"/>
                <w:b/>
                <w:sz w:val="24"/>
                <w:szCs w:val="24"/>
              </w:rPr>
              <w:t>、公司有没有再次回购B股注销，达到增厚每股业绩的设想？</w:t>
            </w:r>
          </w:p>
          <w:p w14:paraId="25307E2D">
            <w:pPr>
              <w:spacing w:line="440" w:lineRule="exact"/>
              <w:ind w:firstLine="480" w:firstLineChars="200"/>
              <w:rPr>
                <w:sz w:val="24"/>
              </w:rPr>
            </w:pPr>
            <w:r>
              <w:rPr>
                <w:sz w:val="24"/>
              </w:rPr>
              <w:t>答：目前无此计划，后续如有相关计划，公司将严格按照有关法律法规及时履行信息披露义务。</w:t>
            </w:r>
          </w:p>
          <w:p w14:paraId="22A94EFC">
            <w:pPr>
              <w:pStyle w:val="7"/>
              <w:spacing w:line="440" w:lineRule="exact"/>
              <w:ind w:firstLine="482"/>
              <w:rPr>
                <w:rFonts w:ascii="Times New Roman" w:hAnsi="Times New Roman"/>
                <w:b/>
                <w:sz w:val="24"/>
                <w:szCs w:val="24"/>
              </w:rPr>
            </w:pPr>
            <w:r>
              <w:rPr>
                <w:rFonts w:hint="eastAsia" w:ascii="Times New Roman" w:hAnsi="Times New Roman"/>
                <w:b/>
                <w:sz w:val="24"/>
                <w:szCs w:val="24"/>
              </w:rPr>
              <w:t>6</w:t>
            </w:r>
            <w:r>
              <w:rPr>
                <w:rFonts w:ascii="Times New Roman" w:hAnsi="Times New Roman"/>
                <w:b/>
                <w:sz w:val="24"/>
                <w:szCs w:val="24"/>
              </w:rPr>
              <w:t>、高管您好，请问您如何看待行业未来的发展前景？谢谢。</w:t>
            </w:r>
          </w:p>
          <w:p w14:paraId="56606838">
            <w:pPr>
              <w:spacing w:line="440" w:lineRule="exact"/>
              <w:ind w:firstLine="480" w:firstLineChars="200"/>
              <w:rPr>
                <w:sz w:val="24"/>
              </w:rPr>
            </w:pPr>
            <w:r>
              <w:rPr>
                <w:sz w:val="24"/>
              </w:rPr>
              <w:t>答：根据国内旅游抽样调查统计结果，2024年，国内出游人次56.15亿，比上年同期增加7.24亿，同比增长14.8%。国内游客出游总花费5.75万亿元，比上年增加0.84万亿元，同比增长17.1%。整体来看，2024年旅游需求得到持续释放，旅游消费稳步增长，行业发展信心稳中有升，旅游市场得到持续稳定的高质量发展。从中长期来看，我国旅游市场持续向好和稳定发展格局没有改变，旅游业依然承担着稳就业和促消费的压舱石和加速器的作用。近年来宏观政策利好、旅游产业优化升级，有力激发了旅游消费意愿，旅游消费需求得到有效释放，为旅游产业的高质量发展注入了持续的内生动力，国内旅游市场呈现出稳中有进、进中向好趋势，旅游需求呈现多样化、个性化、品质化趋势，旅游业供给侧结构性改革持续推进，旅游业与其他产业跨界融合、协同发展，新产品、新业态和新模式不断涌现。</w:t>
            </w:r>
          </w:p>
          <w:p w14:paraId="31FB805A">
            <w:pPr>
              <w:pStyle w:val="7"/>
              <w:spacing w:line="440" w:lineRule="exact"/>
              <w:ind w:firstLine="482"/>
              <w:rPr>
                <w:rFonts w:ascii="Times New Roman" w:hAnsi="Times New Roman"/>
                <w:b/>
                <w:sz w:val="24"/>
                <w:szCs w:val="24"/>
              </w:rPr>
            </w:pPr>
            <w:r>
              <w:rPr>
                <w:rFonts w:hint="eastAsia" w:ascii="Times New Roman" w:hAnsi="Times New Roman"/>
                <w:b/>
                <w:sz w:val="24"/>
                <w:szCs w:val="24"/>
              </w:rPr>
              <w:t>7</w:t>
            </w:r>
            <w:r>
              <w:rPr>
                <w:rFonts w:ascii="Times New Roman" w:hAnsi="Times New Roman"/>
                <w:b/>
                <w:sz w:val="24"/>
                <w:szCs w:val="24"/>
              </w:rPr>
              <w:t>、领导，您好！我来自四川大决策 请问周边旅游景区市场竞争日益激烈，黄山旅游如何在竞争中保持自身优势，进一步提升品牌影响力？</w:t>
            </w:r>
          </w:p>
          <w:p w14:paraId="2BEFDB4D">
            <w:pPr>
              <w:spacing w:line="440" w:lineRule="exact"/>
              <w:ind w:firstLine="480" w:firstLineChars="200"/>
              <w:rPr>
                <w:sz w:val="24"/>
              </w:rPr>
            </w:pPr>
            <w:r>
              <w:rPr>
                <w:sz w:val="24"/>
              </w:rPr>
              <w:t>答：公司将在做精产品、做优服务的基础上，坚持市场化的方法、产业化的思维，积极把握大众旅游新趋势，持续推进精准营销，加大市场宣传力度，并坚持用好数智化技术进行赋能，积极推进文旅融合发展。同时公司将围绕既定发展战略，立足资源禀赋，大力发展全域旅游，构建以“旅游目的地”为竞争优势的资源布局，加快传统业务横向扩张，新兴业务纵向拓展，不断提升公司的核心竞争力和市场影响力。</w:t>
            </w:r>
          </w:p>
          <w:p w14:paraId="610DA36A">
            <w:pPr>
              <w:pStyle w:val="7"/>
              <w:spacing w:line="440" w:lineRule="exact"/>
              <w:ind w:firstLine="482"/>
              <w:rPr>
                <w:rFonts w:ascii="Times New Roman" w:hAnsi="Times New Roman"/>
                <w:b/>
                <w:sz w:val="24"/>
                <w:szCs w:val="24"/>
              </w:rPr>
            </w:pPr>
            <w:r>
              <w:rPr>
                <w:rFonts w:hint="eastAsia" w:ascii="Times New Roman" w:hAnsi="Times New Roman"/>
                <w:b/>
                <w:sz w:val="24"/>
                <w:szCs w:val="24"/>
              </w:rPr>
              <w:t>8</w:t>
            </w:r>
            <w:r>
              <w:rPr>
                <w:rFonts w:ascii="Times New Roman" w:hAnsi="Times New Roman"/>
                <w:b/>
                <w:sz w:val="24"/>
                <w:szCs w:val="24"/>
              </w:rPr>
              <w:t>、请问公司管理层，如何针对节假日高峰客流导致旅游体验不佳的问题，有什么优化方案？</w:t>
            </w:r>
          </w:p>
          <w:p w14:paraId="7A537EBA">
            <w:pPr>
              <w:pStyle w:val="7"/>
              <w:spacing w:line="440" w:lineRule="exact"/>
              <w:ind w:firstLine="480"/>
              <w:rPr>
                <w:rFonts w:ascii="Times New Roman" w:hAnsi="Times New Roman"/>
                <w:sz w:val="24"/>
                <w:szCs w:val="24"/>
              </w:rPr>
            </w:pPr>
            <w:r>
              <w:rPr>
                <w:rFonts w:ascii="Times New Roman" w:hAnsi="Times New Roman"/>
                <w:sz w:val="24"/>
                <w:szCs w:val="24"/>
              </w:rPr>
              <w:t>答：根据黄山风景区管委会公告，黄山风景区日最大承载量为4万人，其中冬季最大承载量为3万人，实际执行中将根据生态保护、接待能力及天气状况等因素进行适度调减。为充分做好景区接待工作，黄山风景区严格实行“限量、预约、错峰”管理，认真落实实名分时预约制度，充分保证游客游玩体验。未来，公司将不断加快数字化转型力度，持续优化景区内部旅游环境，提升旅游接待设施，强化人员协作分工，充分保证游客体验。</w:t>
            </w:r>
          </w:p>
          <w:p w14:paraId="1AE48618">
            <w:pPr>
              <w:pStyle w:val="7"/>
              <w:spacing w:line="440" w:lineRule="exact"/>
              <w:ind w:firstLine="482"/>
              <w:rPr>
                <w:rFonts w:ascii="Times New Roman" w:hAnsi="Times New Roman"/>
                <w:b/>
                <w:bCs/>
                <w:sz w:val="24"/>
                <w:szCs w:val="24"/>
              </w:rPr>
            </w:pPr>
            <w:r>
              <w:rPr>
                <w:rFonts w:hint="eastAsia" w:ascii="Times New Roman" w:hAnsi="Times New Roman"/>
                <w:b/>
                <w:bCs/>
                <w:sz w:val="24"/>
                <w:szCs w:val="24"/>
              </w:rPr>
              <w:t>9</w:t>
            </w:r>
            <w:r>
              <w:rPr>
                <w:rFonts w:ascii="Times New Roman" w:hAnsi="Times New Roman"/>
                <w:b/>
                <w:bCs/>
                <w:sz w:val="24"/>
                <w:szCs w:val="24"/>
              </w:rPr>
              <w:t>、公司采取了哪些措施来确保股东权益得到充分保护？</w:t>
            </w:r>
          </w:p>
          <w:p w14:paraId="7ED8D125">
            <w:pPr>
              <w:pStyle w:val="7"/>
              <w:spacing w:line="440" w:lineRule="exact"/>
              <w:ind w:firstLine="480"/>
              <w:rPr>
                <w:rFonts w:ascii="Times New Roman" w:hAnsi="Times New Roman"/>
                <w:sz w:val="24"/>
                <w:szCs w:val="24"/>
              </w:rPr>
            </w:pPr>
            <w:r>
              <w:rPr>
                <w:rFonts w:ascii="Times New Roman" w:hAnsi="Times New Roman"/>
                <w:sz w:val="24"/>
                <w:szCs w:val="24"/>
              </w:rPr>
              <w:t>答：公司严格按照有关规定规范运作，不断完善治理体系，提高治理水平，并严格履行信息披露义务，加强内部控制，充分保护股东权益，特别是中小股东的权益。公司严格执行《公司章程》规定的利润分配政策，通过稳定分红与股东共享经营成果。此外，公司通过多种渠道加强与股东的有效沟通，切实维护投资者合法权益。未来公司将继续通过优化产业布局、提升经营质量等举措夯实企业内在价值，致力推动公司价值与市值的同步提升。</w:t>
            </w:r>
          </w:p>
          <w:p w14:paraId="5EDC6D7A">
            <w:pPr>
              <w:pStyle w:val="7"/>
              <w:spacing w:line="440" w:lineRule="exact"/>
              <w:ind w:firstLine="482"/>
              <w:rPr>
                <w:rFonts w:ascii="Times New Roman" w:hAnsi="Times New Roman"/>
                <w:b/>
                <w:sz w:val="24"/>
                <w:szCs w:val="24"/>
              </w:rPr>
            </w:pPr>
            <w:r>
              <w:rPr>
                <w:rFonts w:hint="eastAsia" w:ascii="Times New Roman" w:hAnsi="Times New Roman"/>
                <w:b/>
                <w:sz w:val="24"/>
                <w:szCs w:val="24"/>
              </w:rPr>
              <w:t>10</w:t>
            </w:r>
            <w:r>
              <w:rPr>
                <w:rFonts w:ascii="Times New Roman" w:hAnsi="Times New Roman"/>
                <w:b/>
                <w:sz w:val="24"/>
                <w:szCs w:val="24"/>
              </w:rPr>
              <w:t>、五一假期黄山接待情况如何，假期整体接待有什么特点？</w:t>
            </w:r>
          </w:p>
          <w:p w14:paraId="24CD4773">
            <w:pPr>
              <w:spacing w:line="440" w:lineRule="exact"/>
              <w:ind w:firstLine="480" w:firstLineChars="200"/>
              <w:rPr>
                <w:sz w:val="24"/>
              </w:rPr>
            </w:pPr>
            <w:r>
              <w:rPr>
                <w:sz w:val="24"/>
              </w:rPr>
              <w:t>答：“五一”假期，黄山景区共接待进山游客14.76万人，同比增长13.82%，创历史同期新高，假期旅游接待情况呈现如下特点：</w:t>
            </w:r>
            <w:r>
              <w:rPr>
                <w:b/>
                <w:bCs/>
                <w:sz w:val="24"/>
              </w:rPr>
              <w:t>一是核心景区更具魅力。</w:t>
            </w:r>
            <w:r>
              <w:rPr>
                <w:sz w:val="24"/>
              </w:rPr>
              <w:t>从黄山市及黄山景区的旅游接待情况看，黄山市内核心景区、酒店预定火爆，特别是黄山景区连续四天接待游人数均接近最大承载量，热门旅游目的地及头部景区受欢迎。</w:t>
            </w:r>
            <w:r>
              <w:rPr>
                <w:b/>
                <w:bCs/>
                <w:sz w:val="24"/>
              </w:rPr>
              <w:t>二是出行规划明显提前。</w:t>
            </w:r>
            <w:r>
              <w:rPr>
                <w:sz w:val="24"/>
              </w:rPr>
              <w:t>根据有关调研分析显示，黄山市的高铁票节前一周基本售罄，黄山景区内的酒店5月1日至3日提前一周预订率即达到98.9%，同比去年提前一周预定增幅20%，说明游客更加提前规划行程逐步养成习惯。</w:t>
            </w:r>
            <w:r>
              <w:rPr>
                <w:b/>
                <w:bCs/>
                <w:sz w:val="24"/>
              </w:rPr>
              <w:t>三是持续种草效果显著。</w:t>
            </w:r>
            <w:r>
              <w:rPr>
                <w:sz w:val="24"/>
              </w:rPr>
              <w:t>黄山景区围绕提前导流引流和保持市场声量推出系列市场营销和形象宣传举措，联合万达宝贝王出品动画片《海底小纵队•中国之旅2》各大平台总计曝光量37.45亿人次；联合央视频拍摄精品微短剧《梦笔不能停》在红果短剧、央视网等多终端全网首播，联合洽洽创新开展“带上洽洽，人间四月游黄山”系列创新营销活动，不断激发消费潜力。</w:t>
            </w:r>
            <w:r>
              <w:rPr>
                <w:b/>
                <w:bCs/>
                <w:sz w:val="24"/>
              </w:rPr>
              <w:t>四是产品上新带动消费。</w:t>
            </w:r>
            <w:r>
              <w:rPr>
                <w:sz w:val="24"/>
              </w:rPr>
              <w:t>公司围绕满足游客情绪价值，上新多款黄山文创雪糕成为游客打卡必备神器；上线迎客通航体验航线、特色航线、高端航线以及VIP定制航线四大类八条直升机空中观光航线，丰富休闲度假产品。</w:t>
            </w:r>
            <w:r>
              <w:rPr>
                <w:b/>
                <w:bCs/>
                <w:sz w:val="24"/>
              </w:rPr>
              <w:t>五是优质服务确保品质。</w:t>
            </w:r>
            <w:r>
              <w:rPr>
                <w:sz w:val="24"/>
              </w:rPr>
              <w:t>黄山景区推出黄山AI旅行助手服务，持续坚持先行赔付机制，回复游客各类咨询近20万次，做好客流调节，特别是提前与旅行社沟通，加强团队预约及分时错峰管理，开辟应急通道、及时削峰填谷、做好客流引导。</w:t>
            </w:r>
          </w:p>
        </w:tc>
      </w:tr>
      <w:tr w14:paraId="4A2E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Borders>
              <w:top w:val="single" w:color="auto" w:sz="4" w:space="0"/>
              <w:left w:val="single" w:color="auto" w:sz="4" w:space="0"/>
              <w:bottom w:val="single" w:color="auto" w:sz="4" w:space="0"/>
              <w:right w:val="single" w:color="auto" w:sz="4" w:space="0"/>
            </w:tcBorders>
            <w:vAlign w:val="center"/>
          </w:tcPr>
          <w:p w14:paraId="5404EA65">
            <w:pPr>
              <w:spacing w:line="440" w:lineRule="exact"/>
              <w:rPr>
                <w:bCs/>
                <w:iCs/>
                <w:color w:val="000000"/>
                <w:kern w:val="0"/>
                <w:sz w:val="24"/>
              </w:rPr>
            </w:pPr>
            <w:r>
              <w:rPr>
                <w:rFonts w:hAnsi="宋体"/>
                <w:bCs/>
                <w:iCs/>
                <w:color w:val="000000"/>
                <w:kern w:val="0"/>
                <w:sz w:val="24"/>
              </w:rPr>
              <w:t>附件清单（如有）</w:t>
            </w:r>
          </w:p>
        </w:tc>
        <w:tc>
          <w:tcPr>
            <w:tcW w:w="3879" w:type="pct"/>
            <w:tcBorders>
              <w:top w:val="single" w:color="auto" w:sz="4" w:space="0"/>
              <w:left w:val="single" w:color="auto" w:sz="4" w:space="0"/>
              <w:bottom w:val="single" w:color="auto" w:sz="4" w:space="0"/>
              <w:right w:val="single" w:color="auto" w:sz="4" w:space="0"/>
            </w:tcBorders>
            <w:vAlign w:val="center"/>
          </w:tcPr>
          <w:p w14:paraId="5BA0FDA1">
            <w:pPr>
              <w:spacing w:line="440" w:lineRule="exact"/>
              <w:rPr>
                <w:bCs/>
                <w:iCs/>
                <w:color w:val="000000"/>
                <w:sz w:val="24"/>
              </w:rPr>
            </w:pPr>
          </w:p>
        </w:tc>
      </w:tr>
      <w:tr w14:paraId="3AA2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Borders>
              <w:top w:val="single" w:color="auto" w:sz="4" w:space="0"/>
              <w:left w:val="single" w:color="auto" w:sz="4" w:space="0"/>
              <w:bottom w:val="single" w:color="auto" w:sz="4" w:space="0"/>
              <w:right w:val="single" w:color="auto" w:sz="4" w:space="0"/>
            </w:tcBorders>
            <w:vAlign w:val="center"/>
          </w:tcPr>
          <w:p w14:paraId="0751D6F9">
            <w:pPr>
              <w:spacing w:line="440" w:lineRule="exact"/>
              <w:rPr>
                <w:bCs/>
                <w:iCs/>
                <w:color w:val="000000"/>
                <w:kern w:val="0"/>
                <w:sz w:val="24"/>
              </w:rPr>
            </w:pPr>
            <w:r>
              <w:rPr>
                <w:rFonts w:hAnsi="宋体"/>
                <w:bCs/>
                <w:iCs/>
                <w:color w:val="000000"/>
                <w:kern w:val="0"/>
                <w:sz w:val="24"/>
              </w:rPr>
              <w:t>日期</w:t>
            </w:r>
          </w:p>
        </w:tc>
        <w:tc>
          <w:tcPr>
            <w:tcW w:w="3879" w:type="pct"/>
            <w:tcBorders>
              <w:top w:val="single" w:color="auto" w:sz="4" w:space="0"/>
              <w:left w:val="single" w:color="auto" w:sz="4" w:space="0"/>
              <w:bottom w:val="single" w:color="auto" w:sz="4" w:space="0"/>
              <w:right w:val="single" w:color="auto" w:sz="4" w:space="0"/>
            </w:tcBorders>
            <w:vAlign w:val="center"/>
          </w:tcPr>
          <w:p w14:paraId="69B0B1D2">
            <w:pPr>
              <w:spacing w:line="440" w:lineRule="exact"/>
              <w:rPr>
                <w:bCs/>
                <w:iCs/>
                <w:color w:val="000000"/>
                <w:sz w:val="24"/>
              </w:rPr>
            </w:pPr>
            <w:r>
              <w:rPr>
                <w:bCs/>
                <w:iCs/>
                <w:color w:val="000000"/>
                <w:sz w:val="24"/>
              </w:rPr>
              <w:t>2025</w:t>
            </w:r>
            <w:r>
              <w:rPr>
                <w:rFonts w:hint="eastAsia"/>
                <w:bCs/>
                <w:iCs/>
                <w:color w:val="000000"/>
                <w:sz w:val="24"/>
              </w:rPr>
              <w:t>年5月7日</w:t>
            </w:r>
          </w:p>
        </w:tc>
      </w:tr>
    </w:tbl>
    <w:p w14:paraId="0FF85609">
      <w:pPr>
        <w:spacing w:line="440" w:lineRule="exact"/>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7985340"/>
      <w:docPartObj>
        <w:docPartGallery w:val="AutoText"/>
      </w:docPartObj>
    </w:sdtPr>
    <w:sdtContent>
      <w:sdt>
        <w:sdtPr>
          <w:id w:val="1728636285"/>
          <w:docPartObj>
            <w:docPartGallery w:val="AutoText"/>
          </w:docPartObj>
        </w:sdtPr>
        <w:sdtContent>
          <w:p w14:paraId="14EA50AD">
            <w:pPr>
              <w:pStyle w:val="2"/>
              <w:jc w:val="center"/>
            </w:pPr>
            <w:r>
              <w:rPr>
                <w:b/>
                <w:bCs/>
              </w:rPr>
              <w:fldChar w:fldCharType="begin"/>
            </w:r>
            <w:r>
              <w:rPr>
                <w:b/>
                <w:bCs/>
              </w:rPr>
              <w:instrText xml:space="preserve">PAGE</w:instrText>
            </w:r>
            <w:r>
              <w:rPr>
                <w:b/>
                <w:bCs/>
              </w:rPr>
              <w:fldChar w:fldCharType="separate"/>
            </w:r>
            <w:r>
              <w:rPr>
                <w:b/>
                <w:bCs/>
              </w:rPr>
              <w:t>6</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6</w:t>
            </w:r>
            <w:r>
              <w:rPr>
                <w:b/>
                <w:bCs/>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97CE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47E2"/>
    <w:rsid w:val="000268C0"/>
    <w:rsid w:val="000363B5"/>
    <w:rsid w:val="00036C77"/>
    <w:rsid w:val="000375D7"/>
    <w:rsid w:val="00043015"/>
    <w:rsid w:val="00046DDE"/>
    <w:rsid w:val="00047EB9"/>
    <w:rsid w:val="00060A74"/>
    <w:rsid w:val="00067110"/>
    <w:rsid w:val="0009298A"/>
    <w:rsid w:val="000A2808"/>
    <w:rsid w:val="000A3BAC"/>
    <w:rsid w:val="000B24A7"/>
    <w:rsid w:val="000C26FD"/>
    <w:rsid w:val="000C2D85"/>
    <w:rsid w:val="000E5700"/>
    <w:rsid w:val="000F0C4B"/>
    <w:rsid w:val="000F0E22"/>
    <w:rsid w:val="00105A04"/>
    <w:rsid w:val="001169A9"/>
    <w:rsid w:val="00125EB2"/>
    <w:rsid w:val="001316C9"/>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4BBE"/>
    <w:rsid w:val="002274D9"/>
    <w:rsid w:val="002338C8"/>
    <w:rsid w:val="0023455A"/>
    <w:rsid w:val="00237994"/>
    <w:rsid w:val="00251D58"/>
    <w:rsid w:val="002530EE"/>
    <w:rsid w:val="00253227"/>
    <w:rsid w:val="002549E6"/>
    <w:rsid w:val="00256602"/>
    <w:rsid w:val="00271C8D"/>
    <w:rsid w:val="00273B53"/>
    <w:rsid w:val="0028080C"/>
    <w:rsid w:val="002875F6"/>
    <w:rsid w:val="00295257"/>
    <w:rsid w:val="00297703"/>
    <w:rsid w:val="002A0826"/>
    <w:rsid w:val="002A0984"/>
    <w:rsid w:val="002A2B1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24B3"/>
    <w:rsid w:val="0032401B"/>
    <w:rsid w:val="00326B50"/>
    <w:rsid w:val="00327D5D"/>
    <w:rsid w:val="00331CC5"/>
    <w:rsid w:val="00342EDB"/>
    <w:rsid w:val="00344914"/>
    <w:rsid w:val="00346917"/>
    <w:rsid w:val="00354A7B"/>
    <w:rsid w:val="00360FDA"/>
    <w:rsid w:val="00363075"/>
    <w:rsid w:val="00367D18"/>
    <w:rsid w:val="00372A1C"/>
    <w:rsid w:val="0037435A"/>
    <w:rsid w:val="00377D8F"/>
    <w:rsid w:val="00383679"/>
    <w:rsid w:val="003A1E68"/>
    <w:rsid w:val="003A7A5C"/>
    <w:rsid w:val="003B0122"/>
    <w:rsid w:val="003B0BE5"/>
    <w:rsid w:val="003D18F1"/>
    <w:rsid w:val="003E001E"/>
    <w:rsid w:val="003F7C4D"/>
    <w:rsid w:val="0040075F"/>
    <w:rsid w:val="00403300"/>
    <w:rsid w:val="004118C0"/>
    <w:rsid w:val="00417A31"/>
    <w:rsid w:val="0042004B"/>
    <w:rsid w:val="00433384"/>
    <w:rsid w:val="0043777D"/>
    <w:rsid w:val="004503E6"/>
    <w:rsid w:val="0045767F"/>
    <w:rsid w:val="00463E9B"/>
    <w:rsid w:val="00467414"/>
    <w:rsid w:val="00473F30"/>
    <w:rsid w:val="0048591A"/>
    <w:rsid w:val="00486D86"/>
    <w:rsid w:val="0048721A"/>
    <w:rsid w:val="004A0BD5"/>
    <w:rsid w:val="004A1BBF"/>
    <w:rsid w:val="004A424E"/>
    <w:rsid w:val="004A73E5"/>
    <w:rsid w:val="004C19BF"/>
    <w:rsid w:val="004C5469"/>
    <w:rsid w:val="004D7640"/>
    <w:rsid w:val="004E1A9B"/>
    <w:rsid w:val="00500AB6"/>
    <w:rsid w:val="005155FB"/>
    <w:rsid w:val="00523907"/>
    <w:rsid w:val="00537C53"/>
    <w:rsid w:val="005438F5"/>
    <w:rsid w:val="00544901"/>
    <w:rsid w:val="00545CA2"/>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1818"/>
    <w:rsid w:val="006A55BB"/>
    <w:rsid w:val="006A7613"/>
    <w:rsid w:val="006B661A"/>
    <w:rsid w:val="006B7D00"/>
    <w:rsid w:val="006C6BC5"/>
    <w:rsid w:val="006D45F7"/>
    <w:rsid w:val="006D61A2"/>
    <w:rsid w:val="006E1DB4"/>
    <w:rsid w:val="00712D42"/>
    <w:rsid w:val="00753DB6"/>
    <w:rsid w:val="00763847"/>
    <w:rsid w:val="00771FE3"/>
    <w:rsid w:val="00775D26"/>
    <w:rsid w:val="00776BDE"/>
    <w:rsid w:val="00786870"/>
    <w:rsid w:val="00792237"/>
    <w:rsid w:val="0079272A"/>
    <w:rsid w:val="007A1DA9"/>
    <w:rsid w:val="007B2252"/>
    <w:rsid w:val="007B79D9"/>
    <w:rsid w:val="007C67B1"/>
    <w:rsid w:val="007E354A"/>
    <w:rsid w:val="007E69C8"/>
    <w:rsid w:val="0080525B"/>
    <w:rsid w:val="008062C5"/>
    <w:rsid w:val="0080741A"/>
    <w:rsid w:val="00812913"/>
    <w:rsid w:val="00814B5B"/>
    <w:rsid w:val="00836F34"/>
    <w:rsid w:val="00843E73"/>
    <w:rsid w:val="00844EBF"/>
    <w:rsid w:val="00854F61"/>
    <w:rsid w:val="00864202"/>
    <w:rsid w:val="00873B59"/>
    <w:rsid w:val="0087701F"/>
    <w:rsid w:val="0089283D"/>
    <w:rsid w:val="00894532"/>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55A5"/>
    <w:rsid w:val="009474EF"/>
    <w:rsid w:val="00962626"/>
    <w:rsid w:val="009767DD"/>
    <w:rsid w:val="00977AF2"/>
    <w:rsid w:val="00983618"/>
    <w:rsid w:val="00985FC5"/>
    <w:rsid w:val="009874EF"/>
    <w:rsid w:val="00993BDD"/>
    <w:rsid w:val="009A6DFB"/>
    <w:rsid w:val="009B6EC0"/>
    <w:rsid w:val="009C62D3"/>
    <w:rsid w:val="009C7FAF"/>
    <w:rsid w:val="009D4199"/>
    <w:rsid w:val="009E5E6A"/>
    <w:rsid w:val="009F0DD5"/>
    <w:rsid w:val="009F1B95"/>
    <w:rsid w:val="009F5F2F"/>
    <w:rsid w:val="009F6C05"/>
    <w:rsid w:val="00A03CE2"/>
    <w:rsid w:val="00A13CB6"/>
    <w:rsid w:val="00A14A1A"/>
    <w:rsid w:val="00A22CDD"/>
    <w:rsid w:val="00A25AEE"/>
    <w:rsid w:val="00A31EB1"/>
    <w:rsid w:val="00A33AEA"/>
    <w:rsid w:val="00A377B7"/>
    <w:rsid w:val="00A461CD"/>
    <w:rsid w:val="00A469C5"/>
    <w:rsid w:val="00A5317D"/>
    <w:rsid w:val="00A6284E"/>
    <w:rsid w:val="00A63E81"/>
    <w:rsid w:val="00A8775A"/>
    <w:rsid w:val="00AA3BE7"/>
    <w:rsid w:val="00AA5998"/>
    <w:rsid w:val="00AB07E7"/>
    <w:rsid w:val="00AD1BA8"/>
    <w:rsid w:val="00B02A29"/>
    <w:rsid w:val="00B03522"/>
    <w:rsid w:val="00B04AD6"/>
    <w:rsid w:val="00B10A27"/>
    <w:rsid w:val="00B14CAA"/>
    <w:rsid w:val="00B257CE"/>
    <w:rsid w:val="00B43579"/>
    <w:rsid w:val="00B4746C"/>
    <w:rsid w:val="00B65354"/>
    <w:rsid w:val="00B71A0E"/>
    <w:rsid w:val="00B81765"/>
    <w:rsid w:val="00B832F5"/>
    <w:rsid w:val="00BA2FAB"/>
    <w:rsid w:val="00BA7CB9"/>
    <w:rsid w:val="00BB5E28"/>
    <w:rsid w:val="00BD15F3"/>
    <w:rsid w:val="00BD7986"/>
    <w:rsid w:val="00BD79D3"/>
    <w:rsid w:val="00BE1EFF"/>
    <w:rsid w:val="00BE7DB0"/>
    <w:rsid w:val="00C04F82"/>
    <w:rsid w:val="00C15AC0"/>
    <w:rsid w:val="00C26030"/>
    <w:rsid w:val="00C41091"/>
    <w:rsid w:val="00C63056"/>
    <w:rsid w:val="00C661D1"/>
    <w:rsid w:val="00C775BA"/>
    <w:rsid w:val="00C85331"/>
    <w:rsid w:val="00C85A50"/>
    <w:rsid w:val="00C85E12"/>
    <w:rsid w:val="00C94D46"/>
    <w:rsid w:val="00CA443A"/>
    <w:rsid w:val="00CB2461"/>
    <w:rsid w:val="00CB37FD"/>
    <w:rsid w:val="00CC4D65"/>
    <w:rsid w:val="00CC61E7"/>
    <w:rsid w:val="00CD25AD"/>
    <w:rsid w:val="00CD3FFC"/>
    <w:rsid w:val="00CF565C"/>
    <w:rsid w:val="00D016A3"/>
    <w:rsid w:val="00D46634"/>
    <w:rsid w:val="00D512E3"/>
    <w:rsid w:val="00D602C9"/>
    <w:rsid w:val="00D73052"/>
    <w:rsid w:val="00DA26A9"/>
    <w:rsid w:val="00DB01FF"/>
    <w:rsid w:val="00DC7778"/>
    <w:rsid w:val="00DD59CE"/>
    <w:rsid w:val="00DE7391"/>
    <w:rsid w:val="00DF2DB5"/>
    <w:rsid w:val="00DF6560"/>
    <w:rsid w:val="00E04CC0"/>
    <w:rsid w:val="00E136FF"/>
    <w:rsid w:val="00E24B4D"/>
    <w:rsid w:val="00E32528"/>
    <w:rsid w:val="00E35F26"/>
    <w:rsid w:val="00E41E89"/>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0708"/>
    <w:rsid w:val="00F21065"/>
    <w:rsid w:val="00F24CB4"/>
    <w:rsid w:val="00F43465"/>
    <w:rsid w:val="00F45475"/>
    <w:rsid w:val="00F64E72"/>
    <w:rsid w:val="00F70C7D"/>
    <w:rsid w:val="00F9272E"/>
    <w:rsid w:val="00F97743"/>
    <w:rsid w:val="00FA6DAF"/>
    <w:rsid w:val="00FC154A"/>
    <w:rsid w:val="00FC6884"/>
    <w:rsid w:val="00FE14BC"/>
    <w:rsid w:val="00FE62F3"/>
    <w:rsid w:val="00FF71D2"/>
    <w:rsid w:val="095C516D"/>
    <w:rsid w:val="0BBD3951"/>
    <w:rsid w:val="1B2418A5"/>
    <w:rsid w:val="1FBFC074"/>
    <w:rsid w:val="215E75AD"/>
    <w:rsid w:val="22C01858"/>
    <w:rsid w:val="23E52A77"/>
    <w:rsid w:val="36FB9E1F"/>
    <w:rsid w:val="3BFA3B96"/>
    <w:rsid w:val="3CEF3472"/>
    <w:rsid w:val="3EFF16E9"/>
    <w:rsid w:val="4CEA575D"/>
    <w:rsid w:val="6C2E6FC0"/>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字符"/>
    <w:basedOn w:val="6"/>
    <w:link w:val="2"/>
    <w:qFormat/>
    <w:uiPriority w:val="99"/>
    <w:rPr>
      <w:kern w:val="2"/>
      <w:sz w:val="18"/>
      <w:szCs w:val="18"/>
    </w:rPr>
  </w:style>
  <w:style w:type="character" w:customStyle="1" w:styleId="12">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3794</Words>
  <Characters>4048</Characters>
  <Lines>29</Lines>
  <Paragraphs>8</Paragraphs>
  <TotalTime>0</TotalTime>
  <ScaleCrop>false</ScaleCrop>
  <LinksUpToDate>false</LinksUpToDate>
  <CharactersWithSpaces>4156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翱翔天空</cp:lastModifiedBy>
  <cp:lastPrinted>2014-02-21T05:34:00Z</cp:lastPrinted>
  <dcterms:modified xsi:type="dcterms:W3CDTF">2025-05-07T07:15:48Z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3378DF92D5494EA79182626F58817F75</vt:lpwstr>
  </property>
  <property fmtid="{D5CDD505-2E9C-101B-9397-08002B2CF9AE}" pid="4" name="KSOTemplateDocerSaveRecord">
    <vt:lpwstr>eyJoZGlkIjoiZGFjN2FhMGU3ZmUyNzI0ZTk5M2UyM2I1ZDIwMzYwMDMiLCJ1c2VySWQiOiI0NTA1MzY4OTAifQ==</vt:lpwstr>
  </property>
</Properties>
</file>